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2" w:lineRule="auto"/>
        <w:rPr>
          <w:rFonts w:ascii="Arial"/>
          <w:sz w:val="21"/>
        </w:rPr>
      </w:pPr>
      <w:r>
        <w:pict>
          <v:shape id="_x0000_s1025" style="width:472.35pt;height:0.75pt;margin-top:105.3pt;margin-left:44.75pt;mso-position-horizontal-relative:page;mso-position-vertical-relative:page;position:absolute;z-index:251658240" coordorigin="0,0" coordsize="9447,15" o:allowincell="f" path="m,7l9446,7e" filled="f" strokecolor="#1f497d" strokeweight="0.72pt">
            <v:stroke joinstyle="bevel"/>
          </v:shape>
        </w:pict>
      </w:r>
      <w:r>
        <w:pict>
          <v:shape id="_x0000_s1026" style="width:2in;height:0;margin-top:754.7pt;margin-left:90pt;mso-position-horizontal-relative:page;mso-position-vertical-relative:page;position:absolute;z-index:251659264" coordorigin="0,0" coordsize="2880,0" o:allowincell="f" path="m,l2880,e" filled="f" strokecolor="black">
            <v:stroke joinstyle="bevel" endcap="square"/>
          </v:shape>
        </w:pict>
      </w:r>
    </w:p>
    <w:p>
      <w:pPr>
        <w:spacing w:before="91" w:line="222" w:lineRule="auto"/>
        <w:ind w:left="1861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政策引导信贷均衡增长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保险永续债迎来小高潮</w:t>
      </w:r>
    </w:p>
    <w:p>
      <w:pPr>
        <w:spacing w:before="72" w:line="86" w:lineRule="exact"/>
      </w:pPr>
      <w:r>
        <w:rPr>
          <w:position w:val="-1"/>
        </w:rPr>
        <w:pict>
          <v:group id="_x0000_i1027" style="width:472.35pt;height:4.35pt;mso-position-horizontal-relative:char;mso-position-vertical-relative:line" coordorigin="0,0" coordsize="9447,86" filled="f" stroked="f">
            <v:shape id="_x0000_s1028" style="width:9447;height:58;position:absolute;top:28" coordorigin="0,0" coordsize="9447,58" path="m,28l9446,28e" filled="f" strokecolor="#1f497d" strokeweight="2.88pt">
              <v:stroke joinstyle="bevel"/>
            </v:shape>
            <v:shape id="_x0000_s1029" style="width:9447;height:15;position:absolute" coordorigin="0,0" coordsize="9447,15" path="m,7l9446,7e" filled="f" strokecolor="#1f497d" strokeweight="0.72pt">
              <v:stroke joinstyle="bevel"/>
            </v:shape>
            <w10:wrap type="none"/>
          </v:group>
        </w:pict>
      </w:r>
    </w:p>
    <w:p>
      <w:pPr>
        <w:spacing w:line="86" w:lineRule="exact"/>
        <w:sectPr>
          <w:headerReference w:type="default" r:id="rId4"/>
          <w:pgSz w:w="11906" w:h="16839"/>
          <w:pgMar w:top="2091" w:right="1564" w:bottom="0" w:left="895" w:header="1595" w:footer="0" w:gutter="0"/>
          <w:cols w:num="1" w:space="708" w:equalWidth="0">
            <w:col w:w="9447" w:space="0"/>
          </w:cols>
        </w:sectPr>
      </w:pPr>
    </w:p>
    <w:p>
      <w:pPr>
        <w:spacing w:before="31" w:line="196" w:lineRule="auto"/>
        <w:ind w:left="11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金融债</w:t>
      </w:r>
      <w:hyperlink w:anchor="bookmark1" w:history="1">
        <w:r>
          <w:rPr>
            <w:rFonts w:ascii="SimHei" w:eastAsia="SimHei" w:hAnsi="SimHei" w:cs="SimHei"/>
            <w:spacing w:val="9"/>
            <w:position w:val="9"/>
            <w:sz w:val="10"/>
            <w:szCs w:val="10"/>
            <w14:textOutline w14:w="1834" w14:cap="sq">
              <w14:solidFill>
                <w14:srgbClr w14:val="000000"/>
              </w14:solidFill>
              <w14:prstDash w14:val="solid"/>
              <w14:bevel/>
            </w14:textOutline>
          </w:rPr>
          <w:t>1</w:t>
        </w:r>
      </w:hyperlink>
      <w:r>
        <w:rPr>
          <w:rFonts w:ascii="SimHei" w:eastAsia="SimHei" w:hAnsi="SimHei" w:cs="SimHei"/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发行情况（亿元、只</w:t>
      </w:r>
      <w:r>
        <w:rPr>
          <w:rFonts w:ascii="SimHei" w:eastAsia="SimHei" w:hAnsi="SimHei" w:cs="SimHei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）：</w:t>
      </w:r>
    </w:p>
    <w:p>
      <w:pPr>
        <w:spacing w:line="4474" w:lineRule="exact"/>
        <w:ind w:firstLine="77"/>
      </w:pPr>
      <w:r>
        <w:rPr>
          <w:position w:val="-89"/>
        </w:rPr>
        <w:drawing>
          <wp:inline distT="0" distB="0" distL="0" distR="0">
            <wp:extent cx="2743200" cy="284123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84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4" w:line="222" w:lineRule="auto"/>
        <w:ind w:left="1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分析师：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77" w:line="196" w:lineRule="auto"/>
        <w:ind w:left="120"/>
        <w:rPr>
          <w:sz w:val="22"/>
          <w:szCs w:val="22"/>
        </w:rPr>
      </w:pPr>
      <w:r>
        <w:rPr>
          <w:spacing w:val="-6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李倩</w:t>
      </w:r>
      <w:r>
        <w:rPr>
          <w:spacing w:val="21"/>
          <w:sz w:val="22"/>
          <w:szCs w:val="22"/>
        </w:rPr>
        <w:t xml:space="preserve"> </w:t>
      </w:r>
      <w:r>
        <w:rPr>
          <w:spacing w:val="-6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张琳琳</w:t>
      </w:r>
      <w:r>
        <w:rPr>
          <w:spacing w:val="15"/>
          <w:sz w:val="22"/>
          <w:szCs w:val="22"/>
        </w:rPr>
        <w:t xml:space="preserve"> </w:t>
      </w:r>
      <w:r>
        <w:rPr>
          <w:spacing w:val="-6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张兰兰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64" w:line="190" w:lineRule="auto"/>
        <w:ind w:left="123"/>
        <w:rPr>
          <w:sz w:val="18"/>
          <w:szCs w:val="18"/>
        </w:rPr>
      </w:pPr>
      <w:r>
        <w:rPr>
          <w:spacing w:val="-7"/>
          <w:sz w:val="18"/>
          <w:szCs w:val="18"/>
        </w:rPr>
        <w:t>时间：2024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年</w:t>
      </w:r>
      <w:r>
        <w:rPr>
          <w:spacing w:val="24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1</w:t>
      </w:r>
      <w:r>
        <w:rPr>
          <w:spacing w:val="1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月</w:t>
      </w:r>
      <w:r>
        <w:rPr>
          <w:spacing w:val="21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15</w:t>
      </w:r>
      <w:r>
        <w:rPr>
          <w:spacing w:val="32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日</w:t>
      </w:r>
    </w:p>
    <w:p>
      <w:pPr>
        <w:pStyle w:val="BodyText"/>
        <w:spacing w:line="283" w:lineRule="exact"/>
        <w:ind w:left="125"/>
        <w:rPr>
          <w:sz w:val="18"/>
          <w:szCs w:val="18"/>
        </w:rPr>
      </w:pPr>
      <w:r>
        <w:rPr>
          <w:spacing w:val="-4"/>
          <w:position w:val="3"/>
          <w:sz w:val="18"/>
          <w:szCs w:val="18"/>
        </w:rPr>
        <w:t>邮箱 ：dfjc-jr</w:t>
      </w:r>
      <w:r>
        <w:rPr>
          <w:spacing w:val="-11"/>
          <w:position w:val="3"/>
          <w:sz w:val="18"/>
          <w:szCs w:val="18"/>
        </w:rPr>
        <w:t xml:space="preserve"> </w:t>
      </w:r>
      <w:r>
        <w:rPr>
          <w:spacing w:val="-4"/>
          <w:position w:val="3"/>
          <w:sz w:val="18"/>
          <w:szCs w:val="18"/>
        </w:rPr>
        <w:t>@coamc.com.cn</w:t>
      </w:r>
    </w:p>
    <w:p>
      <w:pPr>
        <w:pStyle w:val="BodyText"/>
        <w:spacing w:before="23" w:line="195" w:lineRule="auto"/>
        <w:ind w:left="131"/>
        <w:rPr>
          <w:sz w:val="18"/>
          <w:szCs w:val="18"/>
        </w:rPr>
      </w:pPr>
      <w:r>
        <w:rPr>
          <w:spacing w:val="-2"/>
          <w:sz w:val="18"/>
          <w:szCs w:val="18"/>
        </w:rPr>
        <w:t>电话：010-62299800</w:t>
      </w:r>
    </w:p>
    <w:p>
      <w:pPr>
        <w:pStyle w:val="BodyText"/>
        <w:spacing w:before="45" w:line="197" w:lineRule="auto"/>
        <w:ind w:left="113"/>
        <w:rPr>
          <w:sz w:val="18"/>
          <w:szCs w:val="18"/>
        </w:rPr>
      </w:pPr>
      <w:r>
        <w:rPr>
          <w:spacing w:val="-1"/>
          <w:sz w:val="18"/>
          <w:szCs w:val="18"/>
        </w:rPr>
        <w:t>传真：010-65660988</w:t>
      </w:r>
    </w:p>
    <w:p>
      <w:pPr>
        <w:pStyle w:val="BodyText"/>
        <w:spacing w:before="45" w:line="219" w:lineRule="auto"/>
        <w:ind w:left="112" w:right="171"/>
        <w:rPr>
          <w:sz w:val="18"/>
          <w:szCs w:val="18"/>
        </w:rPr>
      </w:pPr>
      <w:r>
        <w:rPr>
          <w:spacing w:val="4"/>
          <w:sz w:val="18"/>
          <w:szCs w:val="18"/>
        </w:rPr>
        <w:t>地址 ：北京市丰台区丽泽金融商务区平安幸福中心</w:t>
      </w:r>
      <w:r>
        <w:rPr>
          <w:spacing w:val="1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A 座 45、46、47 层    100071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1" w:line="222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主要观点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66" w:line="385" w:lineRule="auto"/>
        <w:ind w:left="412" w:right="108" w:firstLine="10"/>
        <w:jc w:val="both"/>
      </w:pPr>
      <w:r>
        <w:rPr>
          <w:rFonts w:ascii="Wingdings" w:eastAsia="Wingdings" w:hAnsi="Wingdings" w:cs="Wingdings"/>
        </w:rPr>
        <w:t>.</w:t>
      </w:r>
      <w:r>
        <w:rPr>
          <w:rFonts w:ascii="Wingdings" w:eastAsia="Wingdings" w:hAnsi="Wingdings" w:cs="Wingdings"/>
          <w:spacing w:val="106"/>
        </w:rPr>
        <w:t xml:space="preserve"> </w:t>
      </w:r>
      <w:r>
        <w:rPr>
          <w:rFonts w:ascii="SimHei" w:eastAsia="SimHei" w:hAnsi="SimHei" w:cs="SimHei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银行业：</w:t>
      </w:r>
      <w:r>
        <w:t xml:space="preserve">社融延续同比多增 ，政府债净融资仍 </w:t>
      </w:r>
      <w:r>
        <w:rPr>
          <w:spacing w:val="8"/>
        </w:rPr>
        <w:t>为主要支撑项 ，企业和居民信贷需求偏弱 ，稳增长</w:t>
      </w:r>
      <w:r>
        <w:rPr>
          <w:spacing w:val="1"/>
        </w:rPr>
        <w:t xml:space="preserve"> </w:t>
      </w:r>
      <w:r>
        <w:rPr>
          <w:spacing w:val="21"/>
        </w:rPr>
        <w:t>政策持续发力背景下，</w:t>
      </w:r>
      <w:r>
        <w:rPr>
          <w:spacing w:val="-10"/>
        </w:rPr>
        <w:t xml:space="preserve"> </w:t>
      </w:r>
      <w:r>
        <w:rPr>
          <w:spacing w:val="21"/>
        </w:rPr>
        <w:t>信贷投放节奏有望更加均</w:t>
      </w:r>
    </w:p>
    <w:p>
      <w:pPr>
        <w:pStyle w:val="BodyText"/>
        <w:spacing w:before="1" w:line="201" w:lineRule="auto"/>
        <w:ind w:left="411"/>
      </w:pPr>
      <w:r>
        <w:rPr>
          <w:spacing w:val="2"/>
        </w:rPr>
        <w:t>衡；</w:t>
      </w:r>
    </w:p>
    <w:p>
      <w:pPr>
        <w:pStyle w:val="BodyText"/>
        <w:spacing w:before="269" w:line="386" w:lineRule="auto"/>
        <w:ind w:left="417" w:right="108" w:firstLine="6"/>
        <w:jc w:val="both"/>
      </w:pPr>
      <w:r>
        <w:rPr>
          <w:rFonts w:ascii="Wingdings" w:eastAsia="Wingdings" w:hAnsi="Wingdings" w:cs="Wingdings"/>
          <w:spacing w:val="2"/>
        </w:rPr>
        <w:t>.</w:t>
      </w:r>
      <w:r>
        <w:rPr>
          <w:rFonts w:ascii="Wingdings" w:eastAsia="Wingdings" w:hAnsi="Wingdings" w:cs="Wingdings"/>
          <w:spacing w:val="91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证券业：</w:t>
      </w:r>
      <w:r>
        <w:rPr>
          <w:spacing w:val="2"/>
        </w:rPr>
        <w:t>市场交投活跃度低迷，</w:t>
      </w:r>
      <w:r>
        <w:rPr>
          <w:spacing w:val="-27"/>
        </w:rPr>
        <w:t xml:space="preserve"> </w:t>
      </w:r>
      <w:r>
        <w:rPr>
          <w:spacing w:val="2"/>
        </w:rPr>
        <w:t>两融余额呈下</w:t>
      </w:r>
      <w:r>
        <w:t xml:space="preserve"> </w:t>
      </w:r>
      <w:r>
        <w:rPr>
          <w:spacing w:val="9"/>
        </w:rPr>
        <w:t>滑态势 ，股权融资规模环比改善，</w:t>
      </w:r>
      <w:r>
        <w:rPr>
          <w:spacing w:val="-18"/>
        </w:rPr>
        <w:t xml:space="preserve"> </w:t>
      </w:r>
      <w:r>
        <w:rPr>
          <w:spacing w:val="9"/>
        </w:rPr>
        <w:t>公募基金费率改</w:t>
      </w:r>
    </w:p>
    <w:p>
      <w:pPr>
        <w:pStyle w:val="BodyText"/>
        <w:spacing w:before="1" w:line="205" w:lineRule="auto"/>
        <w:ind w:left="418"/>
      </w:pPr>
      <w:r>
        <w:rPr>
          <w:spacing w:val="8"/>
        </w:rPr>
        <w:t>革有利于券商业务结构优化；</w:t>
      </w:r>
    </w:p>
    <w:p>
      <w:pPr>
        <w:pStyle w:val="BodyText"/>
        <w:spacing w:before="269" w:line="387" w:lineRule="auto"/>
        <w:ind w:left="413" w:right="108" w:firstLine="10"/>
        <w:jc w:val="both"/>
      </w:pPr>
      <w:r>
        <w:rPr>
          <w:rFonts w:ascii="Wingdings" w:eastAsia="Wingdings" w:hAnsi="Wingdings" w:cs="Wingdings"/>
          <w:spacing w:val="3"/>
        </w:rPr>
        <w:t>.</w:t>
      </w:r>
      <w:r>
        <w:rPr>
          <w:rFonts w:ascii="Wingdings" w:eastAsia="Wingdings" w:hAnsi="Wingdings" w:cs="Wingdings"/>
          <w:spacing w:val="105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保险业：</w:t>
      </w:r>
      <w:r>
        <w:rPr>
          <w:rFonts w:ascii="SimHei" w:eastAsia="SimHei" w:hAnsi="SimHei" w:cs="SimHei"/>
          <w:spacing w:val="-44"/>
          <w:sz w:val="20"/>
          <w:szCs w:val="20"/>
        </w:rPr>
        <w:t xml:space="preserve"> </w:t>
      </w:r>
      <w:r>
        <w:rPr>
          <w:spacing w:val="3"/>
        </w:rPr>
        <w:t>11</w:t>
      </w:r>
      <w:r>
        <w:rPr>
          <w:spacing w:val="23"/>
        </w:rPr>
        <w:t xml:space="preserve"> </w:t>
      </w:r>
      <w:r>
        <w:rPr>
          <w:spacing w:val="3"/>
        </w:rPr>
        <w:t>月寿险保费增速回暖，</w:t>
      </w:r>
      <w:r>
        <w:rPr>
          <w:spacing w:val="-19"/>
        </w:rPr>
        <w:t xml:space="preserve"> </w:t>
      </w:r>
      <w:r>
        <w:rPr>
          <w:spacing w:val="3"/>
        </w:rPr>
        <w:t>车险保费</w:t>
      </w:r>
      <w:r>
        <w:t xml:space="preserve"> </w:t>
      </w:r>
      <w:r>
        <w:rPr>
          <w:spacing w:val="9"/>
        </w:rPr>
        <w:t>增速小幅回落，</w:t>
      </w:r>
      <w:r>
        <w:rPr>
          <w:spacing w:val="-14"/>
        </w:rPr>
        <w:t xml:space="preserve"> </w:t>
      </w:r>
      <w:r>
        <w:rPr>
          <w:spacing w:val="9"/>
        </w:rPr>
        <w:t>资金运用余额环比上升 ，大类资产</w:t>
      </w:r>
    </w:p>
    <w:p>
      <w:pPr>
        <w:pStyle w:val="BodyText"/>
        <w:spacing w:line="206" w:lineRule="auto"/>
        <w:ind w:left="417"/>
      </w:pPr>
      <w:r>
        <w:rPr>
          <w:spacing w:val="6"/>
        </w:rPr>
        <w:t>配置以债券为主</w:t>
      </w:r>
      <w:r>
        <w:t xml:space="preserve"> </w:t>
      </w:r>
      <w:r>
        <w:rPr>
          <w:spacing w:val="6"/>
        </w:rPr>
        <w:t>，权益类资产占比下降；</w:t>
      </w:r>
    </w:p>
    <w:p>
      <w:pPr>
        <w:pStyle w:val="BodyText"/>
        <w:spacing w:before="269" w:line="384" w:lineRule="auto"/>
        <w:ind w:left="411" w:right="108" w:firstLine="11"/>
        <w:jc w:val="both"/>
      </w:pPr>
      <w:r>
        <w:rPr>
          <w:rFonts w:ascii="Wingdings" w:eastAsia="Wingdings" w:hAnsi="Wingdings" w:cs="Wingdings"/>
          <w:spacing w:val="6"/>
        </w:rPr>
        <w:t>.</w:t>
      </w:r>
      <w:r>
        <w:rPr>
          <w:rFonts w:ascii="Wingdings" w:eastAsia="Wingdings" w:hAnsi="Wingdings" w:cs="Wingdings"/>
          <w:spacing w:val="102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金融债发行：</w:t>
      </w:r>
      <w:r>
        <w:rPr>
          <w:rFonts w:ascii="SimHei" w:eastAsia="SimHei" w:hAnsi="SimHei" w:cs="SimHei"/>
          <w:spacing w:val="-56"/>
          <w:sz w:val="20"/>
          <w:szCs w:val="20"/>
        </w:rPr>
        <w:t xml:space="preserve"> </w:t>
      </w:r>
      <w:r>
        <w:rPr>
          <w:spacing w:val="6"/>
        </w:rPr>
        <w:t>年末商业银行</w:t>
      </w:r>
      <w:r>
        <w:rPr>
          <w:spacing w:val="-14"/>
        </w:rPr>
        <w:t xml:space="preserve"> </w:t>
      </w:r>
      <w:r>
        <w:rPr>
          <w:spacing w:val="6"/>
        </w:rPr>
        <w:t>、</w:t>
      </w:r>
      <w:r>
        <w:rPr>
          <w:spacing w:val="-23"/>
        </w:rPr>
        <w:t xml:space="preserve"> </w:t>
      </w:r>
      <w:r>
        <w:rPr>
          <w:spacing w:val="6"/>
        </w:rPr>
        <w:t>证券公司金融</w:t>
      </w:r>
      <w:r>
        <w:t xml:space="preserve"> </w:t>
      </w:r>
      <w:r>
        <w:rPr>
          <w:spacing w:val="12"/>
        </w:rPr>
        <w:t>债发行节奏有所放缓，</w:t>
      </w:r>
      <w:r>
        <w:rPr>
          <w:spacing w:val="-22"/>
        </w:rPr>
        <w:t xml:space="preserve"> </w:t>
      </w:r>
      <w:r>
        <w:rPr>
          <w:spacing w:val="12"/>
        </w:rPr>
        <w:t>而保险公司及金租公司资本</w:t>
      </w:r>
      <w:r>
        <w:t xml:space="preserve"> </w:t>
      </w:r>
      <w:r>
        <w:rPr>
          <w:spacing w:val="8"/>
        </w:rPr>
        <w:t>补充</w:t>
      </w:r>
      <w:r>
        <w:rPr>
          <w:spacing w:val="-16"/>
        </w:rPr>
        <w:t xml:space="preserve"> </w:t>
      </w:r>
      <w:r>
        <w:rPr>
          <w:spacing w:val="8"/>
        </w:rPr>
        <w:t>、</w:t>
      </w:r>
      <w:r>
        <w:rPr>
          <w:spacing w:val="-21"/>
        </w:rPr>
        <w:t xml:space="preserve"> </w:t>
      </w:r>
      <w:r>
        <w:rPr>
          <w:spacing w:val="8"/>
        </w:rPr>
        <w:t>资金需求明显上升； 同业存单净融资继续为</w:t>
      </w:r>
    </w:p>
    <w:p>
      <w:pPr>
        <w:pStyle w:val="BodyText"/>
        <w:spacing w:before="1" w:line="204" w:lineRule="auto"/>
        <w:ind w:left="418"/>
      </w:pPr>
      <w:r>
        <w:rPr>
          <w:spacing w:val="4"/>
        </w:rPr>
        <w:t>正</w:t>
      </w:r>
      <w:r>
        <w:rPr>
          <w:spacing w:val="-8"/>
        </w:rPr>
        <w:t xml:space="preserve"> </w:t>
      </w:r>
      <w:r>
        <w:rPr>
          <w:spacing w:val="4"/>
        </w:rPr>
        <w:t>，发行利率继续抬升；</w:t>
      </w:r>
    </w:p>
    <w:p>
      <w:pPr>
        <w:pStyle w:val="BodyText"/>
        <w:spacing w:before="269" w:line="384" w:lineRule="auto"/>
        <w:ind w:left="413" w:right="108" w:firstLine="9"/>
        <w:jc w:val="both"/>
      </w:pPr>
      <w:r>
        <w:rPr>
          <w:rFonts w:ascii="Wingdings" w:eastAsia="Wingdings" w:hAnsi="Wingdings" w:cs="Wingdings"/>
          <w:spacing w:val="10"/>
        </w:rPr>
        <w:t>.</w:t>
      </w:r>
      <w:r>
        <w:rPr>
          <w:rFonts w:ascii="Wingdings" w:eastAsia="Wingdings" w:hAnsi="Wingdings" w:cs="Wingdings"/>
          <w:spacing w:val="104"/>
        </w:rPr>
        <w:t xml:space="preserve"> </w:t>
      </w:r>
      <w:r>
        <w:rPr>
          <w:rFonts w:ascii="SimHei" w:eastAsia="SimHei" w:hAnsi="SimHei" w:cs="SimHei"/>
          <w:spacing w:val="10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金融债市场展望：</w:t>
      </w:r>
      <w:r>
        <w:rPr>
          <w:spacing w:val="10"/>
        </w:rPr>
        <w:t>在政策引导持续加大信贷</w:t>
      </w:r>
      <w:r>
        <w:t xml:space="preserve"> </w:t>
      </w:r>
      <w:r>
        <w:rPr>
          <w:spacing w:val="21"/>
        </w:rPr>
        <w:t>投放以及经济修复提速背景下，</w:t>
      </w:r>
      <w:r>
        <w:rPr>
          <w:spacing w:val="-11"/>
        </w:rPr>
        <w:t xml:space="preserve"> </w:t>
      </w:r>
      <w:r>
        <w:rPr>
          <w:spacing w:val="21"/>
        </w:rPr>
        <w:t>货币宽松预期升</w:t>
      </w:r>
      <w:r>
        <w:t xml:space="preserve"> </w:t>
      </w:r>
      <w:r>
        <w:rPr>
          <w:spacing w:val="10"/>
        </w:rPr>
        <w:t>温，</w:t>
      </w:r>
      <w:r>
        <w:rPr>
          <w:spacing w:val="-27"/>
        </w:rPr>
        <w:t xml:space="preserve"> </w:t>
      </w:r>
      <w:r>
        <w:rPr>
          <w:spacing w:val="10"/>
        </w:rPr>
        <w:t>且在政策加持下，</w:t>
      </w:r>
      <w:r>
        <w:rPr>
          <w:spacing w:val="-27"/>
        </w:rPr>
        <w:t xml:space="preserve"> </w:t>
      </w:r>
      <w:r>
        <w:rPr>
          <w:spacing w:val="10"/>
        </w:rPr>
        <w:t>绿色</w:t>
      </w:r>
      <w:r>
        <w:rPr>
          <w:spacing w:val="-22"/>
        </w:rPr>
        <w:t xml:space="preserve"> </w:t>
      </w:r>
      <w:r>
        <w:rPr>
          <w:spacing w:val="10"/>
        </w:rPr>
        <w:t>、小微等专项债券</w:t>
      </w:r>
      <w:r>
        <w:rPr>
          <w:spacing w:val="9"/>
        </w:rPr>
        <w:t>仍将</w:t>
      </w:r>
      <w:r>
        <w:t xml:space="preserve"> </w:t>
      </w:r>
      <w:r>
        <w:rPr>
          <w:spacing w:val="21"/>
        </w:rPr>
        <w:t>是发行热点，</w:t>
      </w:r>
      <w:r>
        <w:rPr>
          <w:spacing w:val="-14"/>
        </w:rPr>
        <w:t xml:space="preserve"> </w:t>
      </w:r>
      <w:r>
        <w:rPr>
          <w:spacing w:val="21"/>
        </w:rPr>
        <w:t>各类金融机构资本补充需求依然较</w:t>
      </w:r>
    </w:p>
    <w:p>
      <w:pPr>
        <w:pStyle w:val="BodyText"/>
        <w:spacing w:line="157" w:lineRule="auto"/>
        <w:ind w:left="415"/>
      </w:pPr>
      <w:bookmarkStart w:id="0" w:name="bookmark1"/>
      <w:bookmarkEnd w:id="0"/>
      <w:r>
        <w:t>大。</w:t>
      </w:r>
    </w:p>
    <w:p>
      <w:pPr>
        <w:spacing w:line="157" w:lineRule="auto"/>
        <w:sectPr>
          <w:headerReference w:type="default" r:id="rId6"/>
          <w:type w:val="continuous"/>
          <w:pgSz w:w="11906" w:h="16839"/>
          <w:pgMar w:top="2091" w:right="1564" w:bottom="0" w:left="895" w:header="1595" w:footer="0" w:gutter="0"/>
          <w:pgNumType w:start="2"/>
          <w:cols w:num="2" w:space="708" w:equalWidth="0">
            <w:col w:w="4398" w:space="57"/>
            <w:col w:w="4992" w:space="0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  <w:sectPr>
          <w:headerReference w:type="default" r:id="rId7"/>
          <w:type w:val="continuous"/>
          <w:pgSz w:w="11906" w:h="16839"/>
          <w:pgMar w:top="2091" w:right="1564" w:bottom="0" w:left="895" w:header="1595" w:footer="0" w:gutter="0"/>
          <w:pgNumType w:start="3"/>
          <w:cols w:num="1" w:space="708" w:equalWidth="0">
            <w:col w:w="9447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43" w:line="186" w:lineRule="auto"/>
        <w:ind w:left="915"/>
        <w:rPr>
          <w:sz w:val="12"/>
          <w:szCs w:val="12"/>
        </w:rPr>
      </w:pPr>
      <w:r>
        <w:rPr>
          <w:spacing w:val="8"/>
          <w:position w:val="5"/>
          <w:sz w:val="7"/>
          <w:szCs w:val="7"/>
        </w:rPr>
        <w:t xml:space="preserve">1  </w:t>
      </w:r>
      <w:r>
        <w:rPr>
          <w:spacing w:val="8"/>
          <w:sz w:val="12"/>
          <w:szCs w:val="12"/>
        </w:rPr>
        <w:t>本文金融债包含商业银行债</w:t>
      </w:r>
      <w:r>
        <w:rPr>
          <w:spacing w:val="-17"/>
          <w:sz w:val="12"/>
          <w:szCs w:val="12"/>
        </w:rPr>
        <w:t xml:space="preserve"> </w:t>
      </w:r>
      <w:r>
        <w:rPr>
          <w:spacing w:val="8"/>
          <w:sz w:val="12"/>
          <w:szCs w:val="12"/>
        </w:rPr>
        <w:t>、商业银行次级债</w:t>
      </w:r>
      <w:r>
        <w:rPr>
          <w:spacing w:val="-17"/>
          <w:sz w:val="12"/>
          <w:szCs w:val="12"/>
        </w:rPr>
        <w:t xml:space="preserve"> </w:t>
      </w:r>
      <w:r>
        <w:rPr>
          <w:spacing w:val="8"/>
          <w:sz w:val="12"/>
          <w:szCs w:val="12"/>
        </w:rPr>
        <w:t>、保险公司债</w:t>
      </w:r>
      <w:r>
        <w:rPr>
          <w:spacing w:val="-17"/>
          <w:sz w:val="12"/>
          <w:szCs w:val="12"/>
        </w:rPr>
        <w:t xml:space="preserve"> </w:t>
      </w:r>
      <w:r>
        <w:rPr>
          <w:spacing w:val="8"/>
          <w:sz w:val="12"/>
          <w:szCs w:val="12"/>
        </w:rPr>
        <w:t>、证券公司债</w:t>
      </w:r>
      <w:r>
        <w:rPr>
          <w:spacing w:val="-16"/>
          <w:sz w:val="12"/>
          <w:szCs w:val="12"/>
        </w:rPr>
        <w:t xml:space="preserve"> </w:t>
      </w:r>
      <w:r>
        <w:rPr>
          <w:spacing w:val="8"/>
          <w:sz w:val="12"/>
          <w:szCs w:val="12"/>
        </w:rPr>
        <w:t>、证券公司短</w:t>
      </w:r>
      <w:r>
        <w:rPr>
          <w:spacing w:val="7"/>
          <w:sz w:val="12"/>
          <w:szCs w:val="12"/>
        </w:rPr>
        <w:t>期融资券</w:t>
      </w:r>
      <w:r>
        <w:rPr>
          <w:spacing w:val="-17"/>
          <w:sz w:val="12"/>
          <w:szCs w:val="12"/>
        </w:rPr>
        <w:t xml:space="preserve"> </w:t>
      </w:r>
      <w:r>
        <w:rPr>
          <w:spacing w:val="7"/>
          <w:sz w:val="12"/>
          <w:szCs w:val="12"/>
        </w:rPr>
        <w:t>、其它金融机构债</w:t>
      </w:r>
      <w:r>
        <w:rPr>
          <w:spacing w:val="-4"/>
          <w:sz w:val="12"/>
          <w:szCs w:val="12"/>
        </w:rPr>
        <w:t xml:space="preserve"> </w:t>
      </w:r>
      <w:r>
        <w:rPr>
          <w:spacing w:val="7"/>
          <w:sz w:val="12"/>
          <w:szCs w:val="12"/>
        </w:rPr>
        <w:t>，不含政策银行债。</w:t>
      </w:r>
    </w:p>
    <w:p>
      <w:pPr>
        <w:spacing w:line="186" w:lineRule="auto"/>
        <w:rPr>
          <w:sz w:val="12"/>
          <w:szCs w:val="12"/>
        </w:rPr>
        <w:sectPr>
          <w:headerReference w:type="default" r:id="rId8"/>
          <w:type w:val="nextPage"/>
          <w:pgSz w:w="11906" w:h="16839"/>
          <w:pgMar w:top="2091" w:right="1564" w:bottom="0" w:left="895" w:header="1595" w:footer="0" w:gutter="0"/>
          <w:pgNumType w:start="4"/>
          <w:cols w:num="1" w:space="708" w:equalWidth="0">
            <w:col w:w="9447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20"/>
          <w:szCs w:val="20"/>
        </w:rPr>
        <w:id w:val="788053172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0"/>
          <w:szCs w:val="20"/>
        </w:rPr>
      </w:sdtEndPr>
      <w:sdtContent>
        <w:p>
          <w:pPr>
            <w:spacing w:before="65" w:line="230" w:lineRule="auto"/>
            <w:ind w:left="4166"/>
            <w:rPr>
              <w:rFonts w:ascii="SimHei" w:eastAsia="SimHei" w:hAnsi="SimHei" w:cs="SimHei"/>
              <w:sz w:val="20"/>
              <w:szCs w:val="20"/>
            </w:rPr>
          </w:pPr>
          <w:r>
            <w:rPr>
              <w:rFonts w:ascii="SimHei" w:eastAsia="SimHei" w:hAnsi="SimHei" w:cs="SimHei"/>
              <w:spacing w:val="-13"/>
              <w:sz w:val="20"/>
              <w:szCs w:val="20"/>
            </w:rPr>
            <w:t>目</w:t>
          </w:r>
          <w:r>
            <w:rPr>
              <w:rFonts w:ascii="SimHei" w:eastAsia="SimHei" w:hAnsi="SimHei" w:cs="SimHei"/>
              <w:spacing w:val="10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spacing w:val="-13"/>
              <w:sz w:val="20"/>
              <w:szCs w:val="20"/>
            </w:rPr>
            <w:t>录</w:t>
          </w:r>
        </w:p>
        <w:p>
          <w:pPr>
            <w:tabs>
              <w:tab w:val="right" w:leader="dot" w:pos="8319"/>
            </w:tabs>
            <w:spacing w:before="194" w:line="196" w:lineRule="auto"/>
            <w:ind w:left="452"/>
            <w:rPr>
              <w:rFonts w:ascii="SimHei" w:eastAsia="SimHei" w:hAnsi="SimHei" w:cs="SimHei"/>
              <w:sz w:val="20"/>
              <w:szCs w:val="20"/>
            </w:rPr>
          </w:pPr>
          <w:hyperlink w:anchor="bookmark2" w:history="1"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1.监管政策跟踪</w:t>
            </w:r>
            <w:r>
              <w:rPr>
                <w:rFonts w:ascii="SimHei" w:eastAsia="SimHei" w:hAnsi="SimHei" w:cs="SimHei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44"/>
                <w:w w:val="125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8319"/>
            </w:tabs>
            <w:spacing w:before="99" w:line="196" w:lineRule="auto"/>
            <w:ind w:left="440"/>
            <w:rPr>
              <w:rFonts w:ascii="SimHei" w:eastAsia="SimHei" w:hAnsi="SimHei" w:cs="SimHei"/>
              <w:sz w:val="20"/>
              <w:szCs w:val="20"/>
            </w:rPr>
          </w:pPr>
          <w:hyperlink w:anchor="bookmark3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2.行业动态</w:t>
            </w:r>
            <w:r>
              <w:rPr>
                <w:rFonts w:ascii="SimHei" w:eastAsia="SimHei" w:hAnsi="SimHei" w:cs="SimHei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30"/>
                <w:w w:val="139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8319"/>
            </w:tabs>
            <w:spacing w:before="99" w:line="196" w:lineRule="auto"/>
            <w:ind w:left="860"/>
            <w:rPr>
              <w:rFonts w:ascii="SimHei" w:eastAsia="SimHei" w:hAnsi="SimHei" w:cs="SimHei"/>
              <w:sz w:val="20"/>
              <w:szCs w:val="20"/>
            </w:rPr>
          </w:pPr>
          <w:hyperlink w:anchor="bookmark4" w:history="1"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2.1</w:t>
            </w:r>
            <w:r>
              <w:rPr>
                <w:rFonts w:ascii="SimHei" w:eastAsia="SimHei" w:hAnsi="SimHei" w:cs="SimHei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银行业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8319"/>
            </w:tabs>
            <w:spacing w:before="100" w:line="196" w:lineRule="auto"/>
            <w:ind w:left="860"/>
            <w:rPr>
              <w:rFonts w:ascii="SimHei" w:eastAsia="SimHei" w:hAnsi="SimHei" w:cs="SimHei"/>
              <w:sz w:val="20"/>
              <w:szCs w:val="20"/>
            </w:rPr>
          </w:pPr>
          <w:hyperlink w:anchor="bookmark5" w:history="1"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2.2</w:t>
            </w:r>
            <w:r>
              <w:rPr>
                <w:rFonts w:ascii="SimHei" w:eastAsia="SimHei" w:hAnsi="SimHei" w:cs="SimHei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证券业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8319"/>
            </w:tabs>
            <w:spacing w:before="99" w:line="196" w:lineRule="auto"/>
            <w:ind w:left="860"/>
            <w:rPr>
              <w:rFonts w:ascii="SimHei" w:eastAsia="SimHei" w:hAnsi="SimHei" w:cs="SimHei"/>
              <w:sz w:val="20"/>
              <w:szCs w:val="20"/>
            </w:rPr>
          </w:pPr>
          <w:hyperlink w:anchor="bookmark6" w:history="1"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2.3</w:t>
            </w:r>
            <w:r>
              <w:rPr>
                <w:rFonts w:ascii="SimHei" w:eastAsia="SimHei" w:hAnsi="SimHei" w:cs="SimHei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保险业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8319"/>
            </w:tabs>
            <w:spacing w:before="100" w:line="196" w:lineRule="auto"/>
            <w:ind w:left="442"/>
            <w:rPr>
              <w:rFonts w:ascii="SimHei" w:eastAsia="SimHei" w:hAnsi="SimHei" w:cs="SimHei"/>
              <w:sz w:val="20"/>
              <w:szCs w:val="20"/>
            </w:rPr>
          </w:pPr>
          <w:hyperlink w:anchor="bookmark7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3.金融债市场回顾</w:t>
            </w:r>
            <w:r>
              <w:rPr>
                <w:rFonts w:ascii="SimHei" w:eastAsia="SimHei" w:hAnsi="SimHei" w:cs="SimHei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8"/>
                <w:w w:val="150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8319"/>
            </w:tabs>
            <w:spacing w:before="100" w:line="196" w:lineRule="auto"/>
            <w:ind w:left="862"/>
            <w:rPr>
              <w:rFonts w:ascii="SimHei" w:eastAsia="SimHei" w:hAnsi="SimHei" w:cs="SimHei"/>
              <w:sz w:val="20"/>
              <w:szCs w:val="20"/>
            </w:rPr>
          </w:pPr>
          <w:hyperlink w:anchor="bookmark8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3.1</w:t>
            </w:r>
            <w:r>
              <w:rPr>
                <w:rFonts w:ascii="SimHei" w:eastAsia="SimHei" w:hAnsi="SimHei" w:cs="SimHei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一级市场发行量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8319"/>
            </w:tabs>
            <w:spacing w:before="99" w:line="196" w:lineRule="auto"/>
            <w:ind w:left="862"/>
            <w:rPr>
              <w:rFonts w:ascii="SimHei" w:eastAsia="SimHei" w:hAnsi="SimHei" w:cs="SimHei"/>
              <w:sz w:val="20"/>
              <w:szCs w:val="20"/>
            </w:rPr>
          </w:pPr>
          <w:hyperlink w:anchor="bookmark9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3.2</w:t>
            </w:r>
            <w:r>
              <w:rPr>
                <w:rFonts w:ascii="SimHei" w:eastAsia="SimHei" w:hAnsi="SimHei" w:cs="SimHei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发行利率及利差分析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8319"/>
            </w:tabs>
            <w:spacing w:before="100" w:line="196" w:lineRule="auto"/>
            <w:ind w:left="862"/>
            <w:rPr>
              <w:rFonts w:ascii="SimHei" w:eastAsia="SimHei" w:hAnsi="SimHei" w:cs="SimHei"/>
              <w:sz w:val="20"/>
              <w:szCs w:val="20"/>
            </w:rPr>
          </w:pPr>
          <w:hyperlink w:anchor="bookmark10" w:history="1"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3.3</w:t>
            </w:r>
            <w:r>
              <w:rPr>
                <w:rFonts w:ascii="SimHei" w:eastAsia="SimHei" w:hAnsi="SimHei" w:cs="SimHei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二级市场</w:t>
            </w:r>
            <w:r>
              <w:rPr>
                <w:rFonts w:ascii="SimHei" w:eastAsia="SimHei" w:hAnsi="SimHei" w:cs="SimHei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6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8319"/>
            </w:tabs>
            <w:spacing w:before="100" w:line="196" w:lineRule="auto"/>
            <w:ind w:left="862"/>
            <w:rPr>
              <w:rFonts w:ascii="SimHei" w:eastAsia="SimHei" w:hAnsi="SimHei" w:cs="SimHei"/>
              <w:sz w:val="20"/>
              <w:szCs w:val="20"/>
            </w:rPr>
          </w:pPr>
          <w:hyperlink w:anchor="bookmark11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3.4</w:t>
            </w:r>
            <w:r>
              <w:rPr>
                <w:rFonts w:ascii="SimHei" w:eastAsia="SimHei" w:hAnsi="SimHei" w:cs="SimHei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金融债兑付情况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>8</w:t>
            </w:r>
          </w:hyperlink>
        </w:p>
        <w:p>
          <w:pPr>
            <w:tabs>
              <w:tab w:val="right" w:leader="dot" w:pos="8319"/>
            </w:tabs>
            <w:spacing w:before="99" w:line="196" w:lineRule="auto"/>
            <w:ind w:left="436"/>
            <w:rPr>
              <w:rFonts w:ascii="SimHei" w:eastAsia="SimHei" w:hAnsi="SimHei" w:cs="SimHei"/>
              <w:sz w:val="20"/>
              <w:szCs w:val="20"/>
            </w:rPr>
          </w:pPr>
          <w:hyperlink w:anchor="bookmark12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4.主体级别（含展望）调整</w:t>
            </w:r>
            <w:r>
              <w:rPr>
                <w:rFonts w:ascii="SimHei" w:eastAsia="SimHei" w:hAnsi="SimHei" w:cs="SimHei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22"/>
                <w:w w:val="146"/>
                <w:sz w:val="20"/>
                <w:szCs w:val="20"/>
              </w:rPr>
              <w:t>8</w:t>
            </w:r>
          </w:hyperlink>
        </w:p>
        <w:p>
          <w:pPr>
            <w:tabs>
              <w:tab w:val="right" w:leader="dot" w:pos="8319"/>
            </w:tabs>
            <w:spacing w:before="101" w:line="234" w:lineRule="auto"/>
            <w:ind w:left="437"/>
            <w:rPr>
              <w:rFonts w:ascii="SimHei" w:eastAsia="SimHei" w:hAnsi="SimHei" w:cs="SimHei"/>
              <w:sz w:val="20"/>
              <w:szCs w:val="20"/>
            </w:rPr>
          </w:pPr>
          <w:hyperlink w:anchor="bookmark13" w:history="1"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5.总结</w:t>
            </w:r>
            <w:r>
              <w:rPr>
                <w:rFonts w:ascii="SimHei" w:eastAsia="SimHei" w:hAnsi="SimHei" w:cs="SimHei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SimHei" w:eastAsia="SimHei" w:hAnsi="SimHei" w:cs="SimHei"/>
                <w:spacing w:val="12"/>
                <w:w w:val="157"/>
                <w:sz w:val="20"/>
                <w:szCs w:val="20"/>
              </w:rPr>
              <w:t>9</w:t>
            </w:r>
          </w:hyperlink>
        </w:p>
      </w:sdtContent>
    </w:sdt>
    <w:p>
      <w:pPr>
        <w:spacing w:line="234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br/>
      </w:r>
      <w:r>
        <w:rPr>
          <w:rFonts w:ascii="SimHei" w:eastAsia="SimHei" w:hAnsi="SimHei" w:cs="Sim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https://d.book118.com/686204233052010042</w:t>
        </w:r>
      </w:hyperlink>
    </w:p>
    <w:p>
      <w:pPr>
        <w:spacing w:line="234" w:lineRule="auto"/>
        <w:rPr>
          <w:rFonts w:ascii="SimHei" w:eastAsia="SimHei" w:hAnsi="SimHei" w:cs="SimHei"/>
          <w:sz w:val="20"/>
          <w:szCs w:val="20"/>
        </w:rPr>
      </w:pPr>
    </w:p>
    <w:sectPr>
      <w:headerReference w:type="default" r:id="rId10"/>
      <w:pgSz w:w="11906" w:h="16839"/>
      <w:pgMar w:top="400" w:right="1785" w:bottom="0" w:left="1785" w:header="0" w:footer="0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5" w:line="206" w:lineRule="auto"/>
      <w:ind w:left="6901"/>
      <w:rPr>
        <w:sz w:val="20"/>
        <w:szCs w:val="20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655319</wp:posOffset>
          </wp:positionH>
          <wp:positionV relativeFrom="page">
            <wp:posOffset>1013459</wp:posOffset>
          </wp:positionV>
          <wp:extent cx="2001011" cy="2286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1011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3"/>
        <w:sz w:val="20"/>
        <w:szCs w:val="20"/>
      </w:rPr>
      <w:t>2023 年</w:t>
    </w:r>
    <w:r>
      <w:rPr>
        <w:spacing w:val="39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12</w:t>
    </w:r>
    <w:r>
      <w:rPr>
        <w:spacing w:val="12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月金融债月报</w:t>
    </w:r>
  </w:p>
  <w:p>
    <w:pPr>
      <w:spacing w:before="1" w:line="48" w:lineRule="exact"/>
    </w:pPr>
    <w:r>
      <w:rPr>
        <w:position w:val="-1"/>
      </w:rPr>
      <w:pict>
        <v:shape id="_x0000_i2049" style="width:472.35pt;height:2.9pt;mso-position-horizontal-relative:char;mso-position-vertical-relative:line" coordorigin="0,0" coordsize="9447,58" path="m,28l9446,28e" filled="f" strokecolor="#1f497d" strokeweight="2.88pt">
          <v:stroke joinstyle="bevel"/>
          <w10:wrap type="non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5" w:line="206" w:lineRule="auto"/>
      <w:ind w:left="6901"/>
      <w:rPr>
        <w:sz w:val="20"/>
        <w:szCs w:val="20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655319</wp:posOffset>
          </wp:positionH>
          <wp:positionV relativeFrom="page">
            <wp:posOffset>1013459</wp:posOffset>
          </wp:positionV>
          <wp:extent cx="2001011" cy="228600"/>
          <wp:effectExtent l="0" t="0" r="0" b="0"/>
          <wp:wrapNone/>
          <wp:docPr id="131569766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69766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1011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3"/>
        <w:sz w:val="20"/>
        <w:szCs w:val="20"/>
      </w:rPr>
      <w:t>2023 年</w:t>
    </w:r>
    <w:r>
      <w:rPr>
        <w:spacing w:val="39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12</w:t>
    </w:r>
    <w:r>
      <w:rPr>
        <w:spacing w:val="12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月金融债月报</w:t>
    </w:r>
  </w:p>
  <w:p>
    <w:pPr>
      <w:spacing w:before="1" w:line="48" w:lineRule="exact"/>
    </w:pPr>
    <w:r>
      <w:rPr>
        <w:position w:val="-1"/>
      </w:rPr>
      <w:pict>
        <v:shape id="_x0000_i2050" style="width:472.35pt;height:2.9pt;mso-position-horizontal-relative:char;mso-position-vertical-relative:line" coordorigin="0,0" coordsize="9447,58" path="m,28l9446,28e" filled="f" strokecolor="#1f497d" strokeweight="2.88pt">
          <v:stroke joinstyle="bevel"/>
          <w10:wrap type="non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5" w:line="206" w:lineRule="auto"/>
      <w:ind w:left="6901"/>
      <w:rPr>
        <w:sz w:val="20"/>
        <w:szCs w:val="20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655319</wp:posOffset>
          </wp:positionH>
          <wp:positionV relativeFrom="page">
            <wp:posOffset>1013459</wp:posOffset>
          </wp:positionV>
          <wp:extent cx="2001011" cy="228600"/>
          <wp:effectExtent l="0" t="0" r="0" b="0"/>
          <wp:wrapNone/>
          <wp:docPr id="35119711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119711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1011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3"/>
        <w:sz w:val="20"/>
        <w:szCs w:val="20"/>
      </w:rPr>
      <w:t>2023 年</w:t>
    </w:r>
    <w:r>
      <w:rPr>
        <w:spacing w:val="39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12</w:t>
    </w:r>
    <w:r>
      <w:rPr>
        <w:spacing w:val="12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月金融债月报</w:t>
    </w:r>
  </w:p>
  <w:p>
    <w:pPr>
      <w:spacing w:before="1" w:line="48" w:lineRule="exact"/>
    </w:pPr>
    <w:r>
      <w:rPr>
        <w:position w:val="-1"/>
      </w:rPr>
      <w:pict>
        <v:shape id="_x0000_i2051" style="width:472.35pt;height:2.9pt;mso-position-horizontal-relative:char;mso-position-vertical-relative:line" coordorigin="0,0" coordsize="9447,58" path="m,28l9446,28e" filled="f" strokecolor="#1f497d" strokeweight="2.88pt">
          <v:stroke joinstyle="bevel"/>
          <w10:wrap type="non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5" w:line="206" w:lineRule="auto"/>
      <w:ind w:left="6901"/>
      <w:rPr>
        <w:sz w:val="20"/>
        <w:szCs w:val="20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655319</wp:posOffset>
          </wp:positionH>
          <wp:positionV relativeFrom="page">
            <wp:posOffset>1013459</wp:posOffset>
          </wp:positionV>
          <wp:extent cx="2001011" cy="228600"/>
          <wp:effectExtent l="0" t="0" r="0" b="0"/>
          <wp:wrapNone/>
          <wp:docPr id="176524791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524791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1011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3"/>
        <w:sz w:val="20"/>
        <w:szCs w:val="20"/>
      </w:rPr>
      <w:t>2023 年</w:t>
    </w:r>
    <w:r>
      <w:rPr>
        <w:spacing w:val="39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12</w:t>
    </w:r>
    <w:r>
      <w:rPr>
        <w:spacing w:val="12"/>
        <w:w w:val="101"/>
        <w:sz w:val="20"/>
        <w:szCs w:val="20"/>
      </w:rPr>
      <w:t xml:space="preserve"> </w:t>
    </w:r>
    <w:r>
      <w:rPr>
        <w:spacing w:val="3"/>
        <w:sz w:val="20"/>
        <w:szCs w:val="20"/>
      </w:rPr>
      <w:t>月金融债月报</w:t>
    </w:r>
  </w:p>
  <w:p>
    <w:pPr>
      <w:spacing w:before="1" w:line="48" w:lineRule="exact"/>
    </w:pPr>
    <w:r>
      <w:rPr>
        <w:position w:val="-1"/>
      </w:rPr>
      <w:pict>
        <v:shape id="_x0000_i2052" style="width:472.35pt;height:2.9pt;mso-position-horizontal-relative:char;mso-position-vertical-relative:line" coordorigin="0,0" coordsize="9447,58" path="m,28l9446,28e" filled="f" strokecolor="#1f497d" strokeweight="2.88pt">
          <v:stroke joinstyle="bevel"/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TXihei" w:eastAsia="STXihei" w:hAnsi="STXihei" w:cs="STXihe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TXihei" w:eastAsia="STXihei" w:hAnsi="STXihei" w:cs="STXihei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jpeg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yperlink" Target="https://d.book118.com/686204233052010042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0</cp:revision>
  <dcterms:created xsi:type="dcterms:W3CDTF">2024-01-29T19:49:28Z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2024-01-29T19:58:39Z</vt:filetime>
  </property>
  <property fmtid="{D5CDD505-2E9C-101B-9397-08002B2CF9AE}" pid="3" name="CRO">
    <vt:lpwstr>wqlLaW5nc29mdCBQREYgdG8gV1BTIDkw</vt:lpwstr>
  </property>
</Properties>
</file>