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8"/>
        <w:rPr>
          <w:rFonts w:ascii="Times New Roman"/>
          <w:sz w:val="25"/>
        </w:rPr>
      </w:pPr>
    </w:p>
    <w:p>
      <w:pPr>
        <w:spacing w:before="60"/>
        <w:ind w:left="0" w:right="823" w:firstLine="0"/>
        <w:jc w:val="right"/>
        <w:rPr>
          <w:b/>
          <w:sz w:val="28"/>
        </w:rPr>
      </w:pPr>
      <w:r>
        <w:drawing>
          <wp:anchor distT="0" distB="0" distL="0" distR="0" simplePos="0" relativeHeight="251658240" behindDoc="0" locked="0" layoutInCell="1" allowOverlap="1">
            <wp:simplePos x="0" y="0"/>
            <wp:positionH relativeFrom="page">
              <wp:posOffset>4795773</wp:posOffset>
            </wp:positionH>
            <wp:positionV relativeFrom="paragraph">
              <wp:posOffset>208565</wp:posOffset>
            </wp:positionV>
            <wp:extent cx="796213" cy="3975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6213" cy="397509"/>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77.15pt;height:27.7pt;margin-top:-14.3pt;margin-left:58.54pt;mso-position-horizontal-relative:page;position:absolute;z-index:251659264"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
                    <w:gridCol w:w="88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6"/>
                      <w:jc w:val="left"/>
                    </w:trPr>
                    <w:tc>
                      <w:tcPr>
                        <w:tcW w:w="653" w:type="dxa"/>
                      </w:tcPr>
                      <w:p>
                        <w:pPr>
                          <w:pStyle w:val="TableParagraph"/>
                          <w:spacing w:line="234" w:lineRule="exact"/>
                          <w:ind w:left="200"/>
                          <w:rPr>
                            <w:rFonts w:ascii="Times New Roman"/>
                            <w:sz w:val="21"/>
                          </w:rPr>
                        </w:pPr>
                        <w:r>
                          <w:rPr>
                            <w:rFonts w:ascii="Times New Roman"/>
                            <w:sz w:val="21"/>
                          </w:rPr>
                          <w:t>ICS</w:t>
                        </w:r>
                      </w:p>
                    </w:tc>
                    <w:tc>
                      <w:tcPr>
                        <w:tcW w:w="889" w:type="dxa"/>
                      </w:tcPr>
                      <w:p>
                        <w:pPr>
                          <w:pStyle w:val="TableParagraph"/>
                          <w:spacing w:line="257" w:lineRule="exact"/>
                          <w:ind w:left="55"/>
                          <w:rPr>
                            <w:rFonts w:ascii="黑体"/>
                            <w:sz w:val="21"/>
                          </w:rPr>
                        </w:pPr>
                        <w:r>
                          <w:rPr>
                            <w:rFonts w:ascii="黑体"/>
                            <w:sz w:val="21"/>
                          </w:rPr>
                          <w:t>21.020</w:t>
                        </w:r>
                      </w:p>
                    </w:tc>
                  </w:tr>
                  <w:tr>
                    <w:tblPrEx>
                      <w:tblW w:w="0" w:type="auto"/>
                      <w:jc w:val="left"/>
                      <w:tblInd w:w="7" w:type="dxa"/>
                      <w:tblLayout w:type="fixed"/>
                      <w:tblCellMar>
                        <w:top w:w="0" w:type="dxa"/>
                        <w:left w:w="0" w:type="dxa"/>
                        <w:bottom w:w="0" w:type="dxa"/>
                        <w:right w:w="0" w:type="dxa"/>
                      </w:tblCellMar>
                      <w:tblLook w:val="01E0"/>
                    </w:tblPrEx>
                    <w:trPr>
                      <w:trHeight w:val="276"/>
                      <w:jc w:val="left"/>
                    </w:trPr>
                    <w:tc>
                      <w:tcPr>
                        <w:tcW w:w="653" w:type="dxa"/>
                      </w:tcPr>
                      <w:p>
                        <w:pPr>
                          <w:pStyle w:val="TableParagraph"/>
                          <w:spacing w:before="29" w:line="227" w:lineRule="exact"/>
                          <w:ind w:left="200"/>
                          <w:rPr>
                            <w:rFonts w:ascii="Times New Roman"/>
                            <w:sz w:val="21"/>
                          </w:rPr>
                        </w:pPr>
                        <w:r>
                          <w:rPr>
                            <w:rFonts w:ascii="Times New Roman"/>
                            <w:sz w:val="21"/>
                          </w:rPr>
                          <w:t>CCS</w:t>
                        </w:r>
                      </w:p>
                    </w:tc>
                    <w:tc>
                      <w:tcPr>
                        <w:tcW w:w="889" w:type="dxa"/>
                      </w:tcPr>
                      <w:p>
                        <w:pPr>
                          <w:pStyle w:val="TableParagraph"/>
                          <w:spacing w:before="37" w:line="220" w:lineRule="exact"/>
                          <w:ind w:left="55"/>
                          <w:rPr>
                            <w:rFonts w:ascii="黑体"/>
                            <w:sz w:val="21"/>
                          </w:rPr>
                        </w:pPr>
                        <w:r>
                          <w:rPr>
                            <w:rFonts w:ascii="黑体"/>
                            <w:sz w:val="21"/>
                          </w:rPr>
                          <w:t>J 09</w:t>
                        </w:r>
                      </w:p>
                    </w:tc>
                  </w:tr>
                </w:tbl>
                <w:p>
                  <w:pPr>
                    <w:pStyle w:val="BodyText"/>
                    <w:spacing w:before="0"/>
                  </w:pPr>
                </w:p>
              </w:txbxContent>
            </v:textbox>
          </v:shape>
        </w:pict>
      </w:r>
      <w:r>
        <w:rPr>
          <w:rFonts w:ascii="Times New Roman"/>
          <w:b/>
          <w:w w:val="125"/>
          <w:sz w:val="96"/>
        </w:rPr>
        <w:t>45</w:t>
      </w:r>
      <w:r>
        <w:rPr>
          <w:b/>
          <w:w w:val="129"/>
          <w:sz w:val="28"/>
        </w:rPr>
        <w:t xml:space="preserve"> </w:t>
      </w:r>
    </w:p>
    <w:p>
      <w:pPr>
        <w:tabs>
          <w:tab w:val="left" w:pos="977"/>
          <w:tab w:val="left" w:pos="1891"/>
          <w:tab w:val="left" w:pos="2807"/>
          <w:tab w:val="left" w:pos="3721"/>
          <w:tab w:val="left" w:pos="4637"/>
          <w:tab w:val="left" w:pos="5551"/>
          <w:tab w:val="left" w:pos="6472"/>
          <w:tab w:val="left" w:pos="7386"/>
          <w:tab w:val="left" w:pos="8303"/>
          <w:tab w:val="left" w:pos="9220"/>
        </w:tabs>
        <w:spacing w:before="253"/>
        <w:ind w:left="60" w:right="0" w:firstLine="0"/>
        <w:jc w:val="center"/>
        <w:rPr>
          <w:rFonts w:ascii="黑体" w:eastAsia="黑体" w:hint="eastAsia"/>
          <w:sz w:val="48"/>
        </w:rPr>
      </w:pPr>
      <w:r>
        <w:rPr>
          <w:rFonts w:ascii="黑体" w:eastAsia="黑体" w:hint="eastAsia"/>
          <w:sz w:val="48"/>
        </w:rPr>
        <w:t>广</w:t>
        <w:tab/>
        <w:t>西</w:t>
        <w:tab/>
        <w:t>壮</w:t>
        <w:tab/>
        <w:t>族</w:t>
        <w:tab/>
        <w:t>自</w:t>
        <w:tab/>
        <w:t>治</w:t>
        <w:tab/>
        <w:t>区</w:t>
        <w:tab/>
        <w:t>地</w:t>
        <w:tab/>
        <w:t>方</w:t>
        <w:tab/>
        <w:t>标</w:t>
        <w:tab/>
        <w:t>准</w:t>
      </w:r>
    </w:p>
    <w:p>
      <w:pPr>
        <w:spacing w:before="341"/>
        <w:ind w:left="0" w:right="407" w:firstLine="0"/>
        <w:jc w:val="right"/>
        <w:rPr>
          <w:rFonts w:ascii="黑体" w:hAnsi="黑体"/>
          <w:sz w:val="28"/>
        </w:rPr>
      </w:pPr>
      <w:r>
        <w:rPr>
          <w:rFonts w:ascii="黑体" w:hAnsi="黑体"/>
          <w:sz w:val="28"/>
        </w:rPr>
        <w:t>DB45/T</w:t>
      </w:r>
      <w:r>
        <w:rPr>
          <w:rFonts w:ascii="黑体" w:hAnsi="黑体"/>
          <w:spacing w:val="-6"/>
          <w:sz w:val="28"/>
        </w:rPr>
        <w:t xml:space="preserve"> </w:t>
      </w:r>
      <w:r>
        <w:rPr>
          <w:rFonts w:ascii="黑体" w:hAnsi="黑体"/>
          <w:sz w:val="28"/>
        </w:rPr>
        <w:t>2664—2023</w:t>
      </w:r>
    </w:p>
    <w:p>
      <w:pPr>
        <w:pStyle w:val="BodyText"/>
        <w:spacing w:before="0"/>
        <w:rPr>
          <w:rFonts w:ascii="黑体"/>
          <w:sz w:val="20"/>
        </w:rPr>
      </w:pPr>
    </w:p>
    <w:p>
      <w:pPr>
        <w:pStyle w:val="BodyText"/>
        <w:spacing w:before="5"/>
        <w:rPr>
          <w:rFonts w:ascii="黑体"/>
          <w:sz w:val="28"/>
        </w:rPr>
      </w:pPr>
      <w:r>
        <w:pict>
          <v:shape id="_x0000_s1026" style="width:481.85pt;height:0.1pt;margin-top:20.56pt;margin-left:70.9pt;mso-position-horizontal-relative:page;mso-wrap-distance-left:0;mso-wrap-distance-right:0;position:absolute;z-index:-251656192" coordorigin="1418,411" coordsize="9637,0" path="m1418,411l11055,411e" filled="f" stroked="t" strokecolor="black" strokeweight="0.75pt">
            <v:stroke dashstyle="solid"/>
            <v:path arrowok="t"/>
            <w10:wrap type="topAndBottom"/>
          </v:shape>
        </w:pict>
      </w: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5"/>
        <w:rPr>
          <w:rFonts w:ascii="黑体"/>
          <w:sz w:val="28"/>
        </w:rPr>
      </w:pPr>
    </w:p>
    <w:p>
      <w:pPr>
        <w:pStyle w:val="Title"/>
      </w:pPr>
      <w:r>
        <w:t>特种设备使用安全管理分类评价规范</w:t>
      </w:r>
    </w:p>
    <w:p>
      <w:pPr>
        <w:spacing w:before="373"/>
        <w:ind w:left="289" w:right="0" w:firstLine="0"/>
        <w:jc w:val="center"/>
        <w:rPr>
          <w:rFonts w:ascii="黑体"/>
          <w:sz w:val="28"/>
        </w:rPr>
      </w:pPr>
      <w:r>
        <w:rPr>
          <w:rFonts w:ascii="黑体"/>
          <w:sz w:val="28"/>
        </w:rPr>
        <w:t>Evaluation</w:t>
      </w:r>
      <w:r>
        <w:rPr>
          <w:rFonts w:ascii="黑体"/>
          <w:spacing w:val="-70"/>
          <w:sz w:val="28"/>
        </w:rPr>
        <w:t xml:space="preserve"> </w:t>
      </w:r>
      <w:r>
        <w:rPr>
          <w:rFonts w:ascii="黑体"/>
          <w:sz w:val="28"/>
        </w:rPr>
        <w:t>specification</w:t>
      </w:r>
      <w:r>
        <w:rPr>
          <w:rFonts w:ascii="黑体"/>
          <w:spacing w:val="-69"/>
          <w:sz w:val="28"/>
        </w:rPr>
        <w:t xml:space="preserve"> </w:t>
      </w:r>
      <w:r>
        <w:rPr>
          <w:rFonts w:ascii="黑体"/>
          <w:sz w:val="28"/>
        </w:rPr>
        <w:t>for</w:t>
      </w:r>
      <w:r>
        <w:rPr>
          <w:rFonts w:ascii="黑体"/>
          <w:spacing w:val="-71"/>
          <w:sz w:val="28"/>
        </w:rPr>
        <w:t xml:space="preserve"> </w:t>
      </w:r>
      <w:r>
        <w:rPr>
          <w:rFonts w:ascii="黑体"/>
          <w:sz w:val="28"/>
        </w:rPr>
        <w:t>safety</w:t>
      </w:r>
      <w:r>
        <w:rPr>
          <w:rFonts w:ascii="黑体"/>
          <w:spacing w:val="-72"/>
          <w:sz w:val="28"/>
        </w:rPr>
        <w:t xml:space="preserve"> </w:t>
      </w:r>
      <w:r>
        <w:rPr>
          <w:rFonts w:ascii="黑体"/>
          <w:sz w:val="28"/>
        </w:rPr>
        <w:t>management</w:t>
      </w:r>
      <w:r>
        <w:rPr>
          <w:rFonts w:ascii="黑体"/>
          <w:spacing w:val="-70"/>
          <w:sz w:val="28"/>
        </w:rPr>
        <w:t xml:space="preserve"> </w:t>
      </w:r>
      <w:r>
        <w:rPr>
          <w:rFonts w:ascii="黑体"/>
          <w:sz w:val="28"/>
        </w:rPr>
        <w:t>classification</w:t>
      </w:r>
      <w:r>
        <w:rPr>
          <w:rFonts w:ascii="黑体"/>
          <w:spacing w:val="-72"/>
          <w:sz w:val="28"/>
        </w:rPr>
        <w:t xml:space="preserve"> </w:t>
      </w:r>
      <w:r>
        <w:rPr>
          <w:rFonts w:ascii="黑体"/>
          <w:sz w:val="28"/>
        </w:rPr>
        <w:t>of</w:t>
      </w:r>
      <w:r>
        <w:rPr>
          <w:rFonts w:ascii="黑体"/>
          <w:spacing w:val="-71"/>
          <w:sz w:val="28"/>
        </w:rPr>
        <w:t xml:space="preserve"> </w:t>
      </w:r>
      <w:r>
        <w:rPr>
          <w:rFonts w:ascii="黑体"/>
          <w:sz w:val="28"/>
        </w:rPr>
        <w:t>special equipment</w:t>
      </w: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pStyle w:val="BodyText"/>
        <w:spacing w:before="0"/>
        <w:rPr>
          <w:rFonts w:ascii="黑体"/>
          <w:sz w:val="28"/>
        </w:rPr>
      </w:pPr>
    </w:p>
    <w:p>
      <w:pPr>
        <w:tabs>
          <w:tab w:val="left" w:pos="7672"/>
        </w:tabs>
        <w:spacing w:before="235"/>
        <w:ind w:left="317" w:right="0" w:firstLine="0"/>
        <w:jc w:val="center"/>
        <w:rPr>
          <w:rFonts w:ascii="黑体" w:eastAsia="黑体" w:hint="eastAsia"/>
          <w:sz w:val="28"/>
        </w:rPr>
      </w:pPr>
      <w:r>
        <w:pict>
          <v:shape id="_x0000_s1027" style="width:481.85pt;height:0.1pt;margin-top:31.37pt;margin-left:70.85pt;mso-position-horizontal-relative:page;mso-wrap-distance-left:0;mso-wrap-distance-right:0;position:absolute;z-index:-251655168" coordorigin="1417,627" coordsize="9637,0" path="m1417,627l11054,627e" filled="f" stroked="t" strokecolor="black" strokeweight="0.75pt">
            <v:stroke dashstyle="solid"/>
            <v:path arrowok="t"/>
            <w10:wrap type="topAndBottom"/>
          </v:shape>
        </w:pict>
      </w:r>
      <w:r>
        <w:rPr>
          <w:rFonts w:ascii="黑体" w:eastAsia="黑体" w:hint="eastAsia"/>
          <w:sz w:val="28"/>
        </w:rPr>
        <w:t>2023</w:t>
      </w:r>
      <w:r>
        <w:rPr>
          <w:rFonts w:ascii="黑体" w:eastAsia="黑体" w:hint="eastAsia"/>
          <w:spacing w:val="-70"/>
          <w:sz w:val="28"/>
        </w:rPr>
        <w:t xml:space="preserve"> </w:t>
      </w:r>
      <w:r>
        <w:rPr>
          <w:rFonts w:ascii="黑体" w:eastAsia="黑体" w:hint="eastAsia"/>
          <w:sz w:val="28"/>
        </w:rPr>
        <w:t>-</w:t>
      </w:r>
      <w:r>
        <w:rPr>
          <w:rFonts w:ascii="黑体" w:eastAsia="黑体" w:hint="eastAsia"/>
          <w:spacing w:val="-72"/>
          <w:sz w:val="28"/>
        </w:rPr>
        <w:t xml:space="preserve"> </w:t>
      </w:r>
      <w:r>
        <w:rPr>
          <w:rFonts w:ascii="黑体" w:eastAsia="黑体" w:hint="eastAsia"/>
          <w:sz w:val="28"/>
        </w:rPr>
        <w:t>05</w:t>
      </w:r>
      <w:r>
        <w:rPr>
          <w:rFonts w:ascii="黑体" w:eastAsia="黑体" w:hint="eastAsia"/>
          <w:spacing w:val="-72"/>
          <w:sz w:val="28"/>
        </w:rPr>
        <w:t xml:space="preserve"> </w:t>
      </w:r>
      <w:r>
        <w:rPr>
          <w:rFonts w:ascii="黑体" w:eastAsia="黑体" w:hint="eastAsia"/>
          <w:sz w:val="28"/>
        </w:rPr>
        <w:t>-</w:t>
      </w:r>
      <w:r>
        <w:rPr>
          <w:rFonts w:ascii="黑体" w:eastAsia="黑体" w:hint="eastAsia"/>
          <w:spacing w:val="-70"/>
          <w:sz w:val="28"/>
        </w:rPr>
        <w:t xml:space="preserve"> </w:t>
      </w:r>
      <w:r>
        <w:rPr>
          <w:rFonts w:ascii="黑体" w:eastAsia="黑体" w:hint="eastAsia"/>
          <w:sz w:val="28"/>
        </w:rPr>
        <w:t>30</w:t>
      </w:r>
      <w:r>
        <w:rPr>
          <w:rFonts w:ascii="黑体" w:eastAsia="黑体" w:hint="eastAsia"/>
          <w:spacing w:val="-71"/>
          <w:sz w:val="28"/>
        </w:rPr>
        <w:t xml:space="preserve"> </w:t>
      </w:r>
      <w:r>
        <w:rPr>
          <w:rFonts w:ascii="黑体" w:eastAsia="黑体" w:hint="eastAsia"/>
          <w:sz w:val="28"/>
        </w:rPr>
        <w:t>发布</w:t>
        <w:tab/>
        <w:t>2023</w:t>
      </w:r>
      <w:r>
        <w:rPr>
          <w:rFonts w:ascii="黑体" w:eastAsia="黑体" w:hint="eastAsia"/>
          <w:spacing w:val="-70"/>
          <w:sz w:val="28"/>
        </w:rPr>
        <w:t xml:space="preserve"> </w:t>
      </w:r>
      <w:r>
        <w:rPr>
          <w:rFonts w:ascii="黑体" w:eastAsia="黑体" w:hint="eastAsia"/>
          <w:sz w:val="28"/>
        </w:rPr>
        <w:t>-</w:t>
      </w:r>
      <w:r>
        <w:rPr>
          <w:rFonts w:ascii="黑体" w:eastAsia="黑体" w:hint="eastAsia"/>
          <w:spacing w:val="-72"/>
          <w:sz w:val="28"/>
        </w:rPr>
        <w:t xml:space="preserve"> </w:t>
      </w:r>
      <w:r>
        <w:rPr>
          <w:rFonts w:ascii="黑体" w:eastAsia="黑体" w:hint="eastAsia"/>
          <w:sz w:val="28"/>
        </w:rPr>
        <w:t>08</w:t>
      </w:r>
      <w:r>
        <w:rPr>
          <w:rFonts w:ascii="黑体" w:eastAsia="黑体" w:hint="eastAsia"/>
          <w:spacing w:val="-72"/>
          <w:sz w:val="28"/>
        </w:rPr>
        <w:t xml:space="preserve"> </w:t>
      </w:r>
      <w:r>
        <w:rPr>
          <w:rFonts w:ascii="黑体" w:eastAsia="黑体" w:hint="eastAsia"/>
          <w:sz w:val="28"/>
        </w:rPr>
        <w:t>-</w:t>
      </w:r>
      <w:r>
        <w:rPr>
          <w:rFonts w:ascii="黑体" w:eastAsia="黑体" w:hint="eastAsia"/>
          <w:spacing w:val="-69"/>
          <w:sz w:val="28"/>
        </w:rPr>
        <w:t xml:space="preserve"> </w:t>
      </w:r>
      <w:r>
        <w:rPr>
          <w:rFonts w:ascii="黑体" w:eastAsia="黑体" w:hint="eastAsia"/>
          <w:sz w:val="28"/>
        </w:rPr>
        <w:t>30</w:t>
      </w:r>
      <w:r>
        <w:rPr>
          <w:rFonts w:ascii="黑体" w:eastAsia="黑体" w:hint="eastAsia"/>
          <w:spacing w:val="-72"/>
          <w:sz w:val="28"/>
        </w:rPr>
        <w:t xml:space="preserve"> </w:t>
      </w:r>
      <w:r>
        <w:rPr>
          <w:rFonts w:ascii="黑体" w:eastAsia="黑体" w:hint="eastAsia"/>
          <w:sz w:val="28"/>
        </w:rPr>
        <w:t>实施</w:t>
      </w:r>
    </w:p>
    <w:p>
      <w:pPr>
        <w:pStyle w:val="BodyText"/>
        <w:spacing w:before="0"/>
        <w:rPr>
          <w:rFonts w:ascii="黑体"/>
          <w:sz w:val="28"/>
        </w:rPr>
      </w:pPr>
    </w:p>
    <w:p>
      <w:pPr>
        <w:pStyle w:val="BodyText"/>
        <w:spacing w:before="7"/>
        <w:rPr>
          <w:rFonts w:ascii="黑体"/>
          <w:sz w:val="31"/>
        </w:rPr>
      </w:pPr>
    </w:p>
    <w:p>
      <w:pPr>
        <w:tabs>
          <w:tab w:val="left" w:pos="4481"/>
        </w:tabs>
        <w:spacing w:before="0"/>
        <w:ind w:left="2" w:right="0" w:firstLine="0"/>
        <w:jc w:val="center"/>
        <w:rPr>
          <w:rFonts w:ascii="黑体" w:eastAsia="黑体" w:hint="eastAsia"/>
          <w:sz w:val="28"/>
        </w:rPr>
      </w:pPr>
      <w:r>
        <w:rPr>
          <w:rFonts w:ascii="黑体" w:eastAsia="黑体" w:hint="eastAsia"/>
          <w:sz w:val="28"/>
        </w:rPr>
        <w:t>广西壮</w:t>
      </w:r>
      <w:r>
        <w:rPr>
          <w:rFonts w:ascii="黑体" w:eastAsia="黑体" w:hint="eastAsia"/>
          <w:spacing w:val="-3"/>
          <w:sz w:val="28"/>
        </w:rPr>
        <w:t>族</w:t>
      </w:r>
      <w:r>
        <w:rPr>
          <w:rFonts w:ascii="黑体" w:eastAsia="黑体" w:hint="eastAsia"/>
          <w:sz w:val="28"/>
        </w:rPr>
        <w:t>自治</w:t>
      </w:r>
      <w:r>
        <w:rPr>
          <w:rFonts w:ascii="黑体" w:eastAsia="黑体" w:hint="eastAsia"/>
          <w:spacing w:val="-3"/>
          <w:sz w:val="28"/>
        </w:rPr>
        <w:t>区市</w:t>
      </w:r>
      <w:r>
        <w:rPr>
          <w:rFonts w:ascii="黑体" w:eastAsia="黑体" w:hint="eastAsia"/>
          <w:sz w:val="28"/>
        </w:rPr>
        <w:t>场监督</w:t>
      </w:r>
      <w:r>
        <w:rPr>
          <w:rFonts w:ascii="黑体" w:eastAsia="黑体" w:hint="eastAsia"/>
          <w:spacing w:val="-3"/>
          <w:sz w:val="28"/>
        </w:rPr>
        <w:t>管</w:t>
      </w:r>
      <w:r>
        <w:rPr>
          <w:rFonts w:ascii="黑体" w:eastAsia="黑体" w:hint="eastAsia"/>
          <w:sz w:val="28"/>
        </w:rPr>
        <w:t>理局</w:t>
        <w:tab/>
        <w:t>发</w:t>
      </w:r>
      <w:r>
        <w:rPr>
          <w:rFonts w:ascii="黑体" w:eastAsia="黑体" w:hint="eastAsia"/>
          <w:spacing w:val="28"/>
          <w:sz w:val="28"/>
        </w:rPr>
        <w:t xml:space="preserve"> </w:t>
      </w:r>
      <w:r>
        <w:rPr>
          <w:rFonts w:ascii="黑体" w:eastAsia="黑体" w:hint="eastAsia"/>
          <w:sz w:val="28"/>
        </w:rPr>
        <w:t>布</w:t>
      </w:r>
    </w:p>
    <w:p>
      <w:pPr>
        <w:pStyle w:val="BodyText"/>
        <w:spacing w:before="0"/>
        <w:rPr>
          <w:rFonts w:ascii="黑体"/>
          <w:sz w:val="20"/>
        </w:rPr>
      </w:pPr>
    </w:p>
    <w:p>
      <w:pPr>
        <w:pStyle w:val="BodyText"/>
        <w:spacing w:before="0"/>
        <w:rPr>
          <w:rFonts w:ascii="黑体"/>
          <w:sz w:val="20"/>
        </w:rPr>
      </w:pPr>
    </w:p>
    <w:p>
      <w:pPr>
        <w:pStyle w:val="BodyText"/>
        <w:spacing w:before="0"/>
        <w:rPr>
          <w:rFonts w:ascii="黑体"/>
          <w:sz w:val="20"/>
        </w:rPr>
      </w:pPr>
    </w:p>
    <w:p>
      <w:pPr>
        <w:pStyle w:val="BodyText"/>
        <w:spacing w:before="6"/>
        <w:rPr>
          <w:rFonts w:ascii="黑体"/>
          <w:sz w:val="15"/>
        </w:rPr>
      </w:pPr>
    </w:p>
    <w:p>
      <w:pPr>
        <w:pStyle w:val="BodyText"/>
        <w:spacing w:before="0"/>
        <w:rPr>
          <w:rFonts w:ascii="黑体"/>
          <w:sz w:val="2"/>
        </w:rPr>
      </w:pPr>
    </w:p>
    <w:p>
      <w:pPr>
        <w:pStyle w:val="BodyText"/>
        <w:spacing w:before="0"/>
        <w:rPr>
          <w:rFonts w:ascii="黑体"/>
          <w:sz w:val="2"/>
        </w:rPr>
        <w:sectPr>
          <w:type w:val="continuous"/>
          <w:pgSz w:w="11910" w:h="16840"/>
          <w:pgMar w:top="540" w:right="720" w:bottom="0" w:left="1000" w:header="708" w:footer="708"/>
          <w:cols w:space="708"/>
        </w:sectPr>
      </w:pPr>
    </w:p>
    <w:p>
      <w:pPr>
        <w:pStyle w:val="BodyText"/>
        <w:spacing w:before="0"/>
        <w:rPr>
          <w:rFonts w:ascii="黑体"/>
          <w:sz w:val="2"/>
        </w:rPr>
      </w:pPr>
    </w:p>
    <w:p>
      <w:pPr>
        <w:pStyle w:val="BodyText"/>
        <w:spacing w:before="0"/>
        <w:rPr>
          <w:rFonts w:ascii="黑体"/>
          <w:sz w:val="2"/>
        </w:rPr>
      </w:pPr>
    </w:p>
    <w:p>
      <w:pPr>
        <w:spacing w:before="0"/>
        <w:ind w:left="418" w:right="0" w:firstLine="0"/>
        <w:jc w:val="left"/>
        <w:rPr>
          <w:sz w:val="2"/>
        </w:rPr>
      </w:pPr>
      <w:r>
        <w:rPr>
          <w:w w:val="96"/>
          <w:sz w:val="2"/>
        </w:rPr>
        <w:t xml:space="preserve"> </w:t>
      </w:r>
    </w:p>
    <w:p>
      <w:pPr>
        <w:spacing w:after="0"/>
        <w:jc w:val="left"/>
        <w:rPr>
          <w:sz w:val="2"/>
        </w:rPr>
        <w:sectPr>
          <w:type w:val="nextPage"/>
          <w:pgSz w:w="11910" w:h="16840"/>
          <w:pgMar w:top="540" w:right="720" w:bottom="0" w:left="1000" w:header="708" w:footer="708"/>
          <w:pgNumType w:start="2"/>
          <w:cols w:space="708"/>
          <w:titlePg w:val="0"/>
        </w:sectPr>
      </w:pPr>
    </w:p>
    <w:p>
      <w:pPr>
        <w:pStyle w:val="BodyText"/>
        <w:spacing w:before="7"/>
        <w:rPr>
          <w:sz w:val="15"/>
        </w:rPr>
      </w:pPr>
    </w:p>
    <w:p>
      <w:pPr>
        <w:spacing w:after="0"/>
        <w:rPr>
          <w:sz w:val="15"/>
        </w:rPr>
        <w:sectPr>
          <w:pgSz w:w="11910" w:h="16840"/>
          <w:pgMar w:top="1580" w:right="720" w:bottom="280" w:left="1000" w:header="708" w:footer="708"/>
          <w:pgNumType w:start="3"/>
          <w:cols w:space="708"/>
        </w:sectPr>
      </w:pPr>
    </w:p>
    <w:p>
      <w:pPr>
        <w:pStyle w:val="BodyText"/>
        <w:spacing w:before="0"/>
        <w:rPr>
          <w:sz w:val="20"/>
        </w:rPr>
      </w:pPr>
    </w:p>
    <w:p>
      <w:pPr>
        <w:pStyle w:val="BodyText"/>
        <w:spacing w:before="0"/>
        <w:rPr>
          <w:sz w:val="20"/>
        </w:rPr>
      </w:pPr>
    </w:p>
    <w:p>
      <w:pPr>
        <w:pStyle w:val="BodyText"/>
        <w:spacing w:before="4"/>
        <w:rPr>
          <w:sz w:val="22"/>
        </w:rPr>
      </w:pPr>
    </w:p>
    <w:p>
      <w:pPr>
        <w:pStyle w:val="Heading1"/>
        <w:tabs>
          <w:tab w:val="left" w:pos="965"/>
        </w:tabs>
        <w:ind w:left="5"/>
      </w:pPr>
      <w:r>
        <w:t>目</w:t>
        <w:tab/>
        <w:t>次</w:t>
      </w:r>
    </w:p>
    <w:p>
      <w:pPr>
        <w:pStyle w:val="BodyText"/>
        <w:spacing w:before="0"/>
        <w:rPr>
          <w:rFonts w:ascii="黑体"/>
          <w:sz w:val="32"/>
        </w:rPr>
      </w:pPr>
    </w:p>
    <w:p>
      <w:pPr>
        <w:pStyle w:val="BodyText"/>
        <w:tabs>
          <w:tab w:val="left" w:leader="dot" w:pos="9456"/>
        </w:tabs>
        <w:spacing w:before="277"/>
        <w:ind w:left="418"/>
      </w:pPr>
      <w:hyperlink w:anchor="_bookmark0" w:history="1">
        <w:r>
          <w:t>前言</w:t>
          <w:tab/>
          <w:t>II</w:t>
        </w:r>
      </w:hyperlink>
    </w:p>
    <w:p>
      <w:pPr>
        <w:pStyle w:val="BodyText"/>
        <w:tabs>
          <w:tab w:val="left" w:leader="dot" w:pos="9561"/>
        </w:tabs>
        <w:spacing w:before="132"/>
        <w:ind w:left="418"/>
      </w:pPr>
      <w:hyperlink w:anchor="_bookmark1" w:history="1">
        <w:r>
          <w:t xml:space="preserve">1 </w:t>
        </w:r>
        <w:r>
          <w:rPr>
            <w:spacing w:val="2"/>
          </w:rPr>
          <w:t xml:space="preserve"> </w:t>
        </w:r>
        <w:r>
          <w:rPr>
            <w:spacing w:val="-3"/>
          </w:rPr>
          <w:t>范围</w:t>
          <w:tab/>
        </w:r>
        <w:r>
          <w:t>1</w:t>
        </w:r>
      </w:hyperlink>
    </w:p>
    <w:p>
      <w:pPr>
        <w:pStyle w:val="BodyText"/>
        <w:tabs>
          <w:tab w:val="left" w:leader="dot" w:pos="9561"/>
        </w:tabs>
        <w:spacing w:before="131"/>
        <w:ind w:left="418"/>
      </w:pPr>
      <w:hyperlink w:anchor="_bookmark2" w:history="1">
        <w:r>
          <w:t xml:space="preserve">2 </w:t>
        </w:r>
        <w:r>
          <w:rPr>
            <w:spacing w:val="6"/>
          </w:rPr>
          <w:t xml:space="preserve"> </w:t>
        </w:r>
        <w:r>
          <w:rPr>
            <w:spacing w:val="-3"/>
          </w:rPr>
          <w:t>规</w:t>
        </w:r>
        <w:r>
          <w:t>范</w:t>
        </w:r>
        <w:r>
          <w:rPr>
            <w:spacing w:val="-3"/>
          </w:rPr>
          <w:t>性</w:t>
        </w:r>
        <w:r>
          <w:t>引</w:t>
        </w:r>
        <w:r>
          <w:rPr>
            <w:spacing w:val="-3"/>
          </w:rPr>
          <w:t>用</w:t>
        </w:r>
        <w:r>
          <w:t>文件</w:t>
          <w:tab/>
          <w:t>1</w:t>
        </w:r>
      </w:hyperlink>
    </w:p>
    <w:p>
      <w:pPr>
        <w:pStyle w:val="BodyText"/>
        <w:tabs>
          <w:tab w:val="left" w:leader="dot" w:pos="9561"/>
        </w:tabs>
        <w:spacing w:before="130"/>
        <w:ind w:left="418"/>
      </w:pPr>
      <w:hyperlink w:anchor="_bookmark3" w:history="1">
        <w:r>
          <w:t xml:space="preserve">3 </w:t>
        </w:r>
        <w:r>
          <w:rPr>
            <w:spacing w:val="5"/>
          </w:rPr>
          <w:t xml:space="preserve"> </w:t>
        </w:r>
        <w:r>
          <w:rPr>
            <w:spacing w:val="-3"/>
          </w:rPr>
          <w:t>术</w:t>
        </w:r>
        <w:r>
          <w:t>语</w:t>
        </w:r>
        <w:r>
          <w:rPr>
            <w:spacing w:val="-3"/>
          </w:rPr>
          <w:t>和</w:t>
        </w:r>
        <w:r>
          <w:t>定义</w:t>
          <w:tab/>
          <w:t>1</w:t>
        </w:r>
      </w:hyperlink>
    </w:p>
    <w:p>
      <w:pPr>
        <w:pStyle w:val="BodyText"/>
        <w:tabs>
          <w:tab w:val="left" w:leader="dot" w:pos="9561"/>
        </w:tabs>
        <w:spacing w:before="132"/>
        <w:ind w:left="418"/>
      </w:pPr>
      <w:hyperlink w:anchor="_bookmark4" w:history="1">
        <w:r>
          <w:t xml:space="preserve">4 </w:t>
        </w:r>
        <w:r>
          <w:rPr>
            <w:spacing w:val="4"/>
          </w:rPr>
          <w:t xml:space="preserve"> </w:t>
        </w:r>
        <w:r>
          <w:rPr>
            <w:spacing w:val="-3"/>
          </w:rPr>
          <w:t>基</w:t>
        </w:r>
        <w:r>
          <w:t>本</w:t>
        </w:r>
        <w:r>
          <w:rPr>
            <w:spacing w:val="-3"/>
          </w:rPr>
          <w:t>要</w:t>
        </w:r>
        <w:r>
          <w:t>求</w:t>
          <w:tab/>
          <w:t>2</w:t>
        </w:r>
      </w:hyperlink>
    </w:p>
    <w:p>
      <w:pPr>
        <w:pStyle w:val="BodyText"/>
        <w:tabs>
          <w:tab w:val="left" w:leader="dot" w:pos="9561"/>
        </w:tabs>
        <w:spacing w:before="132"/>
        <w:ind w:left="418"/>
      </w:pPr>
      <w:hyperlink w:anchor="_bookmark5" w:history="1">
        <w:r>
          <w:t xml:space="preserve">5 </w:t>
        </w:r>
        <w:r>
          <w:rPr>
            <w:spacing w:val="4"/>
          </w:rPr>
          <w:t xml:space="preserve"> </w:t>
        </w:r>
        <w:r>
          <w:rPr>
            <w:spacing w:val="-3"/>
          </w:rPr>
          <w:t>分</w:t>
        </w:r>
        <w:r>
          <w:t>类</w:t>
        </w:r>
        <w:r>
          <w:rPr>
            <w:spacing w:val="-3"/>
          </w:rPr>
          <w:t>评</w:t>
        </w:r>
        <w:r>
          <w:t>价</w:t>
          <w:tab/>
          <w:t>2</w:t>
        </w:r>
      </w:hyperlink>
    </w:p>
    <w:p>
      <w:pPr>
        <w:pStyle w:val="BodyText"/>
        <w:tabs>
          <w:tab w:val="left" w:leader="dot" w:pos="9561"/>
        </w:tabs>
        <w:spacing w:before="129"/>
        <w:ind w:left="418"/>
      </w:pPr>
      <w:hyperlink w:anchor="_bookmark6" w:history="1">
        <w:r>
          <w:t>附录</w:t>
        </w:r>
        <w:r>
          <w:rPr>
            <w:spacing w:val="-51"/>
          </w:rPr>
          <w:t xml:space="preserve"> </w:t>
        </w:r>
        <w:r>
          <w:t>A（</w:t>
        </w:r>
        <w:r>
          <w:rPr>
            <w:spacing w:val="-3"/>
          </w:rPr>
          <w:t>规</w:t>
        </w:r>
        <w:r>
          <w:t>范</w:t>
        </w:r>
        <w:r>
          <w:rPr>
            <w:spacing w:val="-3"/>
          </w:rPr>
          <w:t>性</w:t>
        </w:r>
        <w:r>
          <w:t xml:space="preserve">） </w:t>
        </w:r>
        <w:r>
          <w:rPr>
            <w:spacing w:val="11"/>
          </w:rPr>
          <w:t xml:space="preserve"> </w:t>
        </w:r>
        <w:r>
          <w:t>特</w:t>
        </w:r>
        <w:r>
          <w:rPr>
            <w:spacing w:val="-3"/>
          </w:rPr>
          <w:t>种</w:t>
        </w:r>
        <w:r>
          <w:t>设备</w:t>
        </w:r>
        <w:r>
          <w:rPr>
            <w:spacing w:val="-3"/>
          </w:rPr>
          <w:t>使</w:t>
        </w:r>
        <w:r>
          <w:t>用</w:t>
        </w:r>
        <w:r>
          <w:rPr>
            <w:spacing w:val="-3"/>
          </w:rPr>
          <w:t>单</w:t>
        </w:r>
        <w:r>
          <w:t>位</w:t>
        </w:r>
        <w:r>
          <w:rPr>
            <w:spacing w:val="-3"/>
          </w:rPr>
          <w:t>安</w:t>
        </w:r>
        <w:r>
          <w:t>全</w:t>
        </w:r>
        <w:r>
          <w:rPr>
            <w:spacing w:val="-3"/>
          </w:rPr>
          <w:t>管</w:t>
        </w:r>
        <w:r>
          <w:t>理</w:t>
        </w:r>
        <w:r>
          <w:rPr>
            <w:spacing w:val="-3"/>
          </w:rPr>
          <w:t>评</w:t>
        </w:r>
        <w:r>
          <w:t>价表</w:t>
          <w:tab/>
          <w:t>5</w:t>
        </w:r>
      </w:hyperlink>
    </w:p>
    <w:p>
      <w:pPr>
        <w:pStyle w:val="BodyText"/>
        <w:tabs>
          <w:tab w:val="left" w:leader="dot" w:pos="9561"/>
        </w:tabs>
        <w:spacing w:before="132"/>
        <w:ind w:left="418"/>
      </w:pPr>
      <w:hyperlink w:anchor="_bookmark7" w:history="1">
        <w:r>
          <w:t>附录</w:t>
        </w:r>
        <w:r>
          <w:rPr>
            <w:spacing w:val="-51"/>
          </w:rPr>
          <w:t xml:space="preserve"> </w:t>
        </w:r>
        <w:r>
          <w:t>B（</w:t>
        </w:r>
        <w:r>
          <w:rPr>
            <w:spacing w:val="-3"/>
          </w:rPr>
          <w:t>规</w:t>
        </w:r>
        <w:r>
          <w:t>范</w:t>
        </w:r>
        <w:r>
          <w:rPr>
            <w:spacing w:val="-3"/>
          </w:rPr>
          <w:t>性</w:t>
        </w:r>
        <w:r>
          <w:t xml:space="preserve">） </w:t>
        </w:r>
        <w:r>
          <w:rPr>
            <w:spacing w:val="11"/>
          </w:rPr>
          <w:t xml:space="preserve"> </w:t>
        </w:r>
        <w:r>
          <w:t>特</w:t>
        </w:r>
        <w:r>
          <w:rPr>
            <w:spacing w:val="-3"/>
          </w:rPr>
          <w:t>种</w:t>
        </w:r>
        <w:r>
          <w:t>设备</w:t>
        </w:r>
        <w:r>
          <w:rPr>
            <w:spacing w:val="-3"/>
          </w:rPr>
          <w:t>使</w:t>
        </w:r>
        <w:r>
          <w:t>用</w:t>
        </w:r>
        <w:r>
          <w:rPr>
            <w:spacing w:val="-3"/>
          </w:rPr>
          <w:t>安</w:t>
        </w:r>
        <w:r>
          <w:t>全</w:t>
        </w:r>
        <w:r>
          <w:rPr>
            <w:spacing w:val="-3"/>
          </w:rPr>
          <w:t>管</w:t>
        </w:r>
        <w:r>
          <w:t>理</w:t>
        </w:r>
        <w:r>
          <w:rPr>
            <w:spacing w:val="-3"/>
          </w:rPr>
          <w:t>分</w:t>
        </w:r>
        <w:r>
          <w:t>种</w:t>
        </w:r>
        <w:r>
          <w:rPr>
            <w:spacing w:val="-3"/>
          </w:rPr>
          <w:t>类</w:t>
        </w:r>
        <w:r>
          <w:t>评价表</w:t>
          <w:tab/>
          <w:t>8</w:t>
        </w:r>
      </w:hyperlink>
    </w:p>
    <w:p>
      <w:pPr>
        <w:pStyle w:val="BodyText"/>
        <w:tabs>
          <w:tab w:val="left" w:leader="dot" w:pos="9456"/>
        </w:tabs>
        <w:spacing w:before="132"/>
        <w:ind w:left="418"/>
      </w:pPr>
      <w:hyperlink w:anchor="_bookmark8" w:history="1">
        <w:r>
          <w:t>附录</w:t>
        </w:r>
        <w:r>
          <w:rPr>
            <w:spacing w:val="-50"/>
          </w:rPr>
          <w:t xml:space="preserve"> </w:t>
        </w:r>
        <w:r>
          <w:t>C（</w:t>
        </w:r>
        <w:r>
          <w:rPr>
            <w:spacing w:val="-3"/>
          </w:rPr>
          <w:t>规</w:t>
        </w:r>
        <w:r>
          <w:t>范</w:t>
        </w:r>
        <w:r>
          <w:rPr>
            <w:spacing w:val="-3"/>
          </w:rPr>
          <w:t>性</w:t>
        </w:r>
        <w:r>
          <w:t xml:space="preserve">） </w:t>
        </w:r>
        <w:r>
          <w:rPr>
            <w:spacing w:val="10"/>
          </w:rPr>
          <w:t xml:space="preserve"> </w:t>
        </w:r>
        <w:r>
          <w:t>特</w:t>
        </w:r>
        <w:r>
          <w:rPr>
            <w:spacing w:val="-3"/>
          </w:rPr>
          <w:t>种</w:t>
        </w:r>
        <w:r>
          <w:t>设备</w:t>
        </w:r>
        <w:r>
          <w:rPr>
            <w:spacing w:val="-3"/>
          </w:rPr>
          <w:t>使</w:t>
        </w:r>
        <w:r>
          <w:t>用</w:t>
        </w:r>
        <w:r>
          <w:rPr>
            <w:spacing w:val="-3"/>
          </w:rPr>
          <w:t>安</w:t>
        </w:r>
        <w:r>
          <w:t>全</w:t>
        </w:r>
        <w:r>
          <w:rPr>
            <w:spacing w:val="-3"/>
          </w:rPr>
          <w:t>管</w:t>
        </w:r>
        <w:r>
          <w:t>理</w:t>
        </w:r>
        <w:r>
          <w:rPr>
            <w:spacing w:val="-3"/>
          </w:rPr>
          <w:t>分</w:t>
        </w:r>
        <w:r>
          <w:t>类</w:t>
        </w:r>
        <w:r>
          <w:rPr>
            <w:spacing w:val="-3"/>
          </w:rPr>
          <w:t>评</w:t>
        </w:r>
        <w:r>
          <w:t>价报告</w:t>
          <w:tab/>
          <w:t>31</w:t>
        </w:r>
      </w:hyperlink>
    </w:p>
    <w:p>
      <w:pPr>
        <w:spacing w:after="0"/>
        <w:sectPr>
          <w:headerReference w:type="even" r:id="rId5"/>
          <w:headerReference w:type="default" r:id="rId6"/>
          <w:footerReference w:type="even" r:id="rId7"/>
          <w:footerReference w:type="default" r:id="rId8"/>
          <w:pgSz w:w="11910" w:h="16840"/>
          <w:pgMar w:top="1640" w:right="720" w:bottom="1340" w:left="1000" w:header="1448" w:footer="1141"/>
          <w:pgNumType w:start="4"/>
          <w:cols w:space="708"/>
        </w:sectPr>
      </w:pPr>
    </w:p>
    <w:p>
      <w:pPr>
        <w:pStyle w:val="BodyText"/>
        <w:spacing w:before="10"/>
        <w:rPr>
          <w:sz w:val="25"/>
        </w:rPr>
      </w:pPr>
    </w:p>
    <w:p>
      <w:pPr>
        <w:pStyle w:val="Heading1"/>
        <w:tabs>
          <w:tab w:val="left" w:pos="960"/>
        </w:tabs>
        <w:ind w:right="141"/>
      </w:pPr>
      <w:bookmarkStart w:id="0" w:name="_bookmark0"/>
      <w:bookmarkEnd w:id="0"/>
      <w:r>
        <w:t>前</w:t>
        <w:tab/>
        <w:t>言</w:t>
      </w:r>
    </w:p>
    <w:p>
      <w:pPr>
        <w:pStyle w:val="BodyText"/>
        <w:spacing w:before="11"/>
        <w:rPr>
          <w:rFonts w:ascii="黑体"/>
          <w:sz w:val="46"/>
        </w:rPr>
      </w:pPr>
    </w:p>
    <w:p>
      <w:pPr>
        <w:pStyle w:val="BodyText"/>
        <w:spacing w:before="0" w:line="278" w:lineRule="auto"/>
        <w:ind w:left="132" w:right="692" w:firstLine="420"/>
      </w:pPr>
      <w:r>
        <w:t xml:space="preserve">本文件按照GB/T 1.1—2020《标准化工作导则 第1部分：标准化文件的结构和起草规则》的规定起草。 </w:t>
      </w:r>
    </w:p>
    <w:p>
      <w:pPr>
        <w:pStyle w:val="BodyText"/>
        <w:spacing w:before="0" w:line="269" w:lineRule="exact"/>
        <w:ind w:left="553"/>
      </w:pPr>
      <w:r>
        <w:t xml:space="preserve">本文件由广西壮族自治区市场监督管理局提出、归口并宣贯。 </w:t>
      </w:r>
    </w:p>
    <w:p>
      <w:pPr>
        <w:pStyle w:val="BodyText"/>
        <w:spacing w:line="278" w:lineRule="auto"/>
        <w:ind w:left="132" w:right="692" w:firstLine="420"/>
      </w:pPr>
      <w:r>
        <w:rPr>
          <w:spacing w:val="-9"/>
        </w:rPr>
        <w:t>本文件起草单位：广西壮族自治区特种设备检验研究院、南宁市市场监督管理局、柳州市市场监督</w:t>
      </w:r>
      <w:r>
        <w:rPr>
          <w:spacing w:val="-5"/>
        </w:rPr>
        <w:t xml:space="preserve">管理局、梧州市市场监督管理局、北海市市场监督管理局、中国石化北海炼化有限责任公司。 </w:t>
      </w:r>
    </w:p>
    <w:p>
      <w:pPr>
        <w:pStyle w:val="BodyText"/>
        <w:spacing w:before="0" w:line="278" w:lineRule="auto"/>
        <w:ind w:left="132" w:right="586" w:firstLine="420"/>
      </w:pPr>
      <w:r>
        <w:rPr>
          <w:spacing w:val="-3"/>
        </w:rPr>
        <w:t>本文件主要起草人：陈华林、朱锡山、钟永明、叶海波、彭鹰、邓臣权、覃乃朋、陈刚、陈晓军、</w:t>
      </w:r>
      <w:r>
        <w:rPr>
          <w:spacing w:val="-10"/>
        </w:rPr>
        <w:t>陈宗君、王春强、陈福东、莫文斌、陶金、梁泳、曾弦、柯洪刚、杨卫健、黄镇、张翠超、黄瀚萍、兰</w:t>
      </w:r>
      <w:r>
        <w:rPr>
          <w:spacing w:val="-5"/>
        </w:rPr>
        <w:t>睇睇、朱海、罗晓程、杜燕伶、李绍权、李卫军、王涛、成兴、李思仪、卢运娇。</w:t>
      </w:r>
      <w:r>
        <w:t xml:space="preserve"> </w:t>
      </w:r>
    </w:p>
    <w:p>
      <w:pPr>
        <w:spacing w:after="0" w:line="278" w:lineRule="auto"/>
        <w:sectPr>
          <w:headerReference w:type="even" r:id="rId9"/>
          <w:headerReference w:type="default" r:id="rId10"/>
          <w:footerReference w:type="even" r:id="rId11"/>
          <w:footerReference w:type="default" r:id="rId12"/>
          <w:pgSz w:w="11910" w:h="16840"/>
          <w:pgMar w:top="1640" w:right="720" w:bottom="1340" w:left="1000" w:header="1448" w:footer="1141"/>
          <w:pgNumType w:start="5"/>
          <w:cols w:space="708"/>
        </w:sectPr>
      </w:pPr>
    </w:p>
    <w:p>
      <w:pPr>
        <w:pStyle w:val="BodyText"/>
        <w:spacing w:before="0"/>
        <w:rPr>
          <w:sz w:val="20"/>
        </w:rPr>
      </w:pPr>
    </w:p>
    <w:p>
      <w:pPr>
        <w:pStyle w:val="BodyText"/>
        <w:spacing w:before="2"/>
        <w:rPr>
          <w:sz w:val="24"/>
        </w:rPr>
      </w:pPr>
    </w:p>
    <w:p>
      <w:pPr>
        <w:pStyle w:val="Heading1"/>
        <w:ind w:left="3"/>
      </w:pPr>
      <w:r>
        <w:t>特种设备使用安全管理分类评价规范</w:t>
      </w:r>
    </w:p>
    <w:p>
      <w:pPr>
        <w:pStyle w:val="BodyText"/>
        <w:spacing w:before="0"/>
        <w:rPr>
          <w:rFonts w:ascii="黑体"/>
          <w:sz w:val="20"/>
        </w:rPr>
      </w:pPr>
    </w:p>
    <w:p>
      <w:pPr>
        <w:pStyle w:val="BodyText"/>
        <w:spacing w:before="2"/>
        <w:rPr>
          <w:rFonts w:ascii="黑体"/>
          <w:sz w:val="29"/>
        </w:rPr>
      </w:pPr>
    </w:p>
    <w:p>
      <w:pPr>
        <w:pStyle w:val="ListParagraph"/>
        <w:numPr>
          <w:ilvl w:val="0"/>
          <w:numId w:val="25"/>
        </w:numPr>
        <w:tabs>
          <w:tab w:val="left" w:pos="733"/>
          <w:tab w:val="left" w:pos="734"/>
        </w:tabs>
        <w:spacing w:before="71" w:after="0" w:line="240" w:lineRule="auto"/>
        <w:ind w:left="733" w:right="0" w:hanging="316"/>
        <w:jc w:val="left"/>
        <w:rPr>
          <w:rFonts w:ascii="黑体" w:eastAsia="黑体" w:hint="eastAsia"/>
          <w:sz w:val="21"/>
        </w:rPr>
      </w:pPr>
      <w:bookmarkStart w:id="1" w:name="_bookmark1"/>
      <w:bookmarkEnd w:id="1"/>
      <w:r>
        <w:rPr>
          <w:rFonts w:ascii="黑体" w:eastAsia="黑体" w:hint="eastAsia"/>
          <w:sz w:val="21"/>
        </w:rPr>
        <w:t>范围</w:t>
      </w:r>
    </w:p>
    <w:p>
      <w:pPr>
        <w:pStyle w:val="BodyText"/>
        <w:spacing w:before="9"/>
        <w:rPr>
          <w:rFonts w:ascii="黑体"/>
          <w:sz w:val="27"/>
        </w:rPr>
      </w:pPr>
    </w:p>
    <w:p>
      <w:pPr>
        <w:pStyle w:val="BodyText"/>
        <w:spacing w:before="0" w:line="276" w:lineRule="auto"/>
        <w:ind w:left="838" w:right="305"/>
      </w:pPr>
      <w:r>
        <w:rPr>
          <w:spacing w:val="-6"/>
        </w:rPr>
        <w:t>本文件界定了特种设备使用安全管理分类评价的术语和定义，规定了基本要求、分类评价的内容。本文件适用于广西壮族自治区行政区域内特种设备的使用安全管理分类评价，也适用于监管机构对</w:t>
      </w:r>
    </w:p>
    <w:p>
      <w:pPr>
        <w:pStyle w:val="BodyText"/>
        <w:spacing w:before="3"/>
        <w:ind w:left="418"/>
      </w:pPr>
      <w:r>
        <w:t xml:space="preserve">特种设备使用单位的安全检查。 </w:t>
      </w:r>
    </w:p>
    <w:p>
      <w:pPr>
        <w:pStyle w:val="BodyText"/>
        <w:spacing w:before="12"/>
        <w:rPr>
          <w:sz w:val="27"/>
        </w:rPr>
      </w:pPr>
    </w:p>
    <w:p>
      <w:pPr>
        <w:pStyle w:val="ListParagraph"/>
        <w:numPr>
          <w:ilvl w:val="0"/>
          <w:numId w:val="25"/>
        </w:numPr>
        <w:tabs>
          <w:tab w:val="left" w:pos="733"/>
          <w:tab w:val="left" w:pos="734"/>
        </w:tabs>
        <w:spacing w:before="0" w:after="0" w:line="240" w:lineRule="auto"/>
        <w:ind w:left="733" w:right="0" w:hanging="316"/>
        <w:jc w:val="left"/>
        <w:rPr>
          <w:rFonts w:ascii="黑体" w:eastAsia="黑体" w:hint="eastAsia"/>
          <w:sz w:val="21"/>
        </w:rPr>
      </w:pPr>
      <w:bookmarkStart w:id="2" w:name="_bookmark2"/>
      <w:bookmarkEnd w:id="2"/>
      <w:r>
        <w:rPr>
          <w:rFonts w:ascii="黑体" w:eastAsia="黑体" w:hint="eastAsia"/>
          <w:spacing w:val="-2"/>
          <w:sz w:val="21"/>
        </w:rPr>
        <w:t>规范性引用文件</w:t>
      </w:r>
    </w:p>
    <w:p>
      <w:pPr>
        <w:pStyle w:val="BodyText"/>
        <w:spacing w:before="6"/>
        <w:rPr>
          <w:rFonts w:ascii="黑体"/>
          <w:sz w:val="27"/>
        </w:rPr>
      </w:pPr>
    </w:p>
    <w:p>
      <w:pPr>
        <w:pStyle w:val="BodyText"/>
        <w:spacing w:before="1" w:line="278" w:lineRule="auto"/>
        <w:ind w:left="418" w:right="300" w:firstLine="420"/>
      </w:pPr>
      <w:r>
        <w:rPr>
          <w:spacing w:val="-10"/>
        </w:rPr>
        <w:t xml:space="preserve">下列文件中的内容通过文中的规范性引用而构成本文件必不可少的条款。其中，注日期的引用文件， </w:t>
      </w:r>
      <w:r>
        <w:rPr>
          <w:spacing w:val="-9"/>
        </w:rPr>
        <w:t>仅该日期对应的版本适用于本文件；不注日期的引用文件，其最新版本</w:t>
      </w:r>
      <w:r>
        <w:t>（</w:t>
      </w:r>
      <w:r>
        <w:rPr>
          <w:spacing w:val="-3"/>
        </w:rPr>
        <w:t>包括所有的修改单</w:t>
      </w:r>
      <w:r>
        <w:rPr>
          <w:spacing w:val="-27"/>
        </w:rPr>
        <w:t>）</w:t>
      </w:r>
      <w:r>
        <w:rPr>
          <w:spacing w:val="-3"/>
        </w:rPr>
        <w:t>适用于本文件。</w:t>
      </w:r>
      <w:r>
        <w:t xml:space="preserve"> </w:t>
      </w:r>
    </w:p>
    <w:p>
      <w:pPr>
        <w:pStyle w:val="BodyText"/>
        <w:spacing w:before="0" w:line="269" w:lineRule="exact"/>
        <w:ind w:left="838"/>
      </w:pPr>
      <w:r>
        <w:t xml:space="preserve">GB 4387 工业企业厂内铁路、道路运输安全规程 </w:t>
      </w:r>
    </w:p>
    <w:p>
      <w:pPr>
        <w:pStyle w:val="BodyText"/>
        <w:spacing w:line="278" w:lineRule="auto"/>
        <w:ind w:left="838" w:right="2730"/>
      </w:pPr>
      <w:r>
        <w:t xml:space="preserve">GB/T 5226.1 机械电气安全  机械电气设备  第1部分：通用技术条件TSG 08 特种设备使用管理规则 </w:t>
      </w:r>
    </w:p>
    <w:p>
      <w:pPr>
        <w:pStyle w:val="BodyText"/>
        <w:spacing w:before="0" w:line="269" w:lineRule="exact"/>
        <w:ind w:left="838"/>
      </w:pPr>
      <w:r>
        <w:t xml:space="preserve">TSG Q7016 起重机械安装改造重大修理监督检验规则 </w:t>
      </w:r>
    </w:p>
    <w:p>
      <w:pPr>
        <w:pStyle w:val="BodyText"/>
        <w:spacing w:before="11"/>
        <w:rPr>
          <w:sz w:val="27"/>
        </w:rPr>
      </w:pPr>
    </w:p>
    <w:p>
      <w:pPr>
        <w:pStyle w:val="ListParagraph"/>
        <w:numPr>
          <w:ilvl w:val="0"/>
          <w:numId w:val="25"/>
        </w:numPr>
        <w:tabs>
          <w:tab w:val="left" w:pos="733"/>
          <w:tab w:val="left" w:pos="734"/>
        </w:tabs>
        <w:spacing w:before="0" w:after="0" w:line="240" w:lineRule="auto"/>
        <w:ind w:left="733" w:right="0" w:hanging="316"/>
        <w:jc w:val="left"/>
        <w:rPr>
          <w:rFonts w:ascii="黑体" w:eastAsia="黑体" w:hint="eastAsia"/>
          <w:sz w:val="21"/>
        </w:rPr>
      </w:pPr>
      <w:bookmarkStart w:id="3" w:name="_bookmark3"/>
      <w:bookmarkEnd w:id="3"/>
      <w:r>
        <w:rPr>
          <w:rFonts w:ascii="黑体" w:eastAsia="黑体" w:hint="eastAsia"/>
          <w:spacing w:val="-1"/>
          <w:sz w:val="21"/>
        </w:rPr>
        <w:t>术语和定义</w:t>
      </w:r>
    </w:p>
    <w:p>
      <w:pPr>
        <w:pStyle w:val="BodyText"/>
        <w:spacing w:before="12"/>
        <w:rPr>
          <w:rFonts w:ascii="黑体"/>
        </w:rPr>
      </w:pPr>
    </w:p>
    <w:p>
      <w:pPr>
        <w:pStyle w:val="BodyText"/>
        <w:spacing w:before="72"/>
        <w:ind w:left="838"/>
      </w:pPr>
      <w:r>
        <w:t xml:space="preserve">下列术语和定义适用于本文件。 </w:t>
      </w:r>
    </w:p>
    <w:p>
      <w:pPr>
        <w:pStyle w:val="ListParagraph"/>
        <w:numPr>
          <w:ilvl w:val="1"/>
          <w:numId w:val="25"/>
        </w:numPr>
        <w:tabs>
          <w:tab w:val="left" w:pos="737"/>
        </w:tabs>
        <w:spacing w:before="43" w:after="0" w:line="240" w:lineRule="auto"/>
        <w:ind w:left="736" w:right="0" w:hanging="319"/>
        <w:jc w:val="left"/>
        <w:rPr>
          <w:rFonts w:ascii="黑体"/>
          <w:sz w:val="21"/>
        </w:rPr>
      </w:pPr>
      <w:r>
        <w:rPr>
          <w:rFonts w:ascii="黑体"/>
          <w:sz w:val="21"/>
        </w:rPr>
        <w:t>3.1</w:t>
      </w:r>
    </w:p>
    <w:p>
      <w:pPr>
        <w:pStyle w:val="BodyText"/>
        <w:ind w:left="838"/>
        <w:rPr>
          <w:rFonts w:ascii="黑体" w:eastAsia="黑体" w:hint="eastAsia"/>
        </w:rPr>
      </w:pPr>
      <w:r>
        <w:rPr>
          <w:rFonts w:ascii="黑体" w:eastAsia="黑体" w:hint="eastAsia"/>
        </w:rPr>
        <w:t>特种设备 special equipment</w:t>
      </w:r>
    </w:p>
    <w:p>
      <w:pPr>
        <w:pStyle w:val="BodyText"/>
        <w:ind w:left="838"/>
      </w:pPr>
      <w:r>
        <w:t>对人身和财产安全有较大危险性的锅炉、压力容器（含气瓶）、压力管道、电梯、起重机械、客运</w:t>
      </w:r>
    </w:p>
    <w:p>
      <w:pPr>
        <w:pStyle w:val="BodyText"/>
        <w:spacing w:line="278" w:lineRule="auto"/>
        <w:ind w:left="418" w:right="409"/>
      </w:pPr>
      <w:r>
        <w:rPr>
          <w:spacing w:val="-8"/>
        </w:rPr>
        <w:t>索道、大型游乐设施、场</w:t>
      </w:r>
      <w:r>
        <w:t>（厂</w:t>
      </w:r>
      <w:r>
        <w:rPr>
          <w:spacing w:val="-15"/>
        </w:rPr>
        <w:t>）</w:t>
      </w:r>
      <w:r>
        <w:rPr>
          <w:spacing w:val="-7"/>
        </w:rPr>
        <w:t>内专用机动车辆，以及法律、行政法规规定适用《中华人民共和国特种</w:t>
      </w:r>
      <w:r>
        <w:rPr>
          <w:spacing w:val="-5"/>
        </w:rPr>
        <w:t>设备安全法》的其他特种设备。</w:t>
      </w:r>
      <w:r>
        <w:t xml:space="preserve"> </w:t>
      </w:r>
    </w:p>
    <w:p>
      <w:pPr>
        <w:pStyle w:val="BodyText"/>
        <w:spacing w:before="0" w:line="269" w:lineRule="exact"/>
        <w:ind w:left="838"/>
      </w:pPr>
      <w:r>
        <w:t xml:space="preserve">[来源：《中华人民共和国特种设备安全法》] </w:t>
      </w:r>
    </w:p>
    <w:p>
      <w:pPr>
        <w:spacing w:before="58"/>
        <w:ind w:left="781" w:right="0" w:firstLine="0"/>
        <w:jc w:val="left"/>
        <w:rPr>
          <w:sz w:val="18"/>
        </w:rPr>
      </w:pPr>
      <w:r>
        <w:rPr>
          <w:rFonts w:ascii="黑体" w:eastAsia="黑体" w:hint="eastAsia"/>
          <w:sz w:val="18"/>
        </w:rPr>
        <w:t xml:space="preserve">注： </w:t>
      </w:r>
      <w:r>
        <w:rPr>
          <w:sz w:val="18"/>
        </w:rPr>
        <w:t xml:space="preserve">国家对特种设备实行目录管理。本文件的特种设备，指国家列入特种设备目录的设备。 </w:t>
      </w:r>
    </w:p>
    <w:p>
      <w:pPr>
        <w:pStyle w:val="ListParagraph"/>
        <w:numPr>
          <w:ilvl w:val="1"/>
          <w:numId w:val="25"/>
        </w:numPr>
        <w:tabs>
          <w:tab w:val="left" w:pos="737"/>
        </w:tabs>
        <w:spacing w:before="66" w:after="0" w:line="240" w:lineRule="auto"/>
        <w:ind w:left="736" w:right="0" w:hanging="319"/>
        <w:jc w:val="left"/>
        <w:rPr>
          <w:rFonts w:ascii="黑体"/>
          <w:sz w:val="21"/>
        </w:rPr>
      </w:pPr>
      <w:r>
        <w:rPr>
          <w:rFonts w:ascii="黑体"/>
          <w:sz w:val="21"/>
        </w:rPr>
        <w:t>3.2</w:t>
      </w:r>
    </w:p>
    <w:p>
      <w:pPr>
        <w:pStyle w:val="BodyText"/>
        <w:ind w:left="838"/>
        <w:rPr>
          <w:rFonts w:ascii="黑体" w:eastAsia="黑体" w:hint="eastAsia"/>
        </w:rPr>
      </w:pPr>
      <w:r>
        <w:rPr>
          <w:rFonts w:ascii="黑体" w:eastAsia="黑体" w:hint="eastAsia"/>
        </w:rPr>
        <w:t>使用单位 user</w:t>
      </w:r>
    </w:p>
    <w:p>
      <w:pPr>
        <w:pStyle w:val="BodyText"/>
        <w:ind w:left="838"/>
      </w:pPr>
      <w:r>
        <w:t>具有特种设备使用管理权的单位或者具有完全民事行为能力的自然人，一般是特种设备的产权单位</w:t>
      </w:r>
    </w:p>
    <w:p>
      <w:pPr>
        <w:pStyle w:val="BodyText"/>
        <w:spacing w:line="278" w:lineRule="auto"/>
        <w:ind w:left="418" w:right="406"/>
      </w:pPr>
      <w:r>
        <w:t>（</w:t>
      </w:r>
      <w:r>
        <w:rPr>
          <w:spacing w:val="-8"/>
        </w:rPr>
        <w:t>产权所有人，下同</w:t>
      </w:r>
      <w:r>
        <w:rPr>
          <w:spacing w:val="-33"/>
        </w:rPr>
        <w:t>）</w:t>
      </w:r>
      <w:r>
        <w:rPr>
          <w:spacing w:val="-7"/>
        </w:rPr>
        <w:t>，也可以是产权单位通过符合法律规定的合同关系确立的特种设备实际使用管理</w:t>
      </w:r>
      <w:r>
        <w:rPr>
          <w:spacing w:val="-5"/>
        </w:rPr>
        <w:t>者。</w:t>
      </w:r>
      <w:r>
        <w:t xml:space="preserve"> </w:t>
      </w:r>
    </w:p>
    <w:p>
      <w:pPr>
        <w:spacing w:before="16" w:line="324" w:lineRule="auto"/>
        <w:ind w:left="1155" w:right="325" w:hanging="375"/>
        <w:jc w:val="left"/>
        <w:rPr>
          <w:sz w:val="18"/>
        </w:rPr>
      </w:pPr>
      <w:r>
        <w:rPr>
          <w:rFonts w:ascii="黑体" w:eastAsia="黑体" w:hint="eastAsia"/>
          <w:spacing w:val="-26"/>
          <w:sz w:val="18"/>
        </w:rPr>
        <w:t xml:space="preserve">注： </w:t>
      </w:r>
      <w:r>
        <w:rPr>
          <w:spacing w:val="-3"/>
          <w:sz w:val="18"/>
        </w:rPr>
        <w:t>特种设备属于共有的，共有人可以委托物业服务单位或者其他管理人管理特种设备，受托人是使用单位；共有</w:t>
      </w:r>
      <w:r>
        <w:rPr>
          <w:spacing w:val="-5"/>
          <w:sz w:val="18"/>
        </w:rPr>
        <w:t>人未委托的，实际管理人是使用单位；没有实际管理人的，共有人是使用单位。特种设备用于出租的，出租期间，出租单位是使用单位；法律另有规定或者当事人合同约定的，从其规定或者约定。新安装未移交业主的电梯，项目建设单位是使用单位；委托物业服务单位管理的电梯，物业服务单位是使用单位；产权单位自行管理的电梯，产权单位是使用单位；其他不能明确使用管理单位的电梯，由当地乡镇人民政府、街道办事处、开发</w:t>
      </w:r>
      <w:r>
        <w:rPr>
          <w:spacing w:val="-6"/>
          <w:sz w:val="18"/>
        </w:rPr>
        <w:t>区管理机构商县级人民政府特种设备安全监督管理部门确定。气瓶的使用单位一般是指充装单位，车用气瓶、</w:t>
      </w:r>
      <w:r>
        <w:rPr>
          <w:sz w:val="18"/>
        </w:rPr>
        <w:t xml:space="preserve">非重复充装气瓶、呼吸器用气瓶的使用单位是产权单位。 </w:t>
      </w:r>
    </w:p>
    <w:p>
      <w:pPr>
        <w:spacing w:after="0" w:line="324" w:lineRule="auto"/>
        <w:jc w:val="left"/>
        <w:rPr>
          <w:sz w:val="18"/>
        </w:rPr>
        <w:sectPr>
          <w:headerReference w:type="even" r:id="rId13"/>
          <w:headerReference w:type="default" r:id="rId14"/>
          <w:footerReference w:type="even" r:id="rId15"/>
          <w:footerReference w:type="default" r:id="rId16"/>
          <w:pgSz w:w="11910" w:h="16840"/>
          <w:pgMar w:top="1640" w:right="720" w:bottom="1340" w:left="1000" w:header="1448" w:footer="1141"/>
          <w:pgNumType w:start="1"/>
          <w:cols w:space="708"/>
        </w:sectPr>
      </w:pPr>
    </w:p>
    <w:p>
      <w:pPr>
        <w:pStyle w:val="BodyText"/>
        <w:spacing w:before="1"/>
        <w:rPr>
          <w:sz w:val="17"/>
        </w:rPr>
      </w:pPr>
    </w:p>
    <w:p>
      <w:pPr>
        <w:pStyle w:val="ListParagraph"/>
        <w:numPr>
          <w:ilvl w:val="1"/>
          <w:numId w:val="24"/>
        </w:numPr>
        <w:tabs>
          <w:tab w:val="left" w:pos="451"/>
        </w:tabs>
        <w:spacing w:before="72" w:after="0" w:line="240" w:lineRule="auto"/>
        <w:ind w:left="450" w:right="0" w:hanging="319"/>
        <w:jc w:val="left"/>
        <w:rPr>
          <w:rFonts w:ascii="黑体"/>
          <w:sz w:val="21"/>
        </w:rPr>
      </w:pPr>
      <w:r>
        <w:rPr>
          <w:rFonts w:ascii="黑体"/>
          <w:sz w:val="21"/>
        </w:rPr>
        <w:t>3.3</w:t>
      </w:r>
    </w:p>
    <w:p>
      <w:pPr>
        <w:pStyle w:val="BodyText"/>
        <w:ind w:left="553"/>
        <w:rPr>
          <w:rFonts w:ascii="黑体" w:eastAsia="黑体" w:hint="eastAsia"/>
        </w:rPr>
      </w:pPr>
      <w:r>
        <w:rPr>
          <w:rFonts w:ascii="黑体" w:eastAsia="黑体" w:hint="eastAsia"/>
        </w:rPr>
        <w:t>公众聚集场所 public gathering places</w:t>
      </w:r>
    </w:p>
    <w:p>
      <w:pPr>
        <w:pStyle w:val="BodyText"/>
        <w:ind w:left="553"/>
      </w:pPr>
      <w:r>
        <w:t>学校、幼儿园、医疗机构、车站、机场、客运码头、商场、餐饮场所、体育场馆、展览馆、公园、</w:t>
      </w:r>
    </w:p>
    <w:p>
      <w:pPr>
        <w:pStyle w:val="BodyText"/>
        <w:ind w:left="132"/>
      </w:pPr>
      <w:r>
        <w:t xml:space="preserve">宾馆、影剧院、图书馆、儿童活动中心、公共浴池、养老机构。 </w:t>
      </w:r>
    </w:p>
    <w:p>
      <w:pPr>
        <w:pStyle w:val="ListParagraph"/>
        <w:numPr>
          <w:ilvl w:val="1"/>
          <w:numId w:val="24"/>
        </w:numPr>
        <w:tabs>
          <w:tab w:val="left" w:pos="451"/>
        </w:tabs>
        <w:spacing w:before="43" w:after="0" w:line="240" w:lineRule="auto"/>
        <w:ind w:left="450" w:right="0" w:hanging="319"/>
        <w:jc w:val="left"/>
        <w:rPr>
          <w:rFonts w:ascii="黑体"/>
          <w:sz w:val="21"/>
        </w:rPr>
      </w:pPr>
      <w:r>
        <w:rPr>
          <w:rFonts w:ascii="黑体"/>
          <w:sz w:val="21"/>
        </w:rPr>
        <w:t>3.4</w:t>
      </w:r>
    </w:p>
    <w:p>
      <w:pPr>
        <w:pStyle w:val="BodyText"/>
        <w:ind w:left="553"/>
        <w:rPr>
          <w:rFonts w:ascii="黑体" w:eastAsia="黑体" w:hint="eastAsia"/>
        </w:rPr>
      </w:pPr>
      <w:r>
        <w:rPr>
          <w:rFonts w:ascii="黑体" w:eastAsia="黑体" w:hint="eastAsia"/>
        </w:rPr>
        <w:t>评价主体 evaluation subject</w:t>
      </w:r>
    </w:p>
    <w:p>
      <w:pPr>
        <w:pStyle w:val="BodyText"/>
        <w:ind w:left="553"/>
      </w:pPr>
      <w:r>
        <w:t xml:space="preserve">特种设备使用单位、监管机构、第三方机构。 </w:t>
      </w:r>
    </w:p>
    <w:p>
      <w:pPr>
        <w:pStyle w:val="ListParagraph"/>
        <w:numPr>
          <w:ilvl w:val="1"/>
          <w:numId w:val="24"/>
        </w:numPr>
        <w:tabs>
          <w:tab w:val="left" w:pos="451"/>
        </w:tabs>
        <w:spacing w:before="43" w:after="0" w:line="240" w:lineRule="auto"/>
        <w:ind w:left="450" w:right="0" w:hanging="319"/>
        <w:jc w:val="left"/>
        <w:rPr>
          <w:rFonts w:ascii="黑体"/>
          <w:sz w:val="21"/>
        </w:rPr>
      </w:pPr>
      <w:r>
        <w:rPr>
          <w:rFonts w:ascii="黑体"/>
          <w:sz w:val="21"/>
        </w:rPr>
        <w:t>3.5</w:t>
      </w:r>
    </w:p>
    <w:p>
      <w:pPr>
        <w:pStyle w:val="BodyText"/>
        <w:spacing w:before="42"/>
        <w:ind w:left="553"/>
        <w:rPr>
          <w:rFonts w:ascii="黑体" w:eastAsia="黑体" w:hint="eastAsia"/>
        </w:rPr>
      </w:pPr>
      <w:r>
        <w:rPr>
          <w:rFonts w:ascii="黑体" w:eastAsia="黑体" w:hint="eastAsia"/>
        </w:rPr>
        <w:t>分类评价 classification evaluation</w:t>
      </w:r>
    </w:p>
    <w:p>
      <w:pPr>
        <w:pStyle w:val="BodyText"/>
        <w:ind w:left="553"/>
      </w:pPr>
      <w:r>
        <w:t xml:space="preserve">对特种设备使用单位安全管理和设备安全管理分别进行量化评价，确定使用单位风险等级的过程。 </w:t>
      </w:r>
    </w:p>
    <w:p>
      <w:pPr>
        <w:pStyle w:val="BodyText"/>
        <w:spacing w:before="5"/>
        <w:rPr>
          <w:sz w:val="22"/>
        </w:rPr>
      </w:pPr>
    </w:p>
    <w:p>
      <w:pPr>
        <w:pStyle w:val="ListParagraph"/>
        <w:numPr>
          <w:ilvl w:val="0"/>
          <w:numId w:val="24"/>
        </w:numPr>
        <w:tabs>
          <w:tab w:val="left" w:pos="447"/>
          <w:tab w:val="left" w:pos="448"/>
        </w:tabs>
        <w:spacing w:before="71" w:after="0" w:line="240" w:lineRule="auto"/>
        <w:ind w:left="447" w:right="0" w:hanging="316"/>
        <w:jc w:val="left"/>
        <w:rPr>
          <w:rFonts w:ascii="黑体" w:eastAsia="黑体" w:hint="eastAsia"/>
          <w:sz w:val="21"/>
        </w:rPr>
      </w:pPr>
      <w:bookmarkStart w:id="4" w:name="_bookmark4"/>
      <w:bookmarkEnd w:id="4"/>
      <w:r>
        <w:rPr>
          <w:rFonts w:ascii="黑体" w:eastAsia="黑体" w:hint="eastAsia"/>
          <w:spacing w:val="-1"/>
          <w:sz w:val="21"/>
        </w:rPr>
        <w:t>基本要求</w:t>
      </w:r>
    </w:p>
    <w:p>
      <w:pPr>
        <w:pStyle w:val="BodyText"/>
        <w:spacing w:before="12"/>
        <w:rPr>
          <w:rFonts w:ascii="黑体"/>
        </w:rPr>
      </w:pPr>
    </w:p>
    <w:p>
      <w:pPr>
        <w:pStyle w:val="ListParagraph"/>
        <w:numPr>
          <w:ilvl w:val="1"/>
          <w:numId w:val="24"/>
        </w:numPr>
        <w:tabs>
          <w:tab w:val="left" w:pos="658"/>
          <w:tab w:val="left" w:pos="659"/>
        </w:tabs>
        <w:spacing w:before="72" w:after="0" w:line="240" w:lineRule="auto"/>
        <w:ind w:left="658" w:right="0" w:hanging="527"/>
        <w:jc w:val="left"/>
        <w:rPr>
          <w:sz w:val="21"/>
        </w:rPr>
      </w:pPr>
      <w:r>
        <w:rPr>
          <w:spacing w:val="-3"/>
          <w:sz w:val="21"/>
        </w:rPr>
        <w:t>评价主体应以资料核对、抽查考核和现场核查的方式开展评价活动。</w:t>
      </w:r>
      <w:r>
        <w:rPr>
          <w:sz w:val="21"/>
        </w:rPr>
        <w:t xml:space="preserve"> </w:t>
      </w:r>
    </w:p>
    <w:p>
      <w:pPr>
        <w:pStyle w:val="ListParagraph"/>
        <w:numPr>
          <w:ilvl w:val="1"/>
          <w:numId w:val="24"/>
        </w:numPr>
        <w:tabs>
          <w:tab w:val="left" w:pos="658"/>
          <w:tab w:val="left" w:pos="659"/>
        </w:tabs>
        <w:spacing w:before="43" w:after="0" w:line="240" w:lineRule="auto"/>
        <w:ind w:left="658" w:right="0" w:hanging="527"/>
        <w:jc w:val="left"/>
        <w:rPr>
          <w:sz w:val="21"/>
        </w:rPr>
      </w:pPr>
      <w:r>
        <w:rPr>
          <w:spacing w:val="-9"/>
          <w:sz w:val="21"/>
        </w:rPr>
        <w:t>评价主体开展评价活动应组织评价组，评价组应由两名以上熟悉特种设备使用和管理的人员组成，</w:t>
      </w:r>
    </w:p>
    <w:p>
      <w:pPr>
        <w:pStyle w:val="BodyText"/>
        <w:spacing w:line="278" w:lineRule="auto"/>
        <w:ind w:left="132" w:right="692"/>
        <w:jc w:val="both"/>
      </w:pPr>
      <w:r>
        <w:rPr>
          <w:spacing w:val="-13"/>
        </w:rPr>
        <w:t xml:space="preserve">设组长 </w:t>
      </w:r>
      <w:r>
        <w:t>1</w:t>
      </w:r>
      <w:r>
        <w:rPr>
          <w:spacing w:val="-16"/>
        </w:rPr>
        <w:t xml:space="preserve"> 名。评价组应按附录 </w:t>
      </w:r>
      <w:r>
        <w:t>A</w:t>
      </w:r>
      <w:r>
        <w:rPr>
          <w:spacing w:val="-20"/>
        </w:rPr>
        <w:t xml:space="preserve"> 和附录 </w:t>
      </w:r>
      <w:r>
        <w:t>B</w:t>
      </w:r>
      <w:r>
        <w:rPr>
          <w:spacing w:val="-10"/>
        </w:rPr>
        <w:t xml:space="preserve"> 的要求对单位安全管理和设备安全管理分别进行量化评价，并</w:t>
      </w:r>
      <w:r>
        <w:rPr>
          <w:spacing w:val="-11"/>
        </w:rPr>
        <w:t xml:space="preserve">应按附录 </w:t>
      </w:r>
      <w:r>
        <w:t>C</w:t>
      </w:r>
      <w:r>
        <w:rPr>
          <w:spacing w:val="-11"/>
        </w:rPr>
        <w:t xml:space="preserve"> 的要求编制特种设备使用安全管理分类评价报告。评价组应做到客观、公正，实事求是，确</w:t>
      </w:r>
      <w:r>
        <w:rPr>
          <w:spacing w:val="-6"/>
        </w:rPr>
        <w:t>保评价结果真实、可靠，并对评价结果负责。</w:t>
      </w:r>
      <w:r>
        <w:t xml:space="preserve"> </w:t>
      </w:r>
    </w:p>
    <w:p>
      <w:pPr>
        <w:pStyle w:val="ListParagraph"/>
        <w:numPr>
          <w:ilvl w:val="1"/>
          <w:numId w:val="24"/>
        </w:numPr>
        <w:tabs>
          <w:tab w:val="left" w:pos="658"/>
          <w:tab w:val="left" w:pos="659"/>
        </w:tabs>
        <w:spacing w:before="0" w:after="0" w:line="269" w:lineRule="exact"/>
        <w:ind w:left="658" w:right="0" w:hanging="527"/>
        <w:jc w:val="left"/>
        <w:rPr>
          <w:sz w:val="21"/>
        </w:rPr>
      </w:pPr>
      <w:r>
        <w:rPr>
          <w:spacing w:val="-3"/>
          <w:sz w:val="21"/>
        </w:rPr>
        <w:t>评价主体应通过分类评价，查找和分析可能存在的风险和隐患，发现重大风险和隐患时，使用单</w:t>
      </w:r>
    </w:p>
    <w:p>
      <w:pPr>
        <w:pStyle w:val="BodyText"/>
        <w:spacing w:line="278" w:lineRule="auto"/>
        <w:ind w:left="132" w:right="695"/>
      </w:pPr>
      <w:r>
        <w:rPr>
          <w:spacing w:val="-8"/>
        </w:rPr>
        <w:t>位应单独建立台帐和档案，并限期落实整改措施，消除风险和隐患，做到闭环管理，建立风险分级管控</w:t>
      </w:r>
      <w:r>
        <w:rPr>
          <w:spacing w:val="-5"/>
        </w:rPr>
        <w:t xml:space="preserve">和隐患排查治理双重预防机制，持续改进特种设备使用管理。 </w:t>
      </w:r>
    </w:p>
    <w:p>
      <w:pPr>
        <w:pStyle w:val="ListParagraph"/>
        <w:numPr>
          <w:ilvl w:val="1"/>
          <w:numId w:val="24"/>
        </w:numPr>
        <w:tabs>
          <w:tab w:val="left" w:pos="658"/>
          <w:tab w:val="left" w:pos="659"/>
        </w:tabs>
        <w:spacing w:before="0" w:after="0" w:line="269" w:lineRule="exact"/>
        <w:ind w:left="658" w:right="0" w:hanging="527"/>
        <w:jc w:val="left"/>
        <w:rPr>
          <w:sz w:val="21"/>
        </w:rPr>
      </w:pPr>
      <w:r>
        <w:rPr>
          <w:spacing w:val="-3"/>
          <w:sz w:val="21"/>
        </w:rPr>
        <w:t>使用单位应每年至少开展一次分类评价活动，建立分类评价台帐，及时调整安全管理等级。评价</w:t>
      </w:r>
    </w:p>
    <w:p>
      <w:pPr>
        <w:pStyle w:val="BodyText"/>
        <w:spacing w:line="278" w:lineRule="auto"/>
        <w:ind w:left="132" w:right="692"/>
        <w:jc w:val="both"/>
      </w:pPr>
      <w:r>
        <w:rPr>
          <w:spacing w:val="-10"/>
        </w:rPr>
        <w:t xml:space="preserve">结果为 </w:t>
      </w:r>
      <w:r>
        <w:t>D</w:t>
      </w:r>
      <w:r>
        <w:rPr>
          <w:spacing w:val="-12"/>
        </w:rPr>
        <w:t xml:space="preserve"> 类，使用单位应对所有不合格内容进行整改。整改后，重新评价。当特种设备使用管理情况有</w:t>
      </w:r>
      <w:r>
        <w:rPr>
          <w:spacing w:val="-13"/>
        </w:rPr>
        <w:t>重大变化</w:t>
      </w:r>
      <w:r>
        <w:rPr>
          <w:spacing w:val="-3"/>
        </w:rPr>
        <w:t>（</w:t>
      </w:r>
      <w:r>
        <w:rPr>
          <w:spacing w:val="-6"/>
        </w:rPr>
        <w:t>如设备数量及状态、管理人员和作业人员数量变动较多以及设备发生事故等情况</w:t>
      </w:r>
      <w:r>
        <w:rPr>
          <w:spacing w:val="-27"/>
        </w:rPr>
        <w:t>）</w:t>
      </w:r>
      <w:r>
        <w:rPr>
          <w:spacing w:val="-9"/>
        </w:rPr>
        <w:t>时，应及</w:t>
      </w:r>
      <w:r>
        <w:rPr>
          <w:spacing w:val="-5"/>
        </w:rPr>
        <w:t>时开展分类评价活动。</w:t>
      </w:r>
      <w:r>
        <w:t xml:space="preserve"> </w:t>
      </w:r>
    </w:p>
    <w:p>
      <w:pPr>
        <w:pStyle w:val="ListParagraph"/>
        <w:numPr>
          <w:ilvl w:val="1"/>
          <w:numId w:val="24"/>
        </w:numPr>
        <w:tabs>
          <w:tab w:val="left" w:pos="658"/>
          <w:tab w:val="left" w:pos="659"/>
        </w:tabs>
        <w:spacing w:before="0" w:after="0" w:line="240" w:lineRule="auto"/>
        <w:ind w:left="658" w:right="0" w:hanging="527"/>
        <w:jc w:val="left"/>
        <w:rPr>
          <w:sz w:val="21"/>
        </w:rPr>
      </w:pPr>
      <w:r>
        <w:rPr>
          <w:spacing w:val="-3"/>
          <w:sz w:val="21"/>
        </w:rPr>
        <w:t>第三方机构可在委托范围内确定评价的设备种类、项目和内容，实施分类评价。</w:t>
      </w:r>
      <w:r>
        <w:rPr>
          <w:sz w:val="21"/>
        </w:rPr>
        <w:t xml:space="preserve"> </w:t>
      </w:r>
    </w:p>
    <w:p>
      <w:pPr>
        <w:pStyle w:val="BodyText"/>
        <w:spacing w:before="3"/>
        <w:rPr>
          <w:sz w:val="22"/>
        </w:rPr>
      </w:pPr>
    </w:p>
    <w:p>
      <w:pPr>
        <w:pStyle w:val="ListParagraph"/>
        <w:numPr>
          <w:ilvl w:val="0"/>
          <w:numId w:val="24"/>
        </w:numPr>
        <w:tabs>
          <w:tab w:val="left" w:pos="447"/>
          <w:tab w:val="left" w:pos="448"/>
        </w:tabs>
        <w:spacing w:before="72" w:after="0" w:line="240" w:lineRule="auto"/>
        <w:ind w:left="447" w:right="0" w:hanging="316"/>
        <w:jc w:val="left"/>
        <w:rPr>
          <w:rFonts w:ascii="黑体" w:eastAsia="黑体" w:hint="eastAsia"/>
          <w:sz w:val="21"/>
        </w:rPr>
      </w:pPr>
      <w:bookmarkStart w:id="5" w:name="_bookmark5"/>
      <w:bookmarkEnd w:id="5"/>
      <w:r>
        <w:rPr>
          <w:rFonts w:ascii="黑体" w:eastAsia="黑体" w:hint="eastAsia"/>
          <w:spacing w:val="-1"/>
          <w:sz w:val="21"/>
        </w:rPr>
        <w:t>分类评价</w:t>
      </w:r>
    </w:p>
    <w:p>
      <w:pPr>
        <w:pStyle w:val="BodyText"/>
        <w:spacing w:before="12"/>
        <w:rPr>
          <w:rFonts w:ascii="黑体"/>
        </w:rPr>
      </w:pPr>
    </w:p>
    <w:p>
      <w:pPr>
        <w:pStyle w:val="ListParagraph"/>
        <w:numPr>
          <w:ilvl w:val="1"/>
          <w:numId w:val="24"/>
        </w:numPr>
        <w:tabs>
          <w:tab w:val="left" w:pos="658"/>
          <w:tab w:val="left" w:pos="659"/>
        </w:tabs>
        <w:spacing w:before="72" w:after="0" w:line="240" w:lineRule="auto"/>
        <w:ind w:left="658" w:right="0" w:hanging="527"/>
        <w:jc w:val="left"/>
        <w:rPr>
          <w:rFonts w:ascii="黑体" w:eastAsia="黑体" w:hint="eastAsia"/>
          <w:sz w:val="21"/>
        </w:rPr>
      </w:pPr>
      <w:r>
        <w:rPr>
          <w:rFonts w:ascii="黑体" w:eastAsia="黑体" w:hint="eastAsia"/>
          <w:spacing w:val="-3"/>
          <w:sz w:val="21"/>
        </w:rPr>
        <w:t>设备风险类别划分</w:t>
      </w:r>
    </w:p>
    <w:p>
      <w:pPr>
        <w:pStyle w:val="BodyText"/>
        <w:spacing w:before="12"/>
        <w:rPr>
          <w:rFonts w:ascii="黑体"/>
          <w:sz w:val="9"/>
        </w:rPr>
      </w:pPr>
    </w:p>
    <w:p>
      <w:pPr>
        <w:pStyle w:val="ListParagraph"/>
        <w:numPr>
          <w:ilvl w:val="2"/>
          <w:numId w:val="24"/>
        </w:numPr>
        <w:tabs>
          <w:tab w:val="left" w:pos="868"/>
        </w:tabs>
        <w:spacing w:before="71" w:after="0" w:line="278" w:lineRule="auto"/>
        <w:ind w:left="132" w:right="692" w:firstLine="0"/>
        <w:jc w:val="both"/>
        <w:rPr>
          <w:sz w:val="21"/>
        </w:rPr>
      </w:pPr>
      <w:r>
        <w:rPr>
          <w:spacing w:val="-3"/>
          <w:sz w:val="21"/>
        </w:rPr>
        <w:t>根据特种设备潜在的风险大小，综合考虑特种设备种类、环境、人员密集程度和发生事故可能造成危害严重性，将特种设备安全风险类别从高等级到低等级划分为：高风险特种设备（</w:t>
      </w:r>
      <w:r>
        <w:rPr>
          <w:spacing w:val="-2"/>
          <w:sz w:val="21"/>
        </w:rPr>
        <w:t>代号：</w:t>
      </w:r>
      <w:r>
        <w:rPr>
          <w:sz w:val="21"/>
        </w:rPr>
        <w:t>H）</w:t>
      </w:r>
      <w:r>
        <w:rPr>
          <w:spacing w:val="-3"/>
          <w:sz w:val="21"/>
        </w:rPr>
        <w:t>、中风险特种设备</w:t>
      </w:r>
      <w:r>
        <w:rPr>
          <w:sz w:val="21"/>
        </w:rPr>
        <w:t>（</w:t>
      </w:r>
      <w:r>
        <w:rPr>
          <w:spacing w:val="-2"/>
          <w:sz w:val="21"/>
        </w:rPr>
        <w:t>代号：</w:t>
      </w:r>
      <w:r>
        <w:rPr>
          <w:sz w:val="21"/>
        </w:rPr>
        <w:t>M）</w:t>
      </w:r>
      <w:r>
        <w:rPr>
          <w:spacing w:val="-3"/>
          <w:sz w:val="21"/>
        </w:rPr>
        <w:t>和低风险特种设备</w:t>
      </w:r>
      <w:r>
        <w:rPr>
          <w:sz w:val="21"/>
        </w:rPr>
        <w:t>（</w:t>
      </w:r>
      <w:r>
        <w:rPr>
          <w:spacing w:val="-2"/>
          <w:sz w:val="21"/>
        </w:rPr>
        <w:t>代号：</w:t>
      </w:r>
      <w:r>
        <w:rPr>
          <w:sz w:val="21"/>
        </w:rPr>
        <w:t>L）</w:t>
      </w:r>
      <w:r>
        <w:rPr>
          <w:spacing w:val="-3"/>
          <w:sz w:val="21"/>
        </w:rPr>
        <w:t>。</w:t>
      </w:r>
      <w:r>
        <w:rPr>
          <w:sz w:val="21"/>
        </w:rPr>
        <w:t xml:space="preserve"> </w:t>
      </w:r>
    </w:p>
    <w:p>
      <w:pPr>
        <w:pStyle w:val="ListParagraph"/>
        <w:numPr>
          <w:ilvl w:val="2"/>
          <w:numId w:val="24"/>
        </w:numPr>
        <w:tabs>
          <w:tab w:val="left" w:pos="868"/>
        </w:tabs>
        <w:spacing w:before="1" w:after="0" w:line="240" w:lineRule="auto"/>
        <w:ind w:left="867" w:right="0" w:hanging="736"/>
        <w:jc w:val="both"/>
        <w:rPr>
          <w:sz w:val="21"/>
        </w:rPr>
      </w:pPr>
      <w:r>
        <w:rPr>
          <w:spacing w:val="-3"/>
          <w:sz w:val="21"/>
        </w:rPr>
        <w:t>高风险特种设备包括：</w:t>
      </w:r>
      <w:r>
        <w:rPr>
          <w:sz w:val="21"/>
        </w:rPr>
        <w:t xml:space="preserve"> </w:t>
      </w:r>
    </w:p>
    <w:p>
      <w:pPr>
        <w:pStyle w:val="BodyText"/>
        <w:spacing w:before="42"/>
        <w:ind w:left="558"/>
      </w:pPr>
      <w:r>
        <w:t xml:space="preserve">—— 公众聚集场所使用的乘客电梯、自动扶梯、自动人行道、锅炉、医用氧舱； </w:t>
      </w:r>
    </w:p>
    <w:p>
      <w:pPr>
        <w:pStyle w:val="BodyText"/>
        <w:ind w:left="558"/>
      </w:pPr>
      <w:r>
        <w:t xml:space="preserve">—— A 级锅炉； </w:t>
      </w:r>
    </w:p>
    <w:p>
      <w:pPr>
        <w:pStyle w:val="BodyText"/>
        <w:spacing w:line="278" w:lineRule="auto"/>
        <w:ind w:left="985" w:right="790" w:hanging="428"/>
        <w:jc w:val="both"/>
      </w:pPr>
      <w:r>
        <w:rPr>
          <w:spacing w:val="-11"/>
        </w:rPr>
        <w:t>—— 盛装毒性程度为极度和高度危害介质、易燃易爆介质、液化气体等高危介质的固定式压力容</w:t>
      </w:r>
      <w:r>
        <w:rPr>
          <w:spacing w:val="-6"/>
        </w:rPr>
        <w:t>器、移动式压力容器；快开门式压力容器、印染洗涤行业用烘缸</w:t>
      </w:r>
      <w:r>
        <w:rPr>
          <w:spacing w:val="-3"/>
        </w:rPr>
        <w:t>（</w:t>
      </w:r>
      <w:r>
        <w:t>筒</w:t>
      </w:r>
      <w:r>
        <w:rPr>
          <w:spacing w:val="-3"/>
        </w:rPr>
        <w:t>）、渉氨行业用压力容器；</w:t>
      </w:r>
      <w:r>
        <w:t xml:space="preserve"> </w:t>
      </w:r>
    </w:p>
    <w:p>
      <w:pPr>
        <w:pStyle w:val="BodyText"/>
        <w:spacing w:before="0" w:line="269" w:lineRule="exact"/>
        <w:ind w:left="558"/>
      </w:pPr>
      <w:r>
        <w:t xml:space="preserve">—— GA 级油气输送管道和 GC1 级工业管道； </w:t>
      </w:r>
    </w:p>
    <w:p>
      <w:pPr>
        <w:pStyle w:val="BodyText"/>
        <w:spacing w:line="278" w:lineRule="auto"/>
        <w:ind w:left="985" w:right="790" w:hanging="428"/>
      </w:pPr>
      <w:r>
        <w:rPr>
          <w:spacing w:val="-11"/>
        </w:rPr>
        <w:t>—— 要求安装安全监控管理系统的大型起重机械、吊运剧毒或易燃易爆等危险品的起重机、吊运</w:t>
      </w:r>
      <w:r>
        <w:rPr>
          <w:spacing w:val="-6"/>
        </w:rPr>
        <w:t>熔融金属的起重机；</w:t>
      </w:r>
      <w:r>
        <w:t xml:space="preserve"> </w:t>
      </w:r>
    </w:p>
    <w:p>
      <w:pPr>
        <w:spacing w:after="0" w:line="278" w:lineRule="auto"/>
        <w:sectPr>
          <w:headerReference w:type="even" r:id="rId17"/>
          <w:headerReference w:type="default" r:id="rId18"/>
          <w:footerReference w:type="even" r:id="rId19"/>
          <w:footerReference w:type="default" r:id="rId20"/>
          <w:pgSz w:w="11910" w:h="16840"/>
          <w:pgMar w:top="1640" w:right="720" w:bottom="1340" w:left="1000" w:header="1448" w:footer="1141"/>
          <w:pgNumType w:start="2"/>
          <w:cols w:space="708"/>
        </w:sectPr>
      </w:pPr>
    </w:p>
    <w:p>
      <w:pPr>
        <w:pStyle w:val="BodyText"/>
        <w:spacing w:before="1"/>
        <w:rPr>
          <w:sz w:val="17"/>
        </w:rPr>
      </w:pPr>
    </w:p>
    <w:p>
      <w:pPr>
        <w:pStyle w:val="BodyText"/>
        <w:spacing w:before="72"/>
        <w:ind w:left="843"/>
      </w:pPr>
      <w:r>
        <w:t xml:space="preserve">—— 游乐场所中的 A 类大型游乐设施； </w:t>
      </w:r>
    </w:p>
    <w:p>
      <w:pPr>
        <w:pStyle w:val="BodyText"/>
        <w:ind w:left="843"/>
      </w:pPr>
      <w:r>
        <w:t xml:space="preserve">—— 旅游景区使用的观光车； </w:t>
      </w:r>
    </w:p>
    <w:p>
      <w:pPr>
        <w:pStyle w:val="BodyText"/>
        <w:ind w:left="843"/>
      </w:pPr>
      <w:r>
        <w:t xml:space="preserve">—— 客运索道（拖牵式索道除外）。 </w:t>
      </w:r>
    </w:p>
    <w:p>
      <w:pPr>
        <w:spacing w:before="58" w:line="324" w:lineRule="auto"/>
        <w:ind w:left="1155" w:right="371" w:hanging="375"/>
        <w:jc w:val="left"/>
        <w:rPr>
          <w:sz w:val="18"/>
        </w:rPr>
      </w:pPr>
      <w:r>
        <w:rPr>
          <w:rFonts w:ascii="黑体" w:eastAsia="黑体" w:hint="eastAsia"/>
          <w:sz w:val="18"/>
        </w:rPr>
        <w:t xml:space="preserve">注： </w:t>
      </w:r>
      <w:r>
        <w:rPr>
          <w:sz w:val="18"/>
        </w:rPr>
        <w:t xml:space="preserve">要求安装安全监控管理系统的大型起重机械为TSG Q7016中列入安装安全监控管理系统的大型起重机械目录的大型起重机械。 </w:t>
      </w:r>
    </w:p>
    <w:p>
      <w:pPr>
        <w:pStyle w:val="ListParagraph"/>
        <w:numPr>
          <w:ilvl w:val="2"/>
          <w:numId w:val="24"/>
        </w:numPr>
        <w:tabs>
          <w:tab w:val="left" w:pos="1153"/>
          <w:tab w:val="left" w:pos="1154"/>
        </w:tabs>
        <w:spacing w:before="0" w:after="0" w:line="255" w:lineRule="exact"/>
        <w:ind w:left="1153" w:right="0" w:hanging="736"/>
        <w:jc w:val="left"/>
        <w:rPr>
          <w:sz w:val="21"/>
        </w:rPr>
      </w:pPr>
      <w:r>
        <w:rPr>
          <w:spacing w:val="-3"/>
          <w:sz w:val="21"/>
        </w:rPr>
        <w:t>中风险特种设备包括：</w:t>
      </w:r>
      <w:r>
        <w:rPr>
          <w:sz w:val="21"/>
        </w:rPr>
        <w:t xml:space="preserve"> </w:t>
      </w:r>
    </w:p>
    <w:p>
      <w:pPr>
        <w:pStyle w:val="BodyText"/>
        <w:ind w:left="843"/>
      </w:pPr>
      <w:r>
        <w:t xml:space="preserve">—— B 级锅炉； </w:t>
      </w:r>
    </w:p>
    <w:p>
      <w:pPr>
        <w:pStyle w:val="BodyText"/>
        <w:ind w:left="843"/>
      </w:pPr>
      <w:r>
        <w:t xml:space="preserve">—— 除纳入高风险特种设备之外的第Ⅱ、Ⅲ类压力容器； </w:t>
      </w:r>
    </w:p>
    <w:p>
      <w:pPr>
        <w:pStyle w:val="BodyText"/>
        <w:spacing w:line="278" w:lineRule="auto"/>
        <w:ind w:left="1270" w:right="406" w:hanging="428"/>
      </w:pPr>
      <w:r>
        <w:rPr>
          <w:spacing w:val="-33"/>
        </w:rPr>
        <w:t xml:space="preserve">—— </w:t>
      </w:r>
      <w:r>
        <w:t>GB1</w:t>
      </w:r>
      <w:r>
        <w:rPr>
          <w:spacing w:val="-9"/>
        </w:rPr>
        <w:t xml:space="preserve"> 级燃气管道、</w:t>
      </w:r>
      <w:r>
        <w:t>GB2</w:t>
      </w:r>
      <w:r>
        <w:rPr>
          <w:spacing w:val="-2"/>
        </w:rPr>
        <w:t xml:space="preserve"> 级热力管道和</w:t>
      </w:r>
      <w:r>
        <w:t>GC2</w:t>
      </w:r>
      <w:r>
        <w:rPr>
          <w:spacing w:val="-10"/>
        </w:rPr>
        <w:t xml:space="preserve"> 级工业管道</w:t>
      </w:r>
      <w:r>
        <w:t>（</w:t>
      </w:r>
      <w:r>
        <w:rPr>
          <w:spacing w:val="-3"/>
        </w:rPr>
        <w:t>输送无毒、非可燃气体介质，设计压力</w:t>
      </w:r>
      <w:r>
        <w:rPr>
          <w:spacing w:val="-10"/>
        </w:rPr>
        <w:t xml:space="preserve">小于或者等于 </w:t>
      </w:r>
      <w:r>
        <w:t>1.0MPa</w:t>
      </w:r>
      <w:r>
        <w:rPr>
          <w:spacing w:val="-3"/>
        </w:rPr>
        <w:t>，并且设计温度高于</w:t>
      </w:r>
      <w:r>
        <w:t>-20</w:t>
      </w:r>
      <w:r>
        <w:rPr>
          <w:spacing w:val="-12"/>
        </w:rPr>
        <w:t xml:space="preserve">℃但不高于 </w:t>
      </w:r>
      <w:r>
        <w:t>185</w:t>
      </w:r>
      <w:r>
        <w:rPr>
          <w:spacing w:val="-3"/>
        </w:rPr>
        <w:t>℃的工业管道除外</w:t>
      </w:r>
      <w:r>
        <w:t xml:space="preserve">）； </w:t>
      </w:r>
    </w:p>
    <w:p>
      <w:pPr>
        <w:pStyle w:val="BodyText"/>
        <w:spacing w:before="0" w:line="269" w:lineRule="exact"/>
        <w:ind w:left="843"/>
      </w:pPr>
      <w:r>
        <w:t xml:space="preserve">—— 叉车； </w:t>
      </w:r>
    </w:p>
    <w:p>
      <w:pPr>
        <w:pStyle w:val="BodyText"/>
        <w:spacing w:before="44"/>
        <w:ind w:left="843"/>
      </w:pPr>
      <w:r>
        <w:t xml:space="preserve">—— 简易升降机； </w:t>
      </w:r>
    </w:p>
    <w:p>
      <w:pPr>
        <w:pStyle w:val="BodyText"/>
        <w:ind w:left="843"/>
      </w:pPr>
      <w:r>
        <w:t xml:space="preserve">—— 公众聚集场所使用的载货电梯； </w:t>
      </w:r>
    </w:p>
    <w:p>
      <w:pPr>
        <w:pStyle w:val="BodyText"/>
        <w:ind w:left="843"/>
      </w:pPr>
      <w:r>
        <w:t xml:space="preserve">—— 除需安装安全监控管理系统的制造等级为 A 级的起重机械； </w:t>
      </w:r>
    </w:p>
    <w:p>
      <w:pPr>
        <w:pStyle w:val="BodyText"/>
        <w:ind w:left="843"/>
      </w:pPr>
      <w:r>
        <w:t xml:space="preserve">—— 游乐场所中的 B 类大型游乐设施。 </w:t>
      </w:r>
    </w:p>
    <w:p>
      <w:pPr>
        <w:pStyle w:val="ListParagraph"/>
        <w:numPr>
          <w:ilvl w:val="2"/>
          <w:numId w:val="24"/>
        </w:numPr>
        <w:tabs>
          <w:tab w:val="left" w:pos="1153"/>
          <w:tab w:val="left" w:pos="1154"/>
        </w:tabs>
        <w:spacing w:before="43" w:after="0" w:line="240" w:lineRule="auto"/>
        <w:ind w:left="1153" w:right="0" w:hanging="736"/>
        <w:jc w:val="left"/>
        <w:rPr>
          <w:sz w:val="21"/>
        </w:rPr>
      </w:pPr>
      <w:r>
        <w:rPr>
          <w:spacing w:val="-3"/>
          <w:sz w:val="21"/>
        </w:rPr>
        <w:t xml:space="preserve">低风险特种设备包括： </w:t>
      </w:r>
    </w:p>
    <w:p>
      <w:pPr>
        <w:pStyle w:val="BodyText"/>
        <w:spacing w:before="42"/>
        <w:ind w:left="843"/>
      </w:pPr>
      <w:r>
        <w:t xml:space="preserve">—— 除纳入 5.1.2 和 5.1.3 范围以及 D 级锅炉之外的特种设备。 </w:t>
      </w:r>
    </w:p>
    <w:p>
      <w:pPr>
        <w:pStyle w:val="BodyText"/>
        <w:spacing w:before="0"/>
        <w:rPr>
          <w:sz w:val="10"/>
        </w:rPr>
      </w:pPr>
    </w:p>
    <w:p>
      <w:pPr>
        <w:pStyle w:val="ListParagraph"/>
        <w:numPr>
          <w:ilvl w:val="1"/>
          <w:numId w:val="24"/>
        </w:numPr>
        <w:tabs>
          <w:tab w:val="left" w:pos="944"/>
          <w:tab w:val="left" w:pos="945"/>
        </w:tabs>
        <w:spacing w:before="71" w:after="0" w:line="240" w:lineRule="auto"/>
        <w:ind w:left="944" w:right="0" w:hanging="527"/>
        <w:jc w:val="left"/>
        <w:rPr>
          <w:rFonts w:ascii="黑体" w:eastAsia="黑体" w:hint="eastAsia"/>
          <w:sz w:val="21"/>
        </w:rPr>
      </w:pPr>
      <w:r>
        <w:rPr>
          <w:rFonts w:ascii="黑体" w:eastAsia="黑体" w:hint="eastAsia"/>
          <w:spacing w:val="-1"/>
          <w:sz w:val="21"/>
        </w:rPr>
        <w:t>抽查规则</w:t>
      </w:r>
    </w:p>
    <w:p>
      <w:pPr>
        <w:pStyle w:val="BodyText"/>
        <w:spacing w:before="12"/>
        <w:rPr>
          <w:rFonts w:ascii="黑体"/>
          <w:sz w:val="9"/>
        </w:rPr>
      </w:pPr>
    </w:p>
    <w:p>
      <w:pPr>
        <w:pStyle w:val="ListParagraph"/>
        <w:numPr>
          <w:ilvl w:val="2"/>
          <w:numId w:val="24"/>
        </w:numPr>
        <w:tabs>
          <w:tab w:val="left" w:pos="1153"/>
          <w:tab w:val="left" w:pos="1154"/>
        </w:tabs>
        <w:spacing w:before="72" w:after="0" w:line="278" w:lineRule="auto"/>
        <w:ind w:left="418" w:right="406" w:firstLine="0"/>
        <w:jc w:val="left"/>
        <w:rPr>
          <w:sz w:val="21"/>
        </w:rPr>
      </w:pPr>
      <w:r>
        <w:rPr>
          <w:spacing w:val="-3"/>
          <w:sz w:val="21"/>
        </w:rPr>
        <w:t>实施分类评价时，应根据使用单位在用特种设备的风险类别，按下列规定抽取相应数量的特种设备：</w:t>
      </w:r>
      <w:r>
        <w:rPr>
          <w:sz w:val="21"/>
        </w:rPr>
        <w:t xml:space="preserve"> </w:t>
      </w:r>
    </w:p>
    <w:p>
      <w:pPr>
        <w:pStyle w:val="BodyText"/>
        <w:spacing w:before="0" w:line="278" w:lineRule="auto"/>
        <w:ind w:left="1270" w:right="411" w:hanging="428"/>
      </w:pPr>
      <w:r>
        <w:rPr>
          <w:spacing w:val="-33"/>
        </w:rPr>
        <w:t xml:space="preserve">—— </w:t>
      </w:r>
      <w:r>
        <w:t>H</w:t>
      </w:r>
      <w:r>
        <w:rPr>
          <w:spacing w:val="-9"/>
        </w:rPr>
        <w:t xml:space="preserve"> 类特种设备≤</w:t>
      </w:r>
      <w:r>
        <w:t>5</w:t>
      </w:r>
      <w:r>
        <w:rPr>
          <w:spacing w:val="-9"/>
        </w:rPr>
        <w:t xml:space="preserve"> 台，应全部实施评价；</w:t>
      </w:r>
      <w:r>
        <w:t>5</w:t>
      </w:r>
      <w:r>
        <w:rPr>
          <w:spacing w:val="-26"/>
        </w:rPr>
        <w:t xml:space="preserve"> 台</w:t>
      </w:r>
      <w:r>
        <w:t>＜H</w:t>
      </w:r>
      <w:r>
        <w:rPr>
          <w:spacing w:val="-10"/>
        </w:rPr>
        <w:t xml:space="preserve"> 类特种设备≤</w:t>
      </w:r>
      <w:r>
        <w:t>100</w:t>
      </w:r>
      <w:r>
        <w:rPr>
          <w:spacing w:val="-16"/>
        </w:rPr>
        <w:t xml:space="preserve"> 台，至少抽查 </w:t>
      </w:r>
      <w:r>
        <w:t>5</w:t>
      </w:r>
      <w:r>
        <w:rPr>
          <w:spacing w:val="-18"/>
        </w:rPr>
        <w:t xml:space="preserve"> 台；</w:t>
      </w:r>
      <w:r>
        <w:t>H</w:t>
      </w:r>
      <w:r>
        <w:rPr>
          <w:spacing w:val="-19"/>
        </w:rPr>
        <w:t xml:space="preserve"> 类特</w:t>
      </w:r>
      <w:r>
        <w:rPr>
          <w:spacing w:val="-1"/>
        </w:rPr>
        <w:t>种设备＞</w:t>
      </w:r>
      <w:r>
        <w:t>100</w:t>
      </w:r>
      <w:r>
        <w:rPr>
          <w:spacing w:val="-16"/>
        </w:rPr>
        <w:t xml:space="preserve"> 台，至少抽查 </w:t>
      </w:r>
      <w:r>
        <w:t>10</w:t>
      </w:r>
      <w:r>
        <w:rPr>
          <w:spacing w:val="-20"/>
        </w:rPr>
        <w:t xml:space="preserve"> 台；</w:t>
      </w:r>
      <w:r>
        <w:t xml:space="preserve"> </w:t>
      </w:r>
    </w:p>
    <w:p>
      <w:pPr>
        <w:pStyle w:val="BodyText"/>
        <w:spacing w:before="0" w:line="278" w:lineRule="auto"/>
        <w:ind w:left="1270" w:right="411" w:hanging="428"/>
      </w:pPr>
      <w:r>
        <w:rPr>
          <w:spacing w:val="-33"/>
        </w:rPr>
        <w:t xml:space="preserve">—— </w:t>
      </w:r>
      <w:r>
        <w:t>M</w:t>
      </w:r>
      <w:r>
        <w:rPr>
          <w:spacing w:val="-9"/>
        </w:rPr>
        <w:t xml:space="preserve"> 类特种设备≤</w:t>
      </w:r>
      <w:r>
        <w:t>4</w:t>
      </w:r>
      <w:r>
        <w:rPr>
          <w:spacing w:val="-9"/>
        </w:rPr>
        <w:t xml:space="preserve"> 台，应全部实施评价；</w:t>
      </w:r>
      <w:r>
        <w:t>4</w:t>
      </w:r>
      <w:r>
        <w:rPr>
          <w:spacing w:val="-26"/>
        </w:rPr>
        <w:t xml:space="preserve"> 台</w:t>
      </w:r>
      <w:r>
        <w:t>＜M</w:t>
      </w:r>
      <w:r>
        <w:rPr>
          <w:spacing w:val="-10"/>
        </w:rPr>
        <w:t xml:space="preserve"> 类特种设备≤</w:t>
      </w:r>
      <w:r>
        <w:t>100</w:t>
      </w:r>
      <w:r>
        <w:rPr>
          <w:spacing w:val="-16"/>
        </w:rPr>
        <w:t xml:space="preserve"> 台，至少抽查 </w:t>
      </w:r>
      <w:r>
        <w:t>4</w:t>
      </w:r>
      <w:r>
        <w:rPr>
          <w:spacing w:val="-18"/>
        </w:rPr>
        <w:t xml:space="preserve"> 台；</w:t>
      </w:r>
      <w:r>
        <w:t>M</w:t>
      </w:r>
      <w:r>
        <w:rPr>
          <w:spacing w:val="-19"/>
        </w:rPr>
        <w:t xml:space="preserve"> 类特</w:t>
      </w:r>
      <w:r>
        <w:rPr>
          <w:spacing w:val="-1"/>
        </w:rPr>
        <w:t>种设备＞</w:t>
      </w:r>
      <w:r>
        <w:t>100</w:t>
      </w:r>
      <w:r>
        <w:rPr>
          <w:spacing w:val="-16"/>
        </w:rPr>
        <w:t xml:space="preserve"> 台，至少抽查 </w:t>
      </w:r>
      <w:r>
        <w:t>8</w:t>
      </w:r>
      <w:r>
        <w:rPr>
          <w:spacing w:val="-20"/>
        </w:rPr>
        <w:t xml:space="preserve"> 台；</w:t>
      </w:r>
      <w:r>
        <w:t xml:space="preserve"> </w:t>
      </w:r>
    </w:p>
    <w:p>
      <w:pPr>
        <w:pStyle w:val="BodyText"/>
        <w:spacing w:before="0" w:line="278" w:lineRule="auto"/>
        <w:ind w:left="1270" w:right="411" w:hanging="428"/>
      </w:pPr>
      <w:r>
        <w:rPr>
          <w:spacing w:val="-33"/>
        </w:rPr>
        <w:t xml:space="preserve">—— </w:t>
      </w:r>
      <w:r>
        <w:t>L</w:t>
      </w:r>
      <w:r>
        <w:rPr>
          <w:spacing w:val="-9"/>
        </w:rPr>
        <w:t xml:space="preserve"> 类特种设备≤</w:t>
      </w:r>
      <w:r>
        <w:t>3</w:t>
      </w:r>
      <w:r>
        <w:rPr>
          <w:spacing w:val="-9"/>
        </w:rPr>
        <w:t xml:space="preserve"> 台，应全部实施评价；</w:t>
      </w:r>
      <w:r>
        <w:t>3</w:t>
      </w:r>
      <w:r>
        <w:rPr>
          <w:spacing w:val="-26"/>
        </w:rPr>
        <w:t xml:space="preserve"> 台</w:t>
      </w:r>
      <w:r>
        <w:t>＜L</w:t>
      </w:r>
      <w:r>
        <w:rPr>
          <w:spacing w:val="-10"/>
        </w:rPr>
        <w:t xml:space="preserve"> 类特种设备≤</w:t>
      </w:r>
      <w:r>
        <w:t>100</w:t>
      </w:r>
      <w:r>
        <w:rPr>
          <w:spacing w:val="-16"/>
        </w:rPr>
        <w:t xml:space="preserve"> 台，至少抽查 </w:t>
      </w:r>
      <w:r>
        <w:t>3</w:t>
      </w:r>
      <w:r>
        <w:rPr>
          <w:spacing w:val="-18"/>
        </w:rPr>
        <w:t xml:space="preserve"> 台；</w:t>
      </w:r>
      <w:r>
        <w:t>L</w:t>
      </w:r>
      <w:r>
        <w:rPr>
          <w:spacing w:val="-19"/>
        </w:rPr>
        <w:t xml:space="preserve"> 类特</w:t>
      </w:r>
      <w:r>
        <w:rPr>
          <w:spacing w:val="-1"/>
        </w:rPr>
        <w:t>种设备＞</w:t>
      </w:r>
      <w:r>
        <w:t>100</w:t>
      </w:r>
      <w:r>
        <w:rPr>
          <w:spacing w:val="-16"/>
        </w:rPr>
        <w:t xml:space="preserve"> 台，至少抽查 </w:t>
      </w:r>
      <w:r>
        <w:t>5</w:t>
      </w:r>
      <w:r>
        <w:rPr>
          <w:spacing w:val="-20"/>
        </w:rPr>
        <w:t xml:space="preserve"> 台。</w:t>
      </w:r>
      <w:r>
        <w:t xml:space="preserve"> </w:t>
      </w:r>
    </w:p>
    <w:p>
      <w:pPr>
        <w:pStyle w:val="ListParagraph"/>
        <w:numPr>
          <w:ilvl w:val="2"/>
          <w:numId w:val="24"/>
        </w:numPr>
        <w:tabs>
          <w:tab w:val="left" w:pos="1153"/>
          <w:tab w:val="left" w:pos="1154"/>
        </w:tabs>
        <w:spacing w:before="0" w:after="0" w:line="278" w:lineRule="auto"/>
        <w:ind w:left="418" w:right="406" w:firstLine="0"/>
        <w:jc w:val="left"/>
        <w:rPr>
          <w:sz w:val="21"/>
        </w:rPr>
      </w:pPr>
      <w:r>
        <w:rPr>
          <w:spacing w:val="-3"/>
          <w:sz w:val="21"/>
        </w:rPr>
        <w:t>评价主体可以根据实际需求增加抽查数量，并按照覆盖所有在用特种设备种类的原则，确定每类特种设备的具体抽取数量。</w:t>
      </w:r>
      <w:r>
        <w:rPr>
          <w:sz w:val="21"/>
        </w:rPr>
        <w:t xml:space="preserve"> </w:t>
      </w:r>
    </w:p>
    <w:p>
      <w:pPr>
        <w:spacing w:before="15" w:line="324" w:lineRule="auto"/>
        <w:ind w:left="1230" w:right="342" w:hanging="449"/>
        <w:jc w:val="left"/>
        <w:rPr>
          <w:sz w:val="18"/>
        </w:rPr>
      </w:pPr>
      <w:r>
        <w:rPr>
          <w:rFonts w:ascii="黑体" w:eastAsia="黑体" w:hint="eastAsia"/>
          <w:sz w:val="18"/>
        </w:rPr>
        <w:t>注1：</w:t>
      </w:r>
      <w:r>
        <w:rPr>
          <w:sz w:val="18"/>
        </w:rPr>
        <w:t>气瓶充装单位的气瓶数量按1</w:t>
      </w:r>
      <w:r>
        <w:rPr>
          <w:position w:val="9"/>
          <w:sz w:val="18"/>
        </w:rPr>
        <w:t xml:space="preserve"> </w:t>
      </w:r>
      <w:r>
        <w:rPr>
          <w:sz w:val="18"/>
        </w:rPr>
        <w:t>000只为1台压力容器折算，不足1</w:t>
      </w:r>
      <w:r>
        <w:rPr>
          <w:position w:val="9"/>
          <w:sz w:val="18"/>
        </w:rPr>
        <w:t xml:space="preserve"> </w:t>
      </w:r>
      <w:r>
        <w:rPr>
          <w:sz w:val="18"/>
        </w:rPr>
        <w:t>000</w:t>
      </w:r>
      <w:r>
        <w:rPr>
          <w:spacing w:val="-2"/>
          <w:sz w:val="18"/>
        </w:rPr>
        <w:t>只按</w:t>
      </w:r>
      <w:r>
        <w:rPr>
          <w:sz w:val="18"/>
        </w:rPr>
        <w:t>1</w:t>
      </w:r>
      <w:r>
        <w:rPr>
          <w:spacing w:val="-2"/>
          <w:sz w:val="18"/>
        </w:rPr>
        <w:t>台折算。抽查时应覆盖气瓶种类，抽</w:t>
      </w:r>
      <w:r>
        <w:rPr>
          <w:sz w:val="18"/>
        </w:rPr>
        <w:t xml:space="preserve">查数量单位为只。 </w:t>
      </w:r>
    </w:p>
    <w:p>
      <w:pPr>
        <w:spacing w:before="1"/>
        <w:ind w:left="781" w:right="0" w:firstLine="0"/>
        <w:jc w:val="left"/>
        <w:rPr>
          <w:sz w:val="18"/>
        </w:rPr>
      </w:pPr>
      <w:r>
        <w:rPr>
          <w:rFonts w:ascii="黑体" w:eastAsia="黑体" w:hint="eastAsia"/>
          <w:sz w:val="18"/>
        </w:rPr>
        <w:t>注2：</w:t>
      </w:r>
      <w:r>
        <w:rPr>
          <w:sz w:val="18"/>
        </w:rPr>
        <w:t xml:space="preserve">压力管道的数量按照1公里为1台特种设备折算，不足1公里按1台折算，抽查数量单位为公里。 </w:t>
      </w:r>
    </w:p>
    <w:p>
      <w:pPr>
        <w:pStyle w:val="BodyText"/>
        <w:spacing w:before="9"/>
        <w:rPr>
          <w:sz w:val="11"/>
        </w:rPr>
      </w:pPr>
    </w:p>
    <w:p>
      <w:pPr>
        <w:pStyle w:val="ListParagraph"/>
        <w:numPr>
          <w:ilvl w:val="1"/>
          <w:numId w:val="24"/>
        </w:numPr>
        <w:tabs>
          <w:tab w:val="left" w:pos="944"/>
          <w:tab w:val="left" w:pos="945"/>
        </w:tabs>
        <w:spacing w:before="72" w:after="0" w:line="240" w:lineRule="auto"/>
        <w:ind w:left="944" w:right="0" w:hanging="527"/>
        <w:jc w:val="left"/>
        <w:rPr>
          <w:rFonts w:ascii="黑体" w:eastAsia="黑体" w:hint="eastAsia"/>
          <w:sz w:val="21"/>
        </w:rPr>
      </w:pPr>
      <w:r>
        <w:rPr>
          <w:rFonts w:ascii="黑体" w:eastAsia="黑体" w:hint="eastAsia"/>
          <w:spacing w:val="-1"/>
          <w:sz w:val="21"/>
        </w:rPr>
        <w:t>量化评价</w:t>
      </w:r>
    </w:p>
    <w:p>
      <w:pPr>
        <w:pStyle w:val="BodyText"/>
        <w:spacing w:before="0"/>
        <w:rPr>
          <w:rFonts w:ascii="黑体"/>
          <w:sz w:val="10"/>
        </w:rPr>
      </w:pPr>
    </w:p>
    <w:p>
      <w:pPr>
        <w:pStyle w:val="ListParagraph"/>
        <w:numPr>
          <w:ilvl w:val="2"/>
          <w:numId w:val="24"/>
        </w:numPr>
        <w:tabs>
          <w:tab w:val="left" w:pos="1154"/>
        </w:tabs>
        <w:spacing w:before="71" w:after="0" w:line="278" w:lineRule="auto"/>
        <w:ind w:left="418" w:right="406" w:firstLine="0"/>
        <w:jc w:val="both"/>
        <w:rPr>
          <w:sz w:val="21"/>
        </w:rPr>
      </w:pPr>
      <w:r>
        <w:rPr>
          <w:spacing w:val="-5"/>
          <w:sz w:val="21"/>
        </w:rPr>
        <w:t xml:space="preserve">按照附录 </w:t>
      </w:r>
      <w:r>
        <w:rPr>
          <w:spacing w:val="-18"/>
          <w:sz w:val="21"/>
        </w:rPr>
        <w:t>A</w:t>
      </w:r>
      <w:r>
        <w:rPr>
          <w:spacing w:val="-8"/>
          <w:sz w:val="21"/>
        </w:rPr>
        <w:t>，对使用单位安全管理情况</w:t>
      </w:r>
      <w:r>
        <w:rPr>
          <w:spacing w:val="-3"/>
          <w:sz w:val="21"/>
        </w:rPr>
        <w:t>（否决项</w:t>
      </w:r>
      <w:r>
        <w:rPr>
          <w:spacing w:val="-29"/>
          <w:sz w:val="21"/>
        </w:rPr>
        <w:t>）</w:t>
      </w:r>
      <w:r>
        <w:rPr>
          <w:spacing w:val="-9"/>
          <w:sz w:val="21"/>
        </w:rPr>
        <w:t xml:space="preserve">进行评价时，存在否决项之一的，终止评价， </w:t>
      </w:r>
      <w:r>
        <w:rPr>
          <w:spacing w:val="-17"/>
          <w:sz w:val="21"/>
        </w:rPr>
        <w:t xml:space="preserve">判定为 </w:t>
      </w:r>
      <w:r>
        <w:rPr>
          <w:sz w:val="21"/>
        </w:rPr>
        <w:t>D</w:t>
      </w:r>
      <w:r>
        <w:rPr>
          <w:spacing w:val="-10"/>
          <w:sz w:val="21"/>
        </w:rPr>
        <w:t xml:space="preserve"> 类使用单位。</w:t>
      </w:r>
      <w:r>
        <w:rPr>
          <w:sz w:val="21"/>
        </w:rPr>
        <w:t xml:space="preserve"> </w:t>
      </w:r>
    </w:p>
    <w:p>
      <w:pPr>
        <w:pStyle w:val="ListParagraph"/>
        <w:numPr>
          <w:ilvl w:val="2"/>
          <w:numId w:val="24"/>
        </w:numPr>
        <w:tabs>
          <w:tab w:val="left" w:pos="1154"/>
        </w:tabs>
        <w:spacing w:before="0" w:after="0" w:line="278" w:lineRule="auto"/>
        <w:ind w:left="418" w:right="406" w:firstLine="0"/>
        <w:jc w:val="both"/>
        <w:rPr>
          <w:sz w:val="21"/>
        </w:rPr>
      </w:pPr>
      <w:r>
        <w:rPr>
          <w:spacing w:val="7"/>
          <w:sz w:val="21"/>
        </w:rPr>
        <w:t xml:space="preserve">按照附录 </w:t>
      </w:r>
      <w:r>
        <w:rPr>
          <w:sz w:val="21"/>
        </w:rPr>
        <w:t>A</w:t>
      </w:r>
      <w:r>
        <w:rPr>
          <w:spacing w:val="-3"/>
          <w:sz w:val="21"/>
        </w:rPr>
        <w:t>，对使用单位安全管理情况</w:t>
      </w:r>
      <w:r>
        <w:rPr>
          <w:sz w:val="21"/>
        </w:rPr>
        <w:t>（</w:t>
      </w:r>
      <w:r>
        <w:rPr>
          <w:spacing w:val="-3"/>
          <w:sz w:val="21"/>
        </w:rPr>
        <w:t>包括管理机构、管理制度、管理人员、技术档案、应急管理和加分项</w:t>
      </w:r>
      <w:r>
        <w:rPr>
          <w:sz w:val="21"/>
        </w:rPr>
        <w:t>）</w:t>
      </w:r>
      <w:r>
        <w:rPr>
          <w:spacing w:val="-3"/>
          <w:sz w:val="21"/>
        </w:rPr>
        <w:t>进行评价评分，得到特种设备使用单位安全管理评价分值</w:t>
      </w:r>
      <w:r>
        <w:rPr>
          <w:sz w:val="21"/>
        </w:rPr>
        <w:t>（S）</w:t>
      </w:r>
      <w:r>
        <w:rPr>
          <w:spacing w:val="-3"/>
          <w:sz w:val="21"/>
        </w:rPr>
        <w:t>。</w:t>
      </w:r>
      <w:r>
        <w:rPr>
          <w:sz w:val="21"/>
        </w:rPr>
        <w:t xml:space="preserve"> </w:t>
      </w:r>
    </w:p>
    <w:p>
      <w:pPr>
        <w:pStyle w:val="ListParagraph"/>
        <w:numPr>
          <w:ilvl w:val="2"/>
          <w:numId w:val="24"/>
        </w:numPr>
        <w:tabs>
          <w:tab w:val="left" w:pos="1154"/>
        </w:tabs>
        <w:spacing w:before="0" w:after="0" w:line="278" w:lineRule="auto"/>
        <w:ind w:left="418" w:right="406" w:firstLine="0"/>
        <w:jc w:val="both"/>
        <w:rPr>
          <w:sz w:val="21"/>
        </w:rPr>
      </w:pPr>
      <w:r>
        <w:rPr>
          <w:spacing w:val="-9"/>
          <w:sz w:val="21"/>
        </w:rPr>
        <w:t xml:space="preserve">按照附录 </w:t>
      </w:r>
      <w:r>
        <w:rPr>
          <w:sz w:val="21"/>
        </w:rPr>
        <w:t>B</w:t>
      </w:r>
      <w:r>
        <w:rPr>
          <w:spacing w:val="-21"/>
          <w:sz w:val="21"/>
        </w:rPr>
        <w:t xml:space="preserve"> 中表 </w:t>
      </w:r>
      <w:r>
        <w:rPr>
          <w:spacing w:val="-4"/>
          <w:sz w:val="21"/>
        </w:rPr>
        <w:t>B.1～B.8，对抽查的特种设备的使用管理情况分种类逐台进行评价记分，得到</w:t>
      </w:r>
      <w:r>
        <w:rPr>
          <w:spacing w:val="-6"/>
          <w:sz w:val="21"/>
        </w:rPr>
        <w:t>每台设备的评分，分别计算出高风险特种设备平均分值（h）、中风险特种设备平均分值</w:t>
      </w:r>
      <w:r>
        <w:rPr>
          <w:spacing w:val="-5"/>
          <w:sz w:val="21"/>
        </w:rPr>
        <w:t>（m）</w:t>
      </w:r>
      <w:r>
        <w:rPr>
          <w:spacing w:val="-6"/>
          <w:sz w:val="21"/>
        </w:rPr>
        <w:t>、低风险</w:t>
      </w:r>
      <w:r>
        <w:rPr>
          <w:spacing w:val="-4"/>
          <w:sz w:val="21"/>
        </w:rPr>
        <w:t>特种设备平均分值</w:t>
      </w:r>
      <w:r>
        <w:rPr>
          <w:sz w:val="21"/>
        </w:rPr>
        <w:t>（l）</w:t>
      </w:r>
      <w:r>
        <w:rPr>
          <w:spacing w:val="-3"/>
          <w:sz w:val="21"/>
        </w:rPr>
        <w:t>以及特种设备使用安全管理分种类评价综合分值（W）</w:t>
      </w:r>
      <w:r>
        <w:rPr>
          <w:sz w:val="21"/>
        </w:rPr>
        <w:t xml:space="preserve">。 </w:t>
      </w:r>
    </w:p>
    <w:p>
      <w:pPr>
        <w:pStyle w:val="ListParagraph"/>
        <w:numPr>
          <w:ilvl w:val="1"/>
          <w:numId w:val="24"/>
        </w:numPr>
        <w:tabs>
          <w:tab w:val="left" w:pos="944"/>
          <w:tab w:val="left" w:pos="945"/>
        </w:tabs>
        <w:spacing w:before="155" w:after="0" w:line="240" w:lineRule="auto"/>
        <w:ind w:left="944" w:right="0" w:hanging="527"/>
        <w:jc w:val="left"/>
        <w:rPr>
          <w:rFonts w:ascii="黑体" w:eastAsia="黑体" w:hint="eastAsia"/>
          <w:sz w:val="21"/>
        </w:rPr>
      </w:pPr>
      <w:r>
        <w:rPr>
          <w:rFonts w:ascii="黑体" w:eastAsia="黑体" w:hint="eastAsia"/>
          <w:spacing w:val="-1"/>
          <w:sz w:val="21"/>
        </w:rPr>
        <w:t>分数计算</w:t>
      </w:r>
    </w:p>
    <w:p>
      <w:pPr>
        <w:spacing w:after="0" w:line="240" w:lineRule="auto"/>
        <w:jc w:val="left"/>
        <w:rPr>
          <w:rFonts w:ascii="黑体" w:eastAsia="黑体" w:hint="eastAsia"/>
          <w:sz w:val="21"/>
        </w:rPr>
        <w:sectPr>
          <w:headerReference w:type="even" r:id="rId21"/>
          <w:headerReference w:type="default" r:id="rId22"/>
          <w:footerReference w:type="even" r:id="rId23"/>
          <w:footerReference w:type="default" r:id="rId24"/>
          <w:pgSz w:w="11910" w:h="16840"/>
          <w:pgMar w:top="1640" w:right="720" w:bottom="1340" w:left="1000" w:header="1448" w:footer="1141"/>
          <w:pgNumType w:start="3"/>
          <w:cols w:space="708"/>
        </w:sectPr>
      </w:pPr>
    </w:p>
    <w:p>
      <w:pPr>
        <w:pStyle w:val="BodyText"/>
        <w:spacing w:before="1"/>
        <w:rPr>
          <w:rFonts w:ascii="黑体"/>
          <w:sz w:val="17"/>
        </w:rPr>
      </w:pPr>
    </w:p>
    <w:p>
      <w:pPr>
        <w:pStyle w:val="ListParagraph"/>
        <w:numPr>
          <w:ilvl w:val="2"/>
          <w:numId w:val="23"/>
        </w:numPr>
        <w:tabs>
          <w:tab w:val="left" w:pos="868"/>
        </w:tabs>
        <w:spacing w:before="72" w:after="0" w:line="278" w:lineRule="auto"/>
        <w:ind w:left="132" w:right="691" w:firstLine="0"/>
        <w:jc w:val="both"/>
        <w:rPr>
          <w:sz w:val="21"/>
        </w:rPr>
      </w:pPr>
      <w:r>
        <w:rPr>
          <w:spacing w:val="-3"/>
          <w:sz w:val="21"/>
        </w:rPr>
        <w:t>特种设备使用单位安全管理评价分值</w:t>
      </w:r>
      <w:r>
        <w:rPr>
          <w:sz w:val="21"/>
        </w:rPr>
        <w:t>（S）</w:t>
      </w:r>
      <w:r>
        <w:rPr>
          <w:spacing w:val="-11"/>
          <w:sz w:val="21"/>
        </w:rPr>
        <w:t xml:space="preserve">为 </w:t>
      </w:r>
      <w:r>
        <w:rPr>
          <w:sz w:val="21"/>
        </w:rPr>
        <w:t>100</w:t>
      </w:r>
      <w:r>
        <w:rPr>
          <w:spacing w:val="-8"/>
          <w:sz w:val="21"/>
        </w:rPr>
        <w:t xml:space="preserve"> 分，占总评价得分的 </w:t>
      </w:r>
      <w:r>
        <w:rPr>
          <w:sz w:val="21"/>
        </w:rPr>
        <w:t>40</w:t>
      </w:r>
      <w:r>
        <w:rPr>
          <w:spacing w:val="-2"/>
          <w:sz w:val="21"/>
        </w:rPr>
        <w:t>％，特种设备使用安</w:t>
      </w:r>
      <w:r>
        <w:rPr>
          <w:spacing w:val="-4"/>
          <w:sz w:val="21"/>
        </w:rPr>
        <w:t>全管理分种类评价综合分值（W）</w:t>
      </w:r>
      <w:r>
        <w:rPr>
          <w:spacing w:val="-12"/>
          <w:sz w:val="21"/>
        </w:rPr>
        <w:t xml:space="preserve">分值为 </w:t>
      </w:r>
      <w:r>
        <w:rPr>
          <w:sz w:val="21"/>
        </w:rPr>
        <w:t>100</w:t>
      </w:r>
      <w:r>
        <w:rPr>
          <w:spacing w:val="-11"/>
          <w:sz w:val="21"/>
        </w:rPr>
        <w:t xml:space="preserve"> 分，占总评价得分的 </w:t>
      </w:r>
      <w:r>
        <w:rPr>
          <w:spacing w:val="-5"/>
          <w:sz w:val="21"/>
        </w:rPr>
        <w:t>60％</w:t>
      </w:r>
      <w:r>
        <w:rPr>
          <w:spacing w:val="-3"/>
          <w:sz w:val="21"/>
        </w:rPr>
        <w:t>，特种设备使用安全管理分类评价总分值</w:t>
      </w:r>
      <w:r>
        <w:rPr>
          <w:sz w:val="21"/>
        </w:rPr>
        <w:t>（Y）</w:t>
      </w:r>
      <w:r>
        <w:rPr>
          <w:spacing w:val="-3"/>
          <w:sz w:val="21"/>
        </w:rPr>
        <w:t>计算方法见公式（1）：</w:t>
      </w:r>
      <w:r>
        <w:rPr>
          <w:sz w:val="21"/>
        </w:rPr>
        <w:t xml:space="preserve"> </w:t>
      </w:r>
    </w:p>
    <w:p>
      <w:pPr>
        <w:pStyle w:val="BodyText"/>
        <w:tabs>
          <w:tab w:val="left" w:pos="3659"/>
        </w:tabs>
        <w:spacing w:before="0" w:line="316" w:lineRule="exact"/>
        <w:ind w:left="132"/>
      </w:pPr>
      <w:r>
        <w:rPr>
          <w:w w:val="100"/>
        </w:rPr>
        <w:t xml:space="preserve"> </w:t>
      </w:r>
      <w:r>
        <w:tab/>
      </w:r>
      <w:r>
        <w:rPr>
          <w:rFonts w:ascii="Cambria Math" w:eastAsia="Cambria Math" w:hAnsi="Cambria Math"/>
        </w:rPr>
        <w:t xml:space="preserve">𝑌 = 𝑆 × 40% + 𝑊 × 60% </w:t>
      </w:r>
      <w:r>
        <w:rPr>
          <w:rFonts w:ascii="微软雅黑" w:eastAsia="微软雅黑" w:hAnsi="微软雅黑" w:hint="eastAsia"/>
        </w:rPr>
        <w:t>······························································</w:t>
      </w:r>
      <w:r>
        <w:rPr>
          <w:rFonts w:ascii="微软雅黑" w:eastAsia="微软雅黑" w:hAnsi="微软雅黑" w:hint="eastAsia"/>
          <w:spacing w:val="-12"/>
        </w:rPr>
        <w:t xml:space="preserve"> </w:t>
      </w:r>
      <w:r>
        <w:t xml:space="preserve">(1) </w:t>
      </w:r>
    </w:p>
    <w:p>
      <w:pPr>
        <w:pStyle w:val="BodyText"/>
        <w:spacing w:before="0" w:line="265" w:lineRule="exact"/>
        <w:ind w:left="553"/>
      </w:pPr>
      <w:r>
        <w:t xml:space="preserve">式中： </w:t>
      </w:r>
    </w:p>
    <w:p>
      <w:pPr>
        <w:pStyle w:val="BodyText"/>
        <w:spacing w:line="278" w:lineRule="auto"/>
        <w:ind w:left="553" w:right="5247"/>
      </w:pPr>
      <w:r>
        <w:t xml:space="preserve">Y—特种设备使用安全管理分类评价总分值； S—特种设备使用单位安全管理评价分值； </w:t>
      </w:r>
    </w:p>
    <w:p>
      <w:pPr>
        <w:pStyle w:val="BodyText"/>
        <w:spacing w:before="0" w:line="269" w:lineRule="exact"/>
        <w:ind w:left="553"/>
      </w:pPr>
      <w:r>
        <w:t xml:space="preserve">W—特种设备使用安全管理分种类评价综合分值。 </w:t>
      </w:r>
    </w:p>
    <w:p>
      <w:pPr>
        <w:pStyle w:val="ListParagraph"/>
        <w:numPr>
          <w:ilvl w:val="2"/>
          <w:numId w:val="23"/>
        </w:numPr>
        <w:tabs>
          <w:tab w:val="left" w:pos="867"/>
          <w:tab w:val="left" w:pos="868"/>
        </w:tabs>
        <w:spacing w:before="43" w:after="0" w:line="257" w:lineRule="exact"/>
        <w:ind w:left="867" w:right="0" w:hanging="736"/>
        <w:jc w:val="left"/>
        <w:rPr>
          <w:sz w:val="21"/>
        </w:rPr>
      </w:pPr>
      <w:r>
        <w:rPr>
          <w:spacing w:val="-6"/>
          <w:sz w:val="21"/>
        </w:rPr>
        <w:t xml:space="preserve">特种设备使用安全管理分种类评价综合分值为 </w:t>
      </w:r>
      <w:r>
        <w:rPr>
          <w:sz w:val="21"/>
        </w:rPr>
        <w:t>100</w:t>
      </w:r>
      <w:r>
        <w:rPr>
          <w:spacing w:val="-9"/>
          <w:sz w:val="21"/>
        </w:rPr>
        <w:t xml:space="preserve"> 分，评价综合得分的计算见公式</w:t>
      </w:r>
      <w:r>
        <w:rPr>
          <w:sz w:val="21"/>
        </w:rPr>
        <w:t xml:space="preserve">（2）： </w:t>
      </w:r>
    </w:p>
    <w:p>
      <w:pPr>
        <w:tabs>
          <w:tab w:val="left" w:pos="2624"/>
          <w:tab w:val="left" w:leader="middleDot" w:pos="9173"/>
        </w:tabs>
        <w:spacing w:before="0" w:line="375" w:lineRule="exact"/>
        <w:ind w:left="132" w:right="0" w:firstLine="0"/>
        <w:jc w:val="left"/>
        <w:rPr>
          <w:sz w:val="21"/>
        </w:rPr>
      </w:pPr>
      <w:r>
        <w:rPr>
          <w:w w:val="100"/>
          <w:sz w:val="21"/>
        </w:rPr>
        <w:t xml:space="preserve"> </w:t>
      </w:r>
      <w:r>
        <w:rPr>
          <w:sz w:val="21"/>
        </w:rPr>
        <w:tab/>
      </w:r>
      <w:r>
        <w:rPr>
          <w:rFonts w:ascii="Cambria Math" w:eastAsia="Cambria Math" w:hAnsi="Cambria Math"/>
          <w:sz w:val="21"/>
        </w:rPr>
        <w:t xml:space="preserve">W = (h × </w:t>
      </w:r>
      <w:r>
        <w:rPr>
          <w:rFonts w:ascii="Cambria Math" w:eastAsia="Cambria Math" w:hAnsi="Cambria Math"/>
          <w:spacing w:val="-6"/>
          <w:sz w:val="21"/>
        </w:rPr>
        <w:t>𝑄</w:t>
      </w:r>
      <w:r>
        <w:rPr>
          <w:rFonts w:ascii="Cambria Math" w:eastAsia="Cambria Math" w:hAnsi="Cambria Math"/>
          <w:spacing w:val="-6"/>
          <w:position w:val="-3"/>
          <w:sz w:val="15"/>
        </w:rPr>
        <w:t xml:space="preserve">1  </w:t>
      </w:r>
      <w:r>
        <w:rPr>
          <w:rFonts w:ascii="Cambria Math" w:eastAsia="Cambria Math" w:hAnsi="Cambria Math"/>
          <w:sz w:val="21"/>
        </w:rPr>
        <w:t xml:space="preserve">+ m × </w:t>
      </w:r>
      <w:r>
        <w:rPr>
          <w:rFonts w:ascii="Cambria Math" w:eastAsia="Cambria Math" w:hAnsi="Cambria Math"/>
          <w:spacing w:val="-4"/>
          <w:sz w:val="21"/>
        </w:rPr>
        <w:t>𝑄</w:t>
      </w:r>
      <w:r>
        <w:rPr>
          <w:rFonts w:ascii="Cambria Math" w:eastAsia="Cambria Math" w:hAnsi="Cambria Math"/>
          <w:spacing w:val="-4"/>
          <w:position w:val="-3"/>
          <w:sz w:val="15"/>
        </w:rPr>
        <w:t xml:space="preserve">2  </w:t>
      </w:r>
      <w:r>
        <w:rPr>
          <w:rFonts w:ascii="Cambria Math" w:eastAsia="Cambria Math" w:hAnsi="Cambria Math"/>
          <w:sz w:val="21"/>
        </w:rPr>
        <w:t>+ l × 𝑄</w:t>
      </w:r>
      <w:r>
        <w:rPr>
          <w:rFonts w:ascii="Cambria Math" w:eastAsia="Cambria Math" w:hAnsi="Cambria Math"/>
          <w:position w:val="-3"/>
          <w:sz w:val="15"/>
        </w:rPr>
        <w:t>3</w:t>
      </w:r>
      <w:r>
        <w:rPr>
          <w:rFonts w:ascii="Cambria Math" w:eastAsia="Cambria Math" w:hAnsi="Cambria Math"/>
          <w:sz w:val="21"/>
        </w:rPr>
        <w:t>)/(𝑄</w:t>
      </w:r>
      <w:r>
        <w:rPr>
          <w:rFonts w:ascii="Cambria Math" w:eastAsia="Cambria Math" w:hAnsi="Cambria Math"/>
          <w:position w:val="-3"/>
          <w:sz w:val="15"/>
        </w:rPr>
        <w:t xml:space="preserve">1  </w:t>
      </w:r>
      <w:r>
        <w:rPr>
          <w:rFonts w:ascii="Cambria Math" w:eastAsia="Cambria Math" w:hAnsi="Cambria Math"/>
          <w:sz w:val="21"/>
        </w:rPr>
        <w:t xml:space="preserve">+ </w:t>
      </w:r>
      <w:r>
        <w:rPr>
          <w:rFonts w:ascii="Cambria Math" w:eastAsia="Cambria Math" w:hAnsi="Cambria Math"/>
          <w:spacing w:val="-4"/>
          <w:sz w:val="21"/>
        </w:rPr>
        <w:t>𝑄</w:t>
      </w:r>
      <w:r>
        <w:rPr>
          <w:rFonts w:ascii="Cambria Math" w:eastAsia="Cambria Math" w:hAnsi="Cambria Math"/>
          <w:spacing w:val="-4"/>
          <w:position w:val="-3"/>
          <w:sz w:val="15"/>
        </w:rPr>
        <w:t xml:space="preserve">2 </w:t>
      </w:r>
      <w:r>
        <w:rPr>
          <w:rFonts w:ascii="Cambria Math" w:eastAsia="Cambria Math" w:hAnsi="Cambria Math"/>
          <w:spacing w:val="8"/>
          <w:position w:val="-3"/>
          <w:sz w:val="15"/>
        </w:rPr>
        <w:t xml:space="preserve"> </w:t>
      </w:r>
      <w:r>
        <w:rPr>
          <w:rFonts w:ascii="Cambria Math" w:eastAsia="Cambria Math" w:hAnsi="Cambria Math"/>
          <w:sz w:val="21"/>
        </w:rPr>
        <w:t>+</w:t>
      </w:r>
      <w:r>
        <w:rPr>
          <w:rFonts w:ascii="Cambria Math" w:eastAsia="Cambria Math" w:hAnsi="Cambria Math"/>
          <w:spacing w:val="-2"/>
          <w:sz w:val="21"/>
        </w:rPr>
        <w:t xml:space="preserve"> </w:t>
      </w:r>
      <w:r>
        <w:rPr>
          <w:rFonts w:ascii="Cambria Math" w:eastAsia="Cambria Math" w:hAnsi="Cambria Math"/>
          <w:sz w:val="21"/>
        </w:rPr>
        <w:t>𝑄</w:t>
      </w:r>
      <w:r>
        <w:rPr>
          <w:rFonts w:ascii="Cambria Math" w:eastAsia="Cambria Math" w:hAnsi="Cambria Math"/>
          <w:position w:val="-3"/>
          <w:sz w:val="15"/>
        </w:rPr>
        <w:t>3</w:t>
      </w:r>
      <w:r>
        <w:rPr>
          <w:rFonts w:ascii="Cambria Math" w:eastAsia="Cambria Math" w:hAnsi="Cambria Math"/>
          <w:sz w:val="21"/>
        </w:rPr>
        <w:t>)</w:t>
        <w:tab/>
      </w:r>
      <w:r>
        <w:rPr>
          <w:sz w:val="21"/>
        </w:rPr>
        <w:t xml:space="preserve">(2) </w:t>
      </w:r>
    </w:p>
    <w:p>
      <w:pPr>
        <w:pStyle w:val="BodyText"/>
        <w:spacing w:before="79"/>
        <w:ind w:left="553"/>
      </w:pPr>
      <w:r>
        <w:t>式中：</w:t>
      </w:r>
    </w:p>
    <w:p>
      <w:pPr>
        <w:pStyle w:val="BodyText"/>
        <w:spacing w:before="132" w:line="357" w:lineRule="auto"/>
        <w:ind w:left="553" w:right="4887"/>
      </w:pPr>
      <w:r>
        <w:t>W—</w:t>
      </w:r>
      <w:r>
        <w:rPr>
          <w:spacing w:val="-3"/>
        </w:rPr>
        <w:t xml:space="preserve">特种设备使用安全管理分种类评价综合分值； </w:t>
      </w:r>
      <w:r>
        <w:t>h—</w:t>
      </w:r>
      <w:r>
        <w:rPr>
          <w:spacing w:val="-3"/>
        </w:rPr>
        <w:t>高风险特种设备平均分值；</w:t>
      </w:r>
      <w:r>
        <w:t xml:space="preserve"> </w:t>
      </w:r>
    </w:p>
    <w:p>
      <w:pPr>
        <w:pStyle w:val="BodyText"/>
        <w:spacing w:before="0" w:line="357" w:lineRule="auto"/>
        <w:ind w:left="553" w:right="6543"/>
      </w:pPr>
      <w:r>
        <w:t>m—</w:t>
      </w:r>
      <w:r>
        <w:rPr>
          <w:spacing w:val="-3"/>
        </w:rPr>
        <w:t xml:space="preserve">中风险特种设备平均分值； </w:t>
      </w:r>
      <w:r>
        <w:t>l—</w:t>
      </w:r>
      <w:r>
        <w:rPr>
          <w:spacing w:val="-3"/>
        </w:rPr>
        <w:t>低风险特种设备平均分值；</w:t>
      </w:r>
      <w:r>
        <w:t xml:space="preserve"> </w:t>
      </w:r>
    </w:p>
    <w:p>
      <w:pPr>
        <w:pStyle w:val="BodyText"/>
        <w:spacing w:before="0" w:line="355" w:lineRule="auto"/>
        <w:ind w:left="553" w:right="5871"/>
      </w:pPr>
      <w:r>
        <w:rPr>
          <w:position w:val="1"/>
        </w:rPr>
        <w:t>Q</w:t>
      </w:r>
      <w:r>
        <w:rPr>
          <w:sz w:val="11"/>
        </w:rPr>
        <w:t>1</w:t>
      </w:r>
      <w:r>
        <w:rPr>
          <w:spacing w:val="-7"/>
          <w:position w:val="1"/>
        </w:rPr>
        <w:t xml:space="preserve">—高风险特种设备的权重，取 </w:t>
      </w:r>
      <w:r>
        <w:rPr>
          <w:position w:val="1"/>
        </w:rPr>
        <w:t>0.6； Q</w:t>
      </w:r>
      <w:r>
        <w:rPr>
          <w:sz w:val="11"/>
        </w:rPr>
        <w:t>2</w:t>
      </w:r>
      <w:r>
        <w:rPr>
          <w:spacing w:val="-6"/>
          <w:position w:val="1"/>
        </w:rPr>
        <w:t xml:space="preserve">—中风险特种设备的权重，取 </w:t>
      </w:r>
      <w:r>
        <w:rPr>
          <w:position w:val="1"/>
        </w:rPr>
        <w:t xml:space="preserve">0.3； </w:t>
      </w:r>
    </w:p>
    <w:p>
      <w:pPr>
        <w:pStyle w:val="BodyText"/>
        <w:spacing w:before="0"/>
        <w:ind w:left="553"/>
      </w:pPr>
      <w:r>
        <w:rPr>
          <w:position w:val="1"/>
        </w:rPr>
        <w:t>Q</w:t>
      </w:r>
      <w:r>
        <w:rPr>
          <w:sz w:val="11"/>
        </w:rPr>
        <w:t>3</w:t>
      </w:r>
      <w:r>
        <w:rPr>
          <w:spacing w:val="-6"/>
          <w:position w:val="1"/>
        </w:rPr>
        <w:t xml:space="preserve">—低风险特种设备的权重，取 </w:t>
      </w:r>
      <w:r>
        <w:rPr>
          <w:position w:val="1"/>
        </w:rPr>
        <w:t>0.1</w:t>
      </w:r>
      <w:r>
        <w:rPr>
          <w:spacing w:val="-3"/>
          <w:position w:val="1"/>
        </w:rPr>
        <w:t>。</w:t>
      </w:r>
      <w:r>
        <w:rPr>
          <w:position w:val="1"/>
        </w:rPr>
        <w:t xml:space="preserve"> </w:t>
      </w:r>
    </w:p>
    <w:p>
      <w:pPr>
        <w:spacing w:before="61"/>
        <w:ind w:left="495" w:right="0" w:firstLine="0"/>
        <w:jc w:val="left"/>
        <w:rPr>
          <w:sz w:val="18"/>
        </w:rPr>
      </w:pPr>
      <w:r>
        <w:rPr>
          <w:rFonts w:ascii="黑体" w:eastAsia="黑体" w:hint="eastAsia"/>
          <w:sz w:val="18"/>
        </w:rPr>
        <w:t xml:space="preserve">注： </w:t>
      </w:r>
      <w:r>
        <w:rPr>
          <w:sz w:val="18"/>
        </w:rPr>
        <w:t xml:space="preserve">若无该类设备，则权重为0。 </w:t>
      </w:r>
    </w:p>
    <w:p>
      <w:pPr>
        <w:pStyle w:val="BodyText"/>
        <w:spacing w:before="9"/>
        <w:rPr>
          <w:sz w:val="11"/>
        </w:rPr>
      </w:pPr>
    </w:p>
    <w:p>
      <w:pPr>
        <w:pStyle w:val="ListParagraph"/>
        <w:numPr>
          <w:ilvl w:val="1"/>
          <w:numId w:val="24"/>
        </w:numPr>
        <w:tabs>
          <w:tab w:val="left" w:pos="658"/>
          <w:tab w:val="left" w:pos="659"/>
        </w:tabs>
        <w:spacing w:before="72" w:after="0" w:line="240" w:lineRule="auto"/>
        <w:ind w:left="658" w:right="0" w:hanging="527"/>
        <w:jc w:val="left"/>
        <w:rPr>
          <w:rFonts w:ascii="黑体" w:eastAsia="黑体" w:hint="eastAsia"/>
          <w:sz w:val="21"/>
        </w:rPr>
      </w:pPr>
      <w:r>
        <w:rPr>
          <w:rFonts w:ascii="黑体" w:eastAsia="黑体" w:hint="eastAsia"/>
          <w:spacing w:val="-1"/>
          <w:sz w:val="21"/>
        </w:rPr>
        <w:t>评价结果</w:t>
      </w:r>
    </w:p>
    <w:p>
      <w:pPr>
        <w:pStyle w:val="BodyText"/>
        <w:spacing w:before="12"/>
        <w:rPr>
          <w:rFonts w:ascii="黑体"/>
          <w:sz w:val="9"/>
        </w:rPr>
      </w:pPr>
    </w:p>
    <w:p>
      <w:pPr>
        <w:pStyle w:val="ListParagraph"/>
        <w:numPr>
          <w:ilvl w:val="2"/>
          <w:numId w:val="24"/>
        </w:numPr>
        <w:tabs>
          <w:tab w:val="left" w:pos="867"/>
          <w:tab w:val="left" w:pos="868"/>
        </w:tabs>
        <w:spacing w:before="71" w:after="0" w:line="240" w:lineRule="auto"/>
        <w:ind w:left="867" w:right="0" w:hanging="736"/>
        <w:jc w:val="left"/>
        <w:rPr>
          <w:rFonts w:ascii="黑体" w:eastAsia="黑体" w:hint="eastAsia"/>
          <w:sz w:val="21"/>
        </w:rPr>
      </w:pPr>
      <w:r>
        <w:rPr>
          <w:rFonts w:ascii="黑体" w:eastAsia="黑体" w:hint="eastAsia"/>
          <w:sz w:val="21"/>
        </w:rPr>
        <w:t>分类</w:t>
      </w:r>
    </w:p>
    <w:p>
      <w:pPr>
        <w:pStyle w:val="BodyText"/>
        <w:spacing w:before="7"/>
        <w:rPr>
          <w:rFonts w:ascii="黑体"/>
          <w:sz w:val="15"/>
        </w:rPr>
      </w:pPr>
    </w:p>
    <w:p>
      <w:pPr>
        <w:pStyle w:val="BodyText"/>
        <w:spacing w:before="0"/>
        <w:ind w:left="553"/>
      </w:pPr>
      <w:r>
        <w:t xml:space="preserve">根据分数计算的结果，使用单位按下列规则分为： </w:t>
      </w:r>
    </w:p>
    <w:p>
      <w:pPr>
        <w:pStyle w:val="BodyText"/>
        <w:ind w:left="558"/>
      </w:pPr>
      <w:r>
        <w:t xml:space="preserve">—— A 类单位（低风险特种设备使用单位）：Y≥85 分； </w:t>
      </w:r>
    </w:p>
    <w:p>
      <w:pPr>
        <w:pStyle w:val="BodyText"/>
        <w:ind w:left="558"/>
      </w:pPr>
      <w:r>
        <w:rPr>
          <w:spacing w:val="-33"/>
        </w:rPr>
        <w:t xml:space="preserve">—— </w:t>
      </w:r>
      <w:r>
        <w:t>B</w:t>
      </w:r>
      <w:r>
        <w:rPr>
          <w:spacing w:val="-13"/>
        </w:rPr>
        <w:t xml:space="preserve"> 类单位</w:t>
      </w:r>
      <w:r>
        <w:rPr>
          <w:spacing w:val="-3"/>
        </w:rPr>
        <w:t>（一般风险特种设备使用单位</w:t>
      </w:r>
      <w:r>
        <w:t>）：75</w:t>
      </w:r>
      <w:r>
        <w:rPr>
          <w:spacing w:val="-17"/>
        </w:rPr>
        <w:t xml:space="preserve"> 分≤</w:t>
      </w:r>
      <w:r>
        <w:t>Y＜85</w:t>
      </w:r>
      <w:r>
        <w:rPr>
          <w:spacing w:val="-17"/>
        </w:rPr>
        <w:t xml:space="preserve"> 分；</w:t>
      </w:r>
      <w:r>
        <w:t xml:space="preserve"> </w:t>
      </w:r>
    </w:p>
    <w:p>
      <w:pPr>
        <w:pStyle w:val="BodyText"/>
        <w:ind w:left="558"/>
      </w:pPr>
      <w:r>
        <w:rPr>
          <w:spacing w:val="-33"/>
        </w:rPr>
        <w:t xml:space="preserve">—— </w:t>
      </w:r>
      <w:r>
        <w:t>C</w:t>
      </w:r>
      <w:r>
        <w:rPr>
          <w:spacing w:val="-13"/>
        </w:rPr>
        <w:t xml:space="preserve"> 类单位</w:t>
      </w:r>
      <w:r>
        <w:rPr>
          <w:spacing w:val="-3"/>
        </w:rPr>
        <w:t>（较大风险特种设备使用单位</w:t>
      </w:r>
      <w:r>
        <w:t>）：70</w:t>
      </w:r>
      <w:r>
        <w:rPr>
          <w:spacing w:val="-17"/>
        </w:rPr>
        <w:t xml:space="preserve"> 分≤</w:t>
      </w:r>
      <w:r>
        <w:t>Y＜75</w:t>
      </w:r>
      <w:r>
        <w:rPr>
          <w:spacing w:val="-17"/>
        </w:rPr>
        <w:t xml:space="preserve"> 分；</w:t>
      </w:r>
      <w:r>
        <w:t xml:space="preserve"> </w:t>
      </w:r>
    </w:p>
    <w:p>
      <w:pPr>
        <w:pStyle w:val="BodyText"/>
        <w:ind w:left="558"/>
      </w:pPr>
      <w:r>
        <w:t xml:space="preserve">—— D 类单位（重大风险特种设备使用单位）：存在否决项或 Y＜70 分。 </w:t>
      </w:r>
    </w:p>
    <w:p>
      <w:pPr>
        <w:pStyle w:val="BodyText"/>
        <w:spacing w:before="7"/>
        <w:rPr>
          <w:sz w:val="15"/>
        </w:rPr>
      </w:pPr>
    </w:p>
    <w:p>
      <w:pPr>
        <w:pStyle w:val="ListParagraph"/>
        <w:numPr>
          <w:ilvl w:val="2"/>
          <w:numId w:val="24"/>
        </w:numPr>
        <w:tabs>
          <w:tab w:val="left" w:pos="867"/>
          <w:tab w:val="left" w:pos="868"/>
        </w:tabs>
        <w:spacing w:before="0" w:after="0" w:line="240" w:lineRule="auto"/>
        <w:ind w:left="867" w:right="0" w:hanging="736"/>
        <w:jc w:val="left"/>
        <w:rPr>
          <w:rFonts w:ascii="黑体" w:eastAsia="黑体" w:hint="eastAsia"/>
          <w:sz w:val="21"/>
        </w:rPr>
      </w:pPr>
      <w:r>
        <w:rPr>
          <w:rFonts w:ascii="黑体" w:eastAsia="黑体" w:hint="eastAsia"/>
          <w:sz w:val="21"/>
        </w:rPr>
        <w:t>标识</w:t>
      </w:r>
    </w:p>
    <w:p>
      <w:pPr>
        <w:pStyle w:val="BodyText"/>
        <w:spacing w:before="6"/>
        <w:rPr>
          <w:rFonts w:ascii="黑体"/>
          <w:sz w:val="15"/>
        </w:rPr>
      </w:pPr>
    </w:p>
    <w:p>
      <w:pPr>
        <w:pStyle w:val="BodyText"/>
        <w:spacing w:before="0"/>
        <w:ind w:left="553"/>
      </w:pPr>
      <w:r>
        <w:t xml:space="preserve">评价结果按下列规则标识： </w:t>
      </w:r>
    </w:p>
    <w:p>
      <w:pPr>
        <w:pStyle w:val="BodyText"/>
        <w:ind w:left="558"/>
      </w:pPr>
      <w:r>
        <w:rPr>
          <w:spacing w:val="-33"/>
        </w:rPr>
        <w:t xml:space="preserve">—— </w:t>
      </w:r>
      <w:r>
        <w:t>A</w:t>
      </w:r>
      <w:r>
        <w:rPr>
          <w:spacing w:val="-8"/>
        </w:rPr>
        <w:t xml:space="preserve"> 类单位，标为蓝色；</w:t>
      </w:r>
      <w:r>
        <w:t xml:space="preserve"> </w:t>
      </w:r>
    </w:p>
    <w:p>
      <w:pPr>
        <w:pStyle w:val="BodyText"/>
        <w:spacing w:before="44"/>
        <w:ind w:left="558"/>
      </w:pPr>
      <w:r>
        <w:rPr>
          <w:spacing w:val="-33"/>
        </w:rPr>
        <w:t xml:space="preserve">—— </w:t>
      </w:r>
      <w:r>
        <w:t>B</w:t>
      </w:r>
      <w:r>
        <w:rPr>
          <w:spacing w:val="-8"/>
        </w:rPr>
        <w:t xml:space="preserve"> 类单位，标为黄色；</w:t>
      </w:r>
      <w:r>
        <w:t xml:space="preserve"> </w:t>
      </w:r>
    </w:p>
    <w:p>
      <w:pPr>
        <w:pStyle w:val="BodyText"/>
        <w:ind w:left="558"/>
      </w:pPr>
      <w:r>
        <w:rPr>
          <w:spacing w:val="-33"/>
        </w:rPr>
        <w:t xml:space="preserve">—— </w:t>
      </w:r>
      <w:r>
        <w:t>C</w:t>
      </w:r>
      <w:r>
        <w:rPr>
          <w:spacing w:val="-8"/>
        </w:rPr>
        <w:t xml:space="preserve"> 类单位，标为橙色；</w:t>
      </w:r>
      <w:r>
        <w:t xml:space="preserve"> </w:t>
      </w:r>
    </w:p>
    <w:p>
      <w:pPr>
        <w:pStyle w:val="BodyText"/>
        <w:ind w:left="558"/>
      </w:pPr>
      <w:r>
        <w:rPr>
          <w:spacing w:val="-33"/>
        </w:rPr>
        <w:t xml:space="preserve">—— </w:t>
      </w:r>
      <w:r>
        <w:t>D</w:t>
      </w:r>
      <w:r>
        <w:rPr>
          <w:spacing w:val="-8"/>
        </w:rPr>
        <w:t xml:space="preserve"> 类单位，标为红色。</w:t>
      </w:r>
      <w:r>
        <w:t xml:space="preserve"> </w:t>
      </w:r>
    </w:p>
    <w:p>
      <w:pPr>
        <w:pStyle w:val="BodyText"/>
        <w:ind w:left="985"/>
      </w:pPr>
      <w:r>
        <w:rPr>
          <w:w w:val="100"/>
        </w:rPr>
        <w:t xml:space="preserve"> </w:t>
      </w:r>
    </w:p>
    <w:p>
      <w:pPr>
        <w:spacing w:after="0"/>
        <w:sectPr>
          <w:headerReference w:type="even" r:id="rId25"/>
          <w:headerReference w:type="default" r:id="rId26"/>
          <w:footerReference w:type="even" r:id="rId27"/>
          <w:footerReference w:type="default" r:id="rId28"/>
          <w:pgSz w:w="11910" w:h="16840"/>
          <w:pgMar w:top="1640" w:right="720" w:bottom="1340" w:left="1000" w:header="1448" w:footer="1141"/>
          <w:pgNumType w:start="4"/>
          <w:cols w:space="708"/>
        </w:sectPr>
      </w:pPr>
    </w:p>
    <w:p>
      <w:pPr>
        <w:pStyle w:val="BodyText"/>
        <w:spacing w:before="7"/>
        <w:rPr>
          <w:sz w:val="12"/>
        </w:rPr>
      </w:pPr>
    </w:p>
    <w:p>
      <w:pPr>
        <w:pStyle w:val="BodyText"/>
        <w:spacing w:before="0"/>
        <w:rPr>
          <w:sz w:val="2"/>
        </w:rPr>
      </w:pPr>
    </w:p>
    <w:p>
      <w:pPr>
        <w:pStyle w:val="BodyText"/>
        <w:spacing w:before="0"/>
        <w:rPr>
          <w:sz w:val="2"/>
        </w:rPr>
      </w:pPr>
    </w:p>
    <w:p>
      <w:pPr>
        <w:pStyle w:val="BodyText"/>
        <w:spacing w:before="0"/>
        <w:rPr>
          <w:sz w:val="2"/>
        </w:rPr>
      </w:pPr>
    </w:p>
    <w:p>
      <w:pPr>
        <w:pStyle w:val="BodyText"/>
        <w:spacing w:before="0"/>
        <w:rPr>
          <w:sz w:val="2"/>
        </w:rPr>
      </w:pPr>
    </w:p>
    <w:p>
      <w:pPr>
        <w:spacing w:before="0" w:line="20" w:lineRule="exact"/>
        <w:ind w:left="12" w:right="0" w:firstLine="0"/>
        <w:jc w:val="center"/>
        <w:rPr>
          <w:rFonts w:ascii="黑体"/>
          <w:sz w:val="2"/>
        </w:rPr>
      </w:pPr>
      <w:r>
        <w:rPr>
          <w:rFonts w:ascii="黑体"/>
          <w:w w:val="96"/>
          <w:sz w:val="2"/>
        </w:rPr>
        <w:t>A</w:t>
      </w:r>
    </w:p>
    <w:p>
      <w:pPr>
        <w:spacing w:before="0" w:line="20" w:lineRule="exact"/>
        <w:ind w:left="437" w:right="0" w:firstLine="0"/>
        <w:jc w:val="center"/>
        <w:rPr>
          <w:sz w:val="2"/>
        </w:rPr>
      </w:pPr>
      <w:r>
        <w:rPr>
          <w:sz w:val="2"/>
        </w:rPr>
        <w:t xml:space="preserve">A </w:t>
      </w:r>
      <w:r>
        <w:rPr>
          <w:w w:val="96"/>
          <w:sz w:val="2"/>
        </w:rPr>
        <w:t xml:space="preserve"> </w:t>
      </w:r>
    </w:p>
    <w:p>
      <w:pPr>
        <w:pStyle w:val="BodyText"/>
        <w:spacing w:before="0"/>
        <w:rPr>
          <w:sz w:val="20"/>
        </w:rPr>
      </w:pPr>
    </w:p>
    <w:p>
      <w:pPr>
        <w:pStyle w:val="BodyText"/>
        <w:spacing w:before="7"/>
        <w:rPr>
          <w:sz w:val="19"/>
        </w:rPr>
      </w:pPr>
    </w:p>
    <w:p>
      <w:pPr>
        <w:pStyle w:val="BodyText"/>
        <w:spacing w:before="71"/>
        <w:ind w:left="51" w:right="141"/>
        <w:jc w:val="center"/>
        <w:rPr>
          <w:rFonts w:ascii="黑体" w:eastAsia="黑体" w:hint="eastAsia"/>
        </w:rPr>
      </w:pPr>
      <w:r>
        <w:rPr>
          <w:rFonts w:ascii="黑体" w:eastAsia="黑体" w:hint="eastAsia"/>
        </w:rPr>
        <w:t>附  录 A</w:t>
      </w:r>
    </w:p>
    <w:p>
      <w:pPr>
        <w:pStyle w:val="BodyText"/>
        <w:spacing w:before="41"/>
        <w:ind w:left="5"/>
        <w:jc w:val="center"/>
        <w:rPr>
          <w:rFonts w:ascii="黑体" w:eastAsia="黑体" w:hint="eastAsia"/>
        </w:rPr>
      </w:pPr>
      <w:bookmarkStart w:id="6" w:name="_bookmark6"/>
      <w:bookmarkEnd w:id="6"/>
      <w:r>
        <w:rPr>
          <w:rFonts w:ascii="黑体" w:eastAsia="黑体" w:hint="eastAsia"/>
        </w:rPr>
        <w:t>（规范性）</w:t>
      </w:r>
    </w:p>
    <w:p>
      <w:pPr>
        <w:pStyle w:val="BodyText"/>
        <w:ind w:left="8"/>
        <w:jc w:val="center"/>
        <w:rPr>
          <w:rFonts w:ascii="黑体" w:eastAsia="黑体" w:hint="eastAsia"/>
        </w:rPr>
      </w:pPr>
      <w:r>
        <w:rPr>
          <w:rFonts w:ascii="黑体" w:eastAsia="黑体" w:hint="eastAsia"/>
        </w:rPr>
        <w:t>特种设备使用单位安全管理评价表</w:t>
      </w:r>
    </w:p>
    <w:p>
      <w:pPr>
        <w:pStyle w:val="BodyText"/>
        <w:spacing w:before="5"/>
        <w:rPr>
          <w:rFonts w:ascii="黑体"/>
          <w:sz w:val="17"/>
        </w:rPr>
      </w:pPr>
    </w:p>
    <w:p>
      <w:pPr>
        <w:pStyle w:val="BodyText"/>
        <w:spacing w:before="0"/>
        <w:ind w:left="418"/>
      </w:pPr>
      <w:r>
        <w:t xml:space="preserve">按表 A.1 对特种设备使用单位进行安全管理评价。 </w:t>
      </w:r>
    </w:p>
    <w:p>
      <w:pPr>
        <w:pStyle w:val="BodyText"/>
        <w:spacing w:before="9"/>
        <w:rPr>
          <w:sz w:val="15"/>
        </w:rPr>
      </w:pPr>
    </w:p>
    <w:p>
      <w:pPr>
        <w:pStyle w:val="BodyText"/>
        <w:spacing w:before="0"/>
        <w:ind w:left="3047"/>
        <w:rPr>
          <w:rFonts w:ascii="黑体" w:eastAsia="黑体" w:hint="eastAsia"/>
        </w:rPr>
      </w:pPr>
      <w:r>
        <w:rPr>
          <w:rFonts w:ascii="黑体" w:eastAsia="黑体" w:hint="eastAsia"/>
        </w:rPr>
        <w:t>表A.1 特种设备使用单位安全管理评价表</w:t>
      </w:r>
    </w:p>
    <w:p>
      <w:pPr>
        <w:pStyle w:val="BodyText"/>
        <w:spacing w:before="0"/>
        <w:rPr>
          <w:rFonts w:ascii="黑体"/>
          <w:sz w:val="14"/>
        </w:rPr>
      </w:pPr>
    </w:p>
    <w:p>
      <w:pPr>
        <w:pStyle w:val="BodyText"/>
        <w:spacing w:before="0" w:line="278" w:lineRule="auto"/>
        <w:ind w:left="838" w:right="3150"/>
      </w:pPr>
      <w:r>
        <w:rPr>
          <w:spacing w:val="-3"/>
        </w:rPr>
        <w:t xml:space="preserve">使 用 单 位 名 称 ：           统 一 社 会 信 用 代 码 ： </w:t>
      </w:r>
      <w:r>
        <w:rPr>
          <w:spacing w:val="-1"/>
        </w:rPr>
        <w:t>地址：</w:t>
      </w:r>
      <w:r>
        <w:t xml:space="preserve"> </w:t>
      </w:r>
    </w:p>
    <w:tbl>
      <w:tblPr>
        <w:tblStyle w:val="TableNormal0"/>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57"/>
        <w:gridCol w:w="1135"/>
        <w:gridCol w:w="4112"/>
        <w:gridCol w:w="708"/>
        <w:gridCol w:w="1277"/>
        <w:gridCol w:w="566"/>
        <w:gridCol w:w="979"/>
      </w:tblGrid>
      <w:tr>
        <w:tblPrEx>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4"/>
          <w:jc w:val="left"/>
        </w:trPr>
        <w:tc>
          <w:tcPr>
            <w:tcW w:w="557" w:type="dxa"/>
            <w:tcBorders>
              <w:right w:val="single" w:sz="4" w:space="0" w:color="000000"/>
            </w:tcBorders>
          </w:tcPr>
          <w:p>
            <w:pPr>
              <w:pStyle w:val="TableParagraph"/>
              <w:spacing w:before="18"/>
              <w:ind w:left="127" w:right="12"/>
              <w:jc w:val="center"/>
              <w:rPr>
                <w:sz w:val="18"/>
              </w:rPr>
            </w:pPr>
            <w:r>
              <w:rPr>
                <w:sz w:val="18"/>
              </w:rPr>
              <w:t xml:space="preserve">序号 </w:t>
            </w:r>
          </w:p>
        </w:tc>
        <w:tc>
          <w:tcPr>
            <w:tcW w:w="1135" w:type="dxa"/>
            <w:tcBorders>
              <w:left w:val="single" w:sz="4" w:space="0" w:color="000000"/>
              <w:right w:val="single" w:sz="4" w:space="0" w:color="000000"/>
            </w:tcBorders>
          </w:tcPr>
          <w:p>
            <w:pPr>
              <w:pStyle w:val="TableParagraph"/>
              <w:spacing w:before="18"/>
              <w:ind w:left="232" w:right="126"/>
              <w:jc w:val="center"/>
              <w:rPr>
                <w:sz w:val="18"/>
              </w:rPr>
            </w:pPr>
            <w:r>
              <w:rPr>
                <w:sz w:val="18"/>
              </w:rPr>
              <w:t xml:space="preserve">项目 </w:t>
            </w:r>
          </w:p>
        </w:tc>
        <w:tc>
          <w:tcPr>
            <w:tcW w:w="4112" w:type="dxa"/>
            <w:tcBorders>
              <w:left w:val="single" w:sz="4" w:space="0" w:color="000000"/>
              <w:right w:val="single" w:sz="4" w:space="0" w:color="000000"/>
            </w:tcBorders>
          </w:tcPr>
          <w:p>
            <w:pPr>
              <w:pStyle w:val="TableParagraph"/>
              <w:spacing w:before="18"/>
              <w:ind w:left="1259" w:right="1152"/>
              <w:jc w:val="center"/>
              <w:rPr>
                <w:sz w:val="18"/>
              </w:rPr>
            </w:pPr>
            <w:r>
              <w:rPr>
                <w:sz w:val="18"/>
              </w:rPr>
              <w:t xml:space="preserve">评价内容 </w:t>
            </w:r>
          </w:p>
        </w:tc>
        <w:tc>
          <w:tcPr>
            <w:tcW w:w="708" w:type="dxa"/>
            <w:tcBorders>
              <w:left w:val="single" w:sz="4" w:space="0" w:color="000000"/>
              <w:right w:val="single" w:sz="4" w:space="0" w:color="000000"/>
            </w:tcBorders>
          </w:tcPr>
          <w:p>
            <w:pPr>
              <w:pStyle w:val="TableParagraph"/>
              <w:spacing w:before="18"/>
              <w:ind w:left="201" w:right="94"/>
              <w:jc w:val="center"/>
              <w:rPr>
                <w:sz w:val="18"/>
              </w:rPr>
            </w:pPr>
            <w:r>
              <w:rPr>
                <w:sz w:val="18"/>
              </w:rPr>
              <w:t xml:space="preserve">分值 </w:t>
            </w:r>
          </w:p>
        </w:tc>
        <w:tc>
          <w:tcPr>
            <w:tcW w:w="1277" w:type="dxa"/>
            <w:tcBorders>
              <w:left w:val="single" w:sz="4" w:space="0" w:color="000000"/>
              <w:right w:val="single" w:sz="4" w:space="0" w:color="000000"/>
            </w:tcBorders>
          </w:tcPr>
          <w:p>
            <w:pPr>
              <w:pStyle w:val="TableParagraph"/>
              <w:spacing w:before="18"/>
              <w:ind w:left="283"/>
              <w:rPr>
                <w:sz w:val="18"/>
              </w:rPr>
            </w:pPr>
            <w:r>
              <w:rPr>
                <w:sz w:val="18"/>
              </w:rPr>
              <w:t xml:space="preserve">评分细则 </w:t>
            </w:r>
          </w:p>
        </w:tc>
        <w:tc>
          <w:tcPr>
            <w:tcW w:w="566" w:type="dxa"/>
            <w:tcBorders>
              <w:left w:val="single" w:sz="4" w:space="0" w:color="000000"/>
              <w:right w:val="single" w:sz="4" w:space="0" w:color="000000"/>
            </w:tcBorders>
          </w:tcPr>
          <w:p>
            <w:pPr>
              <w:pStyle w:val="TableParagraph"/>
              <w:spacing w:before="18"/>
              <w:ind w:left="138" w:right="15"/>
              <w:jc w:val="center"/>
              <w:rPr>
                <w:sz w:val="18"/>
              </w:rPr>
            </w:pPr>
            <w:r>
              <w:rPr>
                <w:sz w:val="18"/>
              </w:rPr>
              <w:t xml:space="preserve">扣分 </w:t>
            </w:r>
          </w:p>
        </w:tc>
        <w:tc>
          <w:tcPr>
            <w:tcW w:w="979" w:type="dxa"/>
            <w:tcBorders>
              <w:left w:val="single" w:sz="4" w:space="0" w:color="000000"/>
            </w:tcBorders>
          </w:tcPr>
          <w:p>
            <w:pPr>
              <w:pStyle w:val="TableParagraph"/>
              <w:spacing w:before="18"/>
              <w:ind w:left="154" w:right="43"/>
              <w:jc w:val="center"/>
              <w:rPr>
                <w:sz w:val="18"/>
              </w:rPr>
            </w:pPr>
            <w:r>
              <w:rPr>
                <w:sz w:val="18"/>
              </w:rPr>
              <w:t xml:space="preserve">存在问题 </w:t>
            </w:r>
          </w:p>
        </w:tc>
      </w:tr>
      <w:tr>
        <w:tblPrEx>
          <w:tblW w:w="0" w:type="auto"/>
          <w:jc w:val="left"/>
          <w:tblInd w:w="438" w:type="dxa"/>
          <w:tblLayout w:type="fixed"/>
          <w:tblCellMar>
            <w:top w:w="0" w:type="dxa"/>
            <w:left w:w="0" w:type="dxa"/>
            <w:bottom w:w="0" w:type="dxa"/>
            <w:right w:w="0" w:type="dxa"/>
          </w:tblCellMar>
          <w:tblLook w:val="01E0"/>
        </w:tblPrEx>
        <w:trPr>
          <w:trHeight w:val="3743"/>
          <w:jc w:val="left"/>
        </w:trPr>
        <w:tc>
          <w:tcPr>
            <w:tcW w:w="557" w:type="dxa"/>
            <w:tcBorders>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7"/>
              <w:ind w:left="120" w:right="12"/>
              <w:jc w:val="center"/>
              <w:rPr>
                <w:sz w:val="18"/>
              </w:rPr>
            </w:pPr>
            <w:r>
              <w:rPr>
                <w:sz w:val="18"/>
              </w:rPr>
              <w:t xml:space="preserve">1 </w:t>
            </w:r>
          </w:p>
        </w:tc>
        <w:tc>
          <w:tcPr>
            <w:tcW w:w="1135" w:type="dxa"/>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7"/>
              <w:ind w:left="232" w:right="126"/>
              <w:jc w:val="center"/>
              <w:rPr>
                <w:sz w:val="18"/>
              </w:rPr>
            </w:pPr>
            <w:r>
              <w:rPr>
                <w:sz w:val="18"/>
              </w:rPr>
              <w:t xml:space="preserve">管理机构 </w:t>
            </w:r>
          </w:p>
        </w:tc>
        <w:tc>
          <w:tcPr>
            <w:tcW w:w="4112" w:type="dxa"/>
            <w:tcBorders>
              <w:left w:val="single" w:sz="4" w:space="0" w:color="000000"/>
              <w:bottom w:val="single" w:sz="4" w:space="0" w:color="000000"/>
              <w:right w:val="single" w:sz="4" w:space="0" w:color="000000"/>
            </w:tcBorders>
          </w:tcPr>
          <w:p>
            <w:pPr>
              <w:pStyle w:val="TableParagraph"/>
              <w:spacing w:before="7"/>
              <w:rPr>
                <w:sz w:val="25"/>
              </w:rPr>
            </w:pPr>
          </w:p>
          <w:p>
            <w:pPr>
              <w:pStyle w:val="TableParagraph"/>
              <w:spacing w:line="324" w:lineRule="auto"/>
              <w:ind w:left="9" w:right="-15" w:firstLine="180"/>
              <w:rPr>
                <w:sz w:val="18"/>
              </w:rPr>
            </w:pPr>
            <w:r>
              <w:rPr>
                <w:spacing w:val="-4"/>
                <w:sz w:val="18"/>
              </w:rPr>
              <w:t>符合下列条件之一的使用单位，应设置特种设备安</w:t>
            </w:r>
            <w:r>
              <w:rPr>
                <w:sz w:val="18"/>
              </w:rPr>
              <w:t xml:space="preserve">全管理机构： </w:t>
            </w:r>
          </w:p>
          <w:p>
            <w:pPr>
              <w:pStyle w:val="TableParagraph"/>
              <w:numPr>
                <w:ilvl w:val="0"/>
                <w:numId w:val="22"/>
              </w:numPr>
              <w:tabs>
                <w:tab w:val="left" w:pos="462"/>
              </w:tabs>
              <w:spacing w:before="1" w:after="0" w:line="240" w:lineRule="auto"/>
              <w:ind w:left="461" w:right="0" w:hanging="453"/>
              <w:jc w:val="left"/>
              <w:rPr>
                <w:sz w:val="18"/>
              </w:rPr>
            </w:pPr>
            <w:r>
              <w:rPr>
                <w:sz w:val="18"/>
              </w:rPr>
              <w:t xml:space="preserve">使用电站锅炉或者石化与化工成套装置的； </w:t>
            </w:r>
          </w:p>
          <w:p>
            <w:pPr>
              <w:pStyle w:val="TableParagraph"/>
              <w:numPr>
                <w:ilvl w:val="0"/>
                <w:numId w:val="22"/>
              </w:numPr>
              <w:tabs>
                <w:tab w:val="left" w:pos="468"/>
              </w:tabs>
              <w:spacing w:before="82" w:after="0" w:line="324" w:lineRule="auto"/>
              <w:ind w:left="9" w:right="-15" w:firstLine="0"/>
              <w:jc w:val="left"/>
              <w:rPr>
                <w:sz w:val="18"/>
              </w:rPr>
            </w:pPr>
            <w:r>
              <w:rPr>
                <w:sz w:val="18"/>
              </w:rPr>
              <w:t>使用为公众提供运营服务电梯的，或者在公共聚集场所使用≥30</w:t>
            </w:r>
            <w:r>
              <w:rPr>
                <w:spacing w:val="-1"/>
                <w:sz w:val="18"/>
              </w:rPr>
              <w:t>台电梯的；</w:t>
            </w:r>
            <w:r>
              <w:rPr>
                <w:sz w:val="18"/>
              </w:rPr>
              <w:t xml:space="preserve"> </w:t>
            </w:r>
          </w:p>
          <w:p>
            <w:pPr>
              <w:pStyle w:val="TableParagraph"/>
              <w:numPr>
                <w:ilvl w:val="0"/>
                <w:numId w:val="22"/>
              </w:numPr>
              <w:tabs>
                <w:tab w:val="left" w:pos="462"/>
              </w:tabs>
              <w:spacing w:before="1" w:after="0" w:line="240" w:lineRule="auto"/>
              <w:ind w:left="461" w:right="0" w:hanging="453"/>
              <w:jc w:val="left"/>
              <w:rPr>
                <w:sz w:val="18"/>
              </w:rPr>
            </w:pPr>
            <w:r>
              <w:rPr>
                <w:sz w:val="18"/>
              </w:rPr>
              <w:t>使用≥10</w:t>
            </w:r>
            <w:r>
              <w:rPr>
                <w:spacing w:val="-1"/>
                <w:sz w:val="18"/>
              </w:rPr>
              <w:t xml:space="preserve">台大型游乐设施的； </w:t>
            </w:r>
          </w:p>
          <w:p>
            <w:pPr>
              <w:pStyle w:val="TableParagraph"/>
              <w:numPr>
                <w:ilvl w:val="0"/>
                <w:numId w:val="22"/>
              </w:numPr>
              <w:tabs>
                <w:tab w:val="left" w:pos="468"/>
              </w:tabs>
              <w:spacing w:before="81" w:after="0" w:line="324" w:lineRule="auto"/>
              <w:ind w:left="9" w:right="-15" w:firstLine="0"/>
              <w:jc w:val="left"/>
              <w:rPr>
                <w:sz w:val="18"/>
              </w:rPr>
            </w:pPr>
            <w:r>
              <w:rPr>
                <w:sz w:val="18"/>
              </w:rPr>
              <w:t xml:space="preserve">使用≥10台为公众提供运营服务的非公路用旅游观光车辆的； </w:t>
            </w:r>
          </w:p>
          <w:p>
            <w:pPr>
              <w:pStyle w:val="TableParagraph"/>
              <w:numPr>
                <w:ilvl w:val="0"/>
                <w:numId w:val="22"/>
              </w:numPr>
              <w:tabs>
                <w:tab w:val="left" w:pos="462"/>
              </w:tabs>
              <w:spacing w:before="2" w:after="0" w:line="240" w:lineRule="auto"/>
              <w:ind w:left="461" w:right="0" w:hanging="453"/>
              <w:jc w:val="left"/>
              <w:rPr>
                <w:sz w:val="18"/>
              </w:rPr>
            </w:pPr>
            <w:r>
              <w:rPr>
                <w:sz w:val="18"/>
              </w:rPr>
              <w:t xml:space="preserve">使用客运架空索道、客运缆车的； </w:t>
            </w:r>
          </w:p>
          <w:p>
            <w:pPr>
              <w:pStyle w:val="TableParagraph"/>
              <w:numPr>
                <w:ilvl w:val="0"/>
                <w:numId w:val="22"/>
              </w:numPr>
              <w:tabs>
                <w:tab w:val="left" w:pos="462"/>
              </w:tabs>
              <w:spacing w:before="81" w:after="0" w:line="240" w:lineRule="auto"/>
              <w:ind w:left="461" w:right="0" w:hanging="453"/>
              <w:jc w:val="left"/>
              <w:rPr>
                <w:sz w:val="18"/>
              </w:rPr>
            </w:pPr>
            <w:r>
              <w:rPr>
                <w:sz w:val="18"/>
              </w:rPr>
              <w:t>使用特种设备（不含气瓶）总量≥50</w:t>
            </w:r>
            <w:r>
              <w:rPr>
                <w:spacing w:val="-1"/>
                <w:sz w:val="18"/>
              </w:rPr>
              <w:t>台的。</w:t>
            </w:r>
            <w:r>
              <w:rPr>
                <w:sz w:val="18"/>
              </w:rPr>
              <w:t xml:space="preserve"> </w:t>
            </w:r>
          </w:p>
        </w:tc>
        <w:tc>
          <w:tcPr>
            <w:tcW w:w="708" w:type="dxa"/>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7"/>
              <w:ind w:left="201" w:right="92"/>
              <w:jc w:val="center"/>
              <w:rPr>
                <w:sz w:val="18"/>
              </w:rPr>
            </w:pPr>
            <w:r>
              <w:rPr>
                <w:sz w:val="18"/>
              </w:rPr>
              <w:t xml:space="preserve">15 </w:t>
            </w:r>
          </w:p>
        </w:tc>
        <w:tc>
          <w:tcPr>
            <w:tcW w:w="1277" w:type="dxa"/>
            <w:tcBorders>
              <w:left w:val="single" w:sz="4" w:space="0" w:color="000000"/>
              <w:bottom w:val="single" w:sz="4" w:space="0" w:color="000000"/>
              <w:right w:val="single" w:sz="4" w:space="0" w:color="000000"/>
            </w:tcBorders>
          </w:tcPr>
          <w:p>
            <w:pPr>
              <w:pStyle w:val="TableParagraph"/>
              <w:spacing w:before="15" w:line="324" w:lineRule="auto"/>
              <w:ind w:left="9" w:right="-15" w:firstLine="180"/>
              <w:jc w:val="both"/>
              <w:rPr>
                <w:sz w:val="18"/>
              </w:rPr>
            </w:pPr>
            <w:r>
              <w:rPr>
                <w:sz w:val="18"/>
              </w:rPr>
              <w:t>特种设备安全管理机构应在单位管理组织架构文件中有体现； 当由设备部、安全部等兼任特种设备安全管理部门工作职能时， 在公司管理文件中应有书面证明。未设置扣15</w:t>
            </w:r>
          </w:p>
          <w:p>
            <w:pPr>
              <w:pStyle w:val="TableParagraph"/>
              <w:spacing w:before="8"/>
              <w:ind w:left="9"/>
              <w:rPr>
                <w:sz w:val="18"/>
              </w:rPr>
            </w:pPr>
            <w:r>
              <w:rPr>
                <w:sz w:val="18"/>
              </w:rPr>
              <w:t xml:space="preserve">分 </w:t>
            </w:r>
          </w:p>
        </w:tc>
        <w:tc>
          <w:tcPr>
            <w:tcW w:w="566" w:type="dxa"/>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7"/>
              <w:ind w:left="110"/>
              <w:jc w:val="center"/>
              <w:rPr>
                <w:sz w:val="18"/>
              </w:rPr>
            </w:pPr>
            <w:r>
              <w:rPr>
                <w:sz w:val="18"/>
              </w:rPr>
              <w:t xml:space="preserve"> </w:t>
            </w:r>
          </w:p>
        </w:tc>
        <w:tc>
          <w:tcPr>
            <w:tcW w:w="979" w:type="dxa"/>
            <w:tcBorders>
              <w:left w:val="single" w:sz="4" w:space="0" w:color="000000"/>
              <w:bottom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7"/>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5299"/>
          <w:jc w:val="left"/>
        </w:trPr>
        <w:tc>
          <w:tcPr>
            <w:tcW w:w="557" w:type="dxa"/>
            <w:tcBorders>
              <w:top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6"/>
              </w:rPr>
            </w:pPr>
          </w:p>
          <w:p>
            <w:pPr>
              <w:pStyle w:val="TableParagraph"/>
              <w:ind w:left="120" w:right="12"/>
              <w:jc w:val="center"/>
              <w:rPr>
                <w:sz w:val="18"/>
              </w:rPr>
            </w:pPr>
            <w:r>
              <w:rPr>
                <w:sz w:val="18"/>
              </w:rPr>
              <w:t xml:space="preserve">2 </w:t>
            </w:r>
          </w:p>
        </w:tc>
        <w:tc>
          <w:tcPr>
            <w:tcW w:w="1135" w:type="dxa"/>
            <w:vMerge w:val="restart"/>
            <w:tcBorders>
              <w:top w:val="single" w:sz="4" w:space="0" w:color="000000"/>
              <w:left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35"/>
              <w:ind w:left="210"/>
              <w:rPr>
                <w:sz w:val="18"/>
              </w:rPr>
            </w:pPr>
            <w:r>
              <w:rPr>
                <w:sz w:val="18"/>
              </w:rPr>
              <w:t xml:space="preserve">管理制度 </w:t>
            </w: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16"/>
              <w:ind w:left="189"/>
              <w:rPr>
                <w:sz w:val="18"/>
              </w:rPr>
            </w:pPr>
            <w:r>
              <w:rPr>
                <w:sz w:val="18"/>
              </w:rPr>
              <w:t xml:space="preserve">应按照规范要求建立以下管理制度： </w:t>
            </w:r>
          </w:p>
          <w:p>
            <w:pPr>
              <w:pStyle w:val="TableParagraph"/>
              <w:numPr>
                <w:ilvl w:val="0"/>
                <w:numId w:val="21"/>
              </w:numPr>
              <w:tabs>
                <w:tab w:val="left" w:pos="468"/>
              </w:tabs>
              <w:spacing w:before="81" w:after="0" w:line="324" w:lineRule="auto"/>
              <w:ind w:left="9" w:right="-29" w:firstLine="0"/>
              <w:jc w:val="left"/>
              <w:rPr>
                <w:sz w:val="18"/>
              </w:rPr>
            </w:pPr>
            <w:r>
              <w:rPr>
                <w:sz w:val="18"/>
              </w:rPr>
              <w:t xml:space="preserve">特种设备安全管理机构(需要设置时)和相关人员岗位职责； </w:t>
            </w:r>
          </w:p>
          <w:p>
            <w:pPr>
              <w:pStyle w:val="TableParagraph"/>
              <w:numPr>
                <w:ilvl w:val="0"/>
                <w:numId w:val="21"/>
              </w:numPr>
              <w:tabs>
                <w:tab w:val="left" w:pos="468"/>
              </w:tabs>
              <w:spacing w:before="1" w:after="0" w:line="324" w:lineRule="auto"/>
              <w:ind w:left="9" w:right="-15" w:firstLine="0"/>
              <w:jc w:val="left"/>
              <w:rPr>
                <w:sz w:val="18"/>
              </w:rPr>
            </w:pPr>
            <w:r>
              <w:rPr>
                <w:sz w:val="18"/>
              </w:rPr>
              <w:t xml:space="preserve">特种设备经常性维护保养、定期自行检查和有关记录制度； </w:t>
            </w:r>
          </w:p>
          <w:p>
            <w:pPr>
              <w:pStyle w:val="TableParagraph"/>
              <w:numPr>
                <w:ilvl w:val="0"/>
                <w:numId w:val="21"/>
              </w:numPr>
              <w:tabs>
                <w:tab w:val="left" w:pos="468"/>
              </w:tabs>
              <w:spacing w:before="2" w:after="0" w:line="324" w:lineRule="auto"/>
              <w:ind w:left="9" w:right="-15" w:firstLine="0"/>
              <w:jc w:val="left"/>
              <w:rPr>
                <w:sz w:val="18"/>
              </w:rPr>
            </w:pPr>
            <w:r>
              <w:rPr>
                <w:sz w:val="18"/>
              </w:rPr>
              <w:t xml:space="preserve">特种设备使用登记、定期检验、锅炉能效测试申请实施管理制度； </w:t>
            </w:r>
          </w:p>
          <w:p>
            <w:pPr>
              <w:pStyle w:val="TableParagraph"/>
              <w:numPr>
                <w:ilvl w:val="0"/>
                <w:numId w:val="21"/>
              </w:numPr>
              <w:tabs>
                <w:tab w:val="left" w:pos="462"/>
              </w:tabs>
              <w:spacing w:before="1" w:after="0" w:line="240" w:lineRule="auto"/>
              <w:ind w:left="461" w:right="0" w:hanging="453"/>
              <w:jc w:val="left"/>
              <w:rPr>
                <w:sz w:val="18"/>
              </w:rPr>
            </w:pPr>
            <w:r>
              <w:rPr>
                <w:sz w:val="18"/>
              </w:rPr>
              <w:t xml:space="preserve">特种设备隐患排查治理制度； </w:t>
            </w:r>
          </w:p>
          <w:p>
            <w:pPr>
              <w:pStyle w:val="TableParagraph"/>
              <w:numPr>
                <w:ilvl w:val="0"/>
                <w:numId w:val="21"/>
              </w:numPr>
              <w:tabs>
                <w:tab w:val="left" w:pos="468"/>
              </w:tabs>
              <w:spacing w:before="81" w:after="0" w:line="324" w:lineRule="auto"/>
              <w:ind w:left="9" w:right="-15" w:firstLine="0"/>
              <w:jc w:val="left"/>
              <w:rPr>
                <w:sz w:val="18"/>
              </w:rPr>
            </w:pPr>
            <w:r>
              <w:rPr>
                <w:sz w:val="18"/>
              </w:rPr>
              <w:t xml:space="preserve">特种设备安全管理人员与作业人员管理和培训制度； </w:t>
            </w:r>
          </w:p>
          <w:p>
            <w:pPr>
              <w:pStyle w:val="TableParagraph"/>
              <w:numPr>
                <w:ilvl w:val="0"/>
                <w:numId w:val="21"/>
              </w:numPr>
              <w:tabs>
                <w:tab w:val="left" w:pos="468"/>
              </w:tabs>
              <w:spacing w:before="2" w:after="0" w:line="324" w:lineRule="auto"/>
              <w:ind w:left="9" w:right="-15" w:firstLine="0"/>
              <w:jc w:val="left"/>
              <w:rPr>
                <w:sz w:val="18"/>
              </w:rPr>
            </w:pPr>
            <w:r>
              <w:rPr>
                <w:sz w:val="18"/>
              </w:rPr>
              <w:t xml:space="preserve">特种设备采购、安装、改造、修理、报废等管理制度； </w:t>
            </w:r>
          </w:p>
          <w:p>
            <w:pPr>
              <w:pStyle w:val="TableParagraph"/>
              <w:numPr>
                <w:ilvl w:val="0"/>
                <w:numId w:val="21"/>
              </w:numPr>
              <w:tabs>
                <w:tab w:val="left" w:pos="462"/>
              </w:tabs>
              <w:spacing w:before="1" w:after="0" w:line="240" w:lineRule="auto"/>
              <w:ind w:left="461" w:right="0" w:hanging="453"/>
              <w:jc w:val="left"/>
              <w:rPr>
                <w:sz w:val="18"/>
              </w:rPr>
            </w:pPr>
            <w:r>
              <w:rPr>
                <w:sz w:val="18"/>
              </w:rPr>
              <w:t xml:space="preserve">特种设备应急预案管理制度； </w:t>
            </w:r>
          </w:p>
          <w:p>
            <w:pPr>
              <w:pStyle w:val="TableParagraph"/>
              <w:numPr>
                <w:ilvl w:val="0"/>
                <w:numId w:val="21"/>
              </w:numPr>
              <w:tabs>
                <w:tab w:val="left" w:pos="462"/>
              </w:tabs>
              <w:spacing w:before="82" w:after="0" w:line="240" w:lineRule="auto"/>
              <w:ind w:left="461" w:right="0" w:hanging="453"/>
              <w:jc w:val="left"/>
              <w:rPr>
                <w:sz w:val="18"/>
              </w:rPr>
            </w:pPr>
            <w:r>
              <w:rPr>
                <w:sz w:val="18"/>
              </w:rPr>
              <w:t xml:space="preserve">特种设备事故报告和处理制度； </w:t>
            </w:r>
          </w:p>
          <w:p>
            <w:pPr>
              <w:pStyle w:val="TableParagraph"/>
              <w:numPr>
                <w:ilvl w:val="0"/>
                <w:numId w:val="21"/>
              </w:numPr>
              <w:tabs>
                <w:tab w:val="left" w:pos="462"/>
              </w:tabs>
              <w:spacing w:before="81" w:after="0" w:line="240" w:lineRule="auto"/>
              <w:ind w:left="461" w:right="0" w:hanging="453"/>
              <w:jc w:val="left"/>
              <w:rPr>
                <w:sz w:val="18"/>
              </w:rPr>
            </w:pPr>
            <w:r>
              <w:rPr>
                <w:sz w:val="18"/>
              </w:rPr>
              <w:t xml:space="preserve">高耗能特种设备节能管理制度； </w:t>
            </w:r>
          </w:p>
          <w:p>
            <w:pPr>
              <w:pStyle w:val="TableParagraph"/>
              <w:numPr>
                <w:ilvl w:val="0"/>
                <w:numId w:val="21"/>
              </w:numPr>
              <w:tabs>
                <w:tab w:val="left" w:pos="553"/>
              </w:tabs>
              <w:spacing w:before="2" w:after="0" w:line="310" w:lineRule="atLeast"/>
              <w:ind w:left="9" w:right="-15" w:firstLine="0"/>
              <w:jc w:val="left"/>
              <w:rPr>
                <w:sz w:val="18"/>
              </w:rPr>
            </w:pPr>
            <w:r>
              <w:rPr>
                <w:spacing w:val="-1"/>
                <w:sz w:val="18"/>
              </w:rPr>
              <w:t>移动式压力容器和气瓶充装单位建立充装前</w:t>
            </w:r>
            <w:r>
              <w:rPr>
                <w:spacing w:val="-3"/>
                <w:sz w:val="18"/>
              </w:rPr>
              <w:t xml:space="preserve">后检查制度。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6"/>
              </w:rPr>
            </w:pPr>
          </w:p>
          <w:p>
            <w:pPr>
              <w:pStyle w:val="TableParagraph"/>
              <w:ind w:left="201" w:right="92"/>
              <w:jc w:val="center"/>
              <w:rPr>
                <w:sz w:val="18"/>
              </w:rPr>
            </w:pPr>
            <w:r>
              <w:rPr>
                <w:sz w:val="18"/>
              </w:rPr>
              <w:t xml:space="preserve">15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6"/>
              </w:rPr>
            </w:pPr>
          </w:p>
          <w:p>
            <w:pPr>
              <w:pStyle w:val="TableParagraph"/>
              <w:ind w:right="-15"/>
              <w:jc w:val="right"/>
              <w:rPr>
                <w:sz w:val="18"/>
              </w:rPr>
            </w:pPr>
            <w:r>
              <w:rPr>
                <w:sz w:val="18"/>
              </w:rPr>
              <w:t xml:space="preserve">缺1项扣1.5分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6"/>
              </w:rPr>
            </w:pPr>
          </w:p>
          <w:p>
            <w:pPr>
              <w:pStyle w:val="TableParagraph"/>
              <w:ind w:left="110"/>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6"/>
              </w:rPr>
            </w:pPr>
          </w:p>
          <w:p>
            <w:pPr>
              <w:pStyle w:val="TableParagraph"/>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08"/>
          <w:jc w:val="left"/>
        </w:trPr>
        <w:tc>
          <w:tcPr>
            <w:tcW w:w="557" w:type="dxa"/>
            <w:tcBorders>
              <w:top w:val="single" w:sz="4" w:space="0" w:color="000000"/>
              <w:right w:val="single" w:sz="4" w:space="0" w:color="000000"/>
            </w:tcBorders>
          </w:tcPr>
          <w:p>
            <w:pPr>
              <w:pStyle w:val="TableParagraph"/>
              <w:spacing w:before="11"/>
              <w:ind w:left="120" w:right="12"/>
              <w:jc w:val="center"/>
              <w:rPr>
                <w:sz w:val="18"/>
              </w:rPr>
            </w:pPr>
            <w:r>
              <w:rPr>
                <w:sz w:val="18"/>
              </w:rPr>
              <w:t xml:space="preserve">3 </w:t>
            </w:r>
          </w:p>
        </w:tc>
        <w:tc>
          <w:tcPr>
            <w:tcW w:w="1135" w:type="dxa"/>
            <w:vMerge/>
            <w:tcBorders>
              <w:top w:val="nil"/>
              <w:left w:val="single" w:sz="4" w:space="0" w:color="000000"/>
              <w:right w:val="single" w:sz="4" w:space="0" w:color="000000"/>
            </w:tcBorders>
          </w:tcPr>
          <w:p>
            <w:pPr>
              <w:rPr>
                <w:sz w:val="2"/>
                <w:szCs w:val="2"/>
              </w:rPr>
            </w:pPr>
          </w:p>
        </w:tc>
        <w:tc>
          <w:tcPr>
            <w:tcW w:w="4112" w:type="dxa"/>
            <w:tcBorders>
              <w:top w:val="single" w:sz="4" w:space="0" w:color="000000"/>
              <w:left w:val="single" w:sz="4" w:space="0" w:color="000000"/>
              <w:right w:val="single" w:sz="4" w:space="0" w:color="000000"/>
            </w:tcBorders>
          </w:tcPr>
          <w:p>
            <w:pPr>
              <w:pStyle w:val="TableParagraph"/>
              <w:spacing w:before="11"/>
              <w:ind w:left="189"/>
              <w:rPr>
                <w:sz w:val="18"/>
              </w:rPr>
            </w:pPr>
            <w:r>
              <w:rPr>
                <w:sz w:val="18"/>
              </w:rPr>
              <w:t xml:space="preserve">管理制度应上墙，或置于现场显著位置 </w:t>
            </w:r>
          </w:p>
        </w:tc>
        <w:tc>
          <w:tcPr>
            <w:tcW w:w="708" w:type="dxa"/>
            <w:tcBorders>
              <w:top w:val="single" w:sz="4" w:space="0" w:color="000000"/>
              <w:left w:val="single" w:sz="4" w:space="0" w:color="000000"/>
              <w:right w:val="single" w:sz="4" w:space="0" w:color="000000"/>
            </w:tcBorders>
          </w:tcPr>
          <w:p>
            <w:pPr>
              <w:pStyle w:val="TableParagraph"/>
              <w:spacing w:before="11"/>
              <w:ind w:left="201" w:right="94"/>
              <w:jc w:val="center"/>
              <w:rPr>
                <w:sz w:val="18"/>
              </w:rPr>
            </w:pPr>
            <w:r>
              <w:rPr>
                <w:sz w:val="18"/>
              </w:rPr>
              <w:t xml:space="preserve">3 </w:t>
            </w:r>
          </w:p>
        </w:tc>
        <w:tc>
          <w:tcPr>
            <w:tcW w:w="1277" w:type="dxa"/>
            <w:tcBorders>
              <w:top w:val="single" w:sz="4" w:space="0" w:color="000000"/>
              <w:left w:val="single" w:sz="4" w:space="0" w:color="000000"/>
              <w:right w:val="single" w:sz="4" w:space="0" w:color="000000"/>
            </w:tcBorders>
          </w:tcPr>
          <w:p>
            <w:pPr>
              <w:pStyle w:val="TableParagraph"/>
              <w:spacing w:before="11"/>
              <w:ind w:right="36"/>
              <w:jc w:val="right"/>
              <w:rPr>
                <w:sz w:val="18"/>
              </w:rPr>
            </w:pPr>
            <w:r>
              <w:rPr>
                <w:sz w:val="18"/>
              </w:rPr>
              <w:t xml:space="preserve">不符合扣3分 </w:t>
            </w:r>
          </w:p>
        </w:tc>
        <w:tc>
          <w:tcPr>
            <w:tcW w:w="566" w:type="dxa"/>
            <w:tcBorders>
              <w:top w:val="single" w:sz="4" w:space="0" w:color="000000"/>
              <w:left w:val="single" w:sz="4" w:space="0" w:color="000000"/>
              <w:right w:val="single" w:sz="4" w:space="0" w:color="000000"/>
            </w:tcBorders>
          </w:tcPr>
          <w:p>
            <w:pPr>
              <w:pStyle w:val="TableParagraph"/>
              <w:spacing w:before="11"/>
              <w:ind w:left="110"/>
              <w:jc w:val="center"/>
              <w:rPr>
                <w:sz w:val="18"/>
              </w:rPr>
            </w:pPr>
            <w:r>
              <w:rPr>
                <w:sz w:val="18"/>
              </w:rPr>
              <w:t xml:space="preserve"> </w:t>
            </w:r>
          </w:p>
        </w:tc>
        <w:tc>
          <w:tcPr>
            <w:tcW w:w="979" w:type="dxa"/>
            <w:tcBorders>
              <w:top w:val="single" w:sz="4" w:space="0" w:color="000000"/>
              <w:left w:val="single" w:sz="4" w:space="0" w:color="000000"/>
            </w:tcBorders>
          </w:tcPr>
          <w:p>
            <w:pPr>
              <w:pStyle w:val="TableParagraph"/>
              <w:spacing w:before="11"/>
              <w:ind w:left="111"/>
              <w:jc w:val="center"/>
              <w:rPr>
                <w:sz w:val="18"/>
              </w:rPr>
            </w:pPr>
            <w:r>
              <w:rPr>
                <w:sz w:val="18"/>
              </w:rPr>
              <w:t xml:space="preserve"> </w:t>
            </w:r>
          </w:p>
        </w:tc>
      </w:tr>
    </w:tbl>
    <w:p>
      <w:pPr>
        <w:pStyle w:val="BodyText"/>
        <w:spacing w:before="0"/>
        <w:ind w:left="418"/>
      </w:pPr>
      <w:r>
        <w:rPr>
          <w:w w:val="100"/>
        </w:rPr>
        <w:t xml:space="preserve"> </w:t>
      </w:r>
    </w:p>
    <w:p>
      <w:pPr>
        <w:spacing w:after="0"/>
        <w:sectPr>
          <w:headerReference w:type="even" r:id="rId29"/>
          <w:headerReference w:type="default" r:id="rId30"/>
          <w:footerReference w:type="even" r:id="rId31"/>
          <w:footerReference w:type="default" r:id="rId32"/>
          <w:pgSz w:w="11910" w:h="16840"/>
          <w:pgMar w:top="1640" w:right="720" w:bottom="1340" w:left="1000" w:header="1448" w:footer="1141"/>
          <w:pgNumType w:start="5"/>
          <w:cols w:space="708"/>
        </w:sectPr>
      </w:pPr>
    </w:p>
    <w:p>
      <w:pPr>
        <w:pStyle w:val="BodyText"/>
        <w:spacing w:before="1"/>
        <w:rPr>
          <w:sz w:val="17"/>
        </w:rPr>
      </w:pPr>
    </w:p>
    <w:p>
      <w:pPr>
        <w:pStyle w:val="BodyText"/>
        <w:spacing w:before="72"/>
        <w:ind w:left="2602"/>
      </w:pPr>
      <w:r>
        <w:rPr>
          <w:rFonts w:ascii="黑体" w:eastAsia="黑体" w:hint="eastAsia"/>
        </w:rPr>
        <w:t>表A.1 特种设备使用单位安全管理评价表</w:t>
      </w:r>
      <w:r>
        <w:t>（续）</w:t>
      </w:r>
    </w:p>
    <w:p>
      <w:pPr>
        <w:pStyle w:val="BodyText"/>
        <w:spacing w:before="9" w:after="1"/>
        <w:rPr>
          <w:sz w:val="13"/>
        </w:rPr>
      </w:pPr>
    </w:p>
    <w:tbl>
      <w:tblPr>
        <w:tblStyle w:val="TableNormal1"/>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57"/>
        <w:gridCol w:w="1135"/>
        <w:gridCol w:w="4112"/>
        <w:gridCol w:w="708"/>
        <w:gridCol w:w="1277"/>
        <w:gridCol w:w="566"/>
        <w:gridCol w:w="979"/>
      </w:tblGrid>
      <w:tr>
        <w:tblPrEx>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557" w:type="dxa"/>
            <w:tcBorders>
              <w:right w:val="single" w:sz="4" w:space="0" w:color="000000"/>
            </w:tcBorders>
          </w:tcPr>
          <w:p>
            <w:pPr>
              <w:pStyle w:val="TableParagraph"/>
              <w:spacing w:before="40"/>
              <w:ind w:left="128" w:right="11"/>
              <w:jc w:val="center"/>
              <w:rPr>
                <w:sz w:val="18"/>
              </w:rPr>
            </w:pPr>
            <w:r>
              <w:rPr>
                <w:sz w:val="18"/>
              </w:rPr>
              <w:t xml:space="preserve">序号 </w:t>
            </w:r>
          </w:p>
        </w:tc>
        <w:tc>
          <w:tcPr>
            <w:tcW w:w="1135" w:type="dxa"/>
            <w:tcBorders>
              <w:left w:val="single" w:sz="4" w:space="0" w:color="000000"/>
              <w:right w:val="single" w:sz="4" w:space="0" w:color="000000"/>
            </w:tcBorders>
          </w:tcPr>
          <w:p>
            <w:pPr>
              <w:pStyle w:val="TableParagraph"/>
              <w:spacing w:before="40"/>
              <w:ind w:left="393"/>
              <w:rPr>
                <w:sz w:val="18"/>
              </w:rPr>
            </w:pPr>
            <w:r>
              <w:rPr>
                <w:sz w:val="18"/>
              </w:rPr>
              <w:t xml:space="preserve">项目 </w:t>
            </w:r>
          </w:p>
        </w:tc>
        <w:tc>
          <w:tcPr>
            <w:tcW w:w="4112" w:type="dxa"/>
            <w:tcBorders>
              <w:left w:val="single" w:sz="4" w:space="0" w:color="000000"/>
              <w:right w:val="single" w:sz="4" w:space="0" w:color="000000"/>
            </w:tcBorders>
          </w:tcPr>
          <w:p>
            <w:pPr>
              <w:pStyle w:val="TableParagraph"/>
              <w:spacing w:before="40"/>
              <w:ind w:left="1260" w:right="1152"/>
              <w:jc w:val="center"/>
              <w:rPr>
                <w:sz w:val="18"/>
              </w:rPr>
            </w:pPr>
            <w:r>
              <w:rPr>
                <w:sz w:val="18"/>
              </w:rPr>
              <w:t xml:space="preserve">评价内容 </w:t>
            </w:r>
          </w:p>
        </w:tc>
        <w:tc>
          <w:tcPr>
            <w:tcW w:w="708" w:type="dxa"/>
            <w:tcBorders>
              <w:left w:val="single" w:sz="4" w:space="0" w:color="000000"/>
              <w:right w:val="single" w:sz="4" w:space="0" w:color="000000"/>
            </w:tcBorders>
          </w:tcPr>
          <w:p>
            <w:pPr>
              <w:pStyle w:val="TableParagraph"/>
              <w:spacing w:before="40"/>
              <w:ind w:left="201" w:right="93"/>
              <w:jc w:val="center"/>
              <w:rPr>
                <w:sz w:val="18"/>
              </w:rPr>
            </w:pPr>
            <w:r>
              <w:rPr>
                <w:sz w:val="18"/>
              </w:rPr>
              <w:t xml:space="preserve">分值 </w:t>
            </w:r>
          </w:p>
        </w:tc>
        <w:tc>
          <w:tcPr>
            <w:tcW w:w="1277" w:type="dxa"/>
            <w:tcBorders>
              <w:left w:val="single" w:sz="4" w:space="0" w:color="000000"/>
              <w:right w:val="single" w:sz="4" w:space="0" w:color="000000"/>
            </w:tcBorders>
          </w:tcPr>
          <w:p>
            <w:pPr>
              <w:pStyle w:val="TableParagraph"/>
              <w:spacing w:before="40"/>
              <w:ind w:left="128" w:right="13"/>
              <w:jc w:val="center"/>
              <w:rPr>
                <w:sz w:val="18"/>
              </w:rPr>
            </w:pPr>
            <w:r>
              <w:rPr>
                <w:sz w:val="18"/>
              </w:rPr>
              <w:t xml:space="preserve">评分细则 </w:t>
            </w:r>
          </w:p>
        </w:tc>
        <w:tc>
          <w:tcPr>
            <w:tcW w:w="566" w:type="dxa"/>
            <w:tcBorders>
              <w:left w:val="single" w:sz="4" w:space="0" w:color="000000"/>
              <w:right w:val="single" w:sz="4" w:space="0" w:color="000000"/>
            </w:tcBorders>
          </w:tcPr>
          <w:p>
            <w:pPr>
              <w:pStyle w:val="TableParagraph"/>
              <w:spacing w:before="40"/>
              <w:ind w:left="138" w:right="15"/>
              <w:jc w:val="center"/>
              <w:rPr>
                <w:sz w:val="18"/>
              </w:rPr>
            </w:pPr>
            <w:r>
              <w:rPr>
                <w:sz w:val="18"/>
              </w:rPr>
              <w:t xml:space="preserve">扣分 </w:t>
            </w:r>
          </w:p>
        </w:tc>
        <w:tc>
          <w:tcPr>
            <w:tcW w:w="979" w:type="dxa"/>
            <w:tcBorders>
              <w:left w:val="single" w:sz="4" w:space="0" w:color="000000"/>
            </w:tcBorders>
          </w:tcPr>
          <w:p>
            <w:pPr>
              <w:pStyle w:val="TableParagraph"/>
              <w:spacing w:before="40"/>
              <w:ind w:left="157" w:right="40"/>
              <w:jc w:val="center"/>
              <w:rPr>
                <w:sz w:val="18"/>
              </w:rPr>
            </w:pPr>
            <w:r>
              <w:rPr>
                <w:sz w:val="18"/>
              </w:rPr>
              <w:t xml:space="preserve">存在问题 </w:t>
            </w:r>
          </w:p>
        </w:tc>
      </w:tr>
      <w:tr>
        <w:tblPrEx>
          <w:tblW w:w="0" w:type="auto"/>
          <w:jc w:val="left"/>
          <w:tblInd w:w="152" w:type="dxa"/>
          <w:tblLayout w:type="fixed"/>
          <w:tblCellMar>
            <w:top w:w="0" w:type="dxa"/>
            <w:left w:w="0" w:type="dxa"/>
            <w:bottom w:w="0" w:type="dxa"/>
            <w:right w:w="0" w:type="dxa"/>
          </w:tblCellMar>
          <w:tblLook w:val="01E0"/>
        </w:tblPrEx>
        <w:trPr>
          <w:trHeight w:val="623"/>
          <w:jc w:val="left"/>
        </w:trPr>
        <w:tc>
          <w:tcPr>
            <w:tcW w:w="557" w:type="dxa"/>
            <w:tcBorders>
              <w:bottom w:val="single" w:sz="4" w:space="0" w:color="000000"/>
              <w:right w:val="single" w:sz="4" w:space="0" w:color="000000"/>
            </w:tcBorders>
          </w:tcPr>
          <w:p>
            <w:pPr>
              <w:pStyle w:val="TableParagraph"/>
              <w:spacing w:before="1"/>
              <w:rPr>
                <w:sz w:val="15"/>
              </w:rPr>
            </w:pPr>
          </w:p>
          <w:p>
            <w:pPr>
              <w:pStyle w:val="TableParagraph"/>
              <w:spacing w:before="1"/>
              <w:ind w:left="126" w:right="12"/>
              <w:jc w:val="center"/>
              <w:rPr>
                <w:sz w:val="18"/>
              </w:rPr>
            </w:pPr>
            <w:r>
              <w:rPr>
                <w:sz w:val="18"/>
              </w:rPr>
              <w:t xml:space="preserve">4 </w:t>
            </w:r>
          </w:p>
        </w:tc>
        <w:tc>
          <w:tcPr>
            <w:tcW w:w="1135" w:type="dxa"/>
            <w:vMerge w:val="restart"/>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3"/>
              <w:rPr>
                <w:sz w:val="25"/>
              </w:rPr>
            </w:pPr>
          </w:p>
          <w:p>
            <w:pPr>
              <w:pStyle w:val="TableParagraph"/>
              <w:spacing w:before="1"/>
              <w:ind w:left="213"/>
              <w:rPr>
                <w:sz w:val="18"/>
              </w:rPr>
            </w:pPr>
            <w:r>
              <w:rPr>
                <w:sz w:val="18"/>
              </w:rPr>
              <w:t xml:space="preserve">管理人员 </w:t>
            </w:r>
          </w:p>
        </w:tc>
        <w:tc>
          <w:tcPr>
            <w:tcW w:w="4112" w:type="dxa"/>
            <w:tcBorders>
              <w:left w:val="single" w:sz="4" w:space="0" w:color="000000"/>
              <w:bottom w:val="single" w:sz="4" w:space="0" w:color="000000"/>
              <w:right w:val="single" w:sz="4" w:space="0" w:color="000000"/>
            </w:tcBorders>
          </w:tcPr>
          <w:p>
            <w:pPr>
              <w:pStyle w:val="TableParagraph"/>
              <w:spacing w:before="38"/>
              <w:ind w:left="189" w:right="-29"/>
              <w:rPr>
                <w:sz w:val="18"/>
              </w:rPr>
            </w:pPr>
            <w:r>
              <w:rPr>
                <w:spacing w:val="6"/>
                <w:sz w:val="18"/>
              </w:rPr>
              <w:t>应在最高管理层中以文件形式明确安全管理负责</w:t>
            </w:r>
          </w:p>
          <w:p>
            <w:pPr>
              <w:pStyle w:val="TableParagraph"/>
              <w:spacing w:before="81"/>
              <w:ind w:left="9"/>
              <w:rPr>
                <w:sz w:val="18"/>
              </w:rPr>
            </w:pPr>
            <w:r>
              <w:rPr>
                <w:sz w:val="18"/>
              </w:rPr>
              <w:t xml:space="preserve">人 </w:t>
            </w:r>
          </w:p>
        </w:tc>
        <w:tc>
          <w:tcPr>
            <w:tcW w:w="708" w:type="dxa"/>
            <w:tcBorders>
              <w:left w:val="single" w:sz="4" w:space="0" w:color="000000"/>
              <w:bottom w:val="single" w:sz="4" w:space="0" w:color="000000"/>
              <w:right w:val="single" w:sz="4" w:space="0" w:color="000000"/>
            </w:tcBorders>
          </w:tcPr>
          <w:p>
            <w:pPr>
              <w:pStyle w:val="TableParagraph"/>
              <w:spacing w:before="1"/>
              <w:rPr>
                <w:sz w:val="15"/>
              </w:rPr>
            </w:pPr>
          </w:p>
          <w:p>
            <w:pPr>
              <w:pStyle w:val="TableParagraph"/>
              <w:spacing w:before="1"/>
              <w:ind w:left="201" w:right="93"/>
              <w:jc w:val="center"/>
              <w:rPr>
                <w:sz w:val="18"/>
              </w:rPr>
            </w:pPr>
            <w:r>
              <w:rPr>
                <w:sz w:val="18"/>
              </w:rPr>
              <w:t xml:space="preserve">6 </w:t>
            </w:r>
          </w:p>
        </w:tc>
        <w:tc>
          <w:tcPr>
            <w:tcW w:w="1277" w:type="dxa"/>
            <w:tcBorders>
              <w:left w:val="single" w:sz="4" w:space="0" w:color="000000"/>
              <w:bottom w:val="single" w:sz="4" w:space="0" w:color="000000"/>
              <w:right w:val="single" w:sz="4" w:space="0" w:color="000000"/>
            </w:tcBorders>
          </w:tcPr>
          <w:p>
            <w:pPr>
              <w:pStyle w:val="TableParagraph"/>
              <w:spacing w:before="1"/>
              <w:rPr>
                <w:sz w:val="15"/>
              </w:rPr>
            </w:pPr>
          </w:p>
          <w:p>
            <w:pPr>
              <w:pStyle w:val="TableParagraph"/>
              <w:spacing w:before="1"/>
              <w:ind w:left="125" w:right="13"/>
              <w:jc w:val="center"/>
              <w:rPr>
                <w:sz w:val="18"/>
              </w:rPr>
            </w:pPr>
            <w:r>
              <w:rPr>
                <w:sz w:val="18"/>
              </w:rPr>
              <w:t xml:space="preserve">不符合扣6分 </w:t>
            </w:r>
          </w:p>
        </w:tc>
        <w:tc>
          <w:tcPr>
            <w:tcW w:w="566" w:type="dxa"/>
            <w:tcBorders>
              <w:left w:val="single" w:sz="4" w:space="0" w:color="000000"/>
              <w:bottom w:val="single" w:sz="4" w:space="0" w:color="000000"/>
              <w:right w:val="single" w:sz="4" w:space="0" w:color="000000"/>
            </w:tcBorders>
          </w:tcPr>
          <w:p>
            <w:pPr>
              <w:pStyle w:val="TableParagraph"/>
              <w:spacing w:before="1"/>
              <w:rPr>
                <w:sz w:val="15"/>
              </w:rPr>
            </w:pPr>
          </w:p>
          <w:p>
            <w:pPr>
              <w:pStyle w:val="TableParagraph"/>
              <w:spacing w:before="1"/>
              <w:ind w:left="111"/>
              <w:jc w:val="center"/>
              <w:rPr>
                <w:sz w:val="18"/>
              </w:rPr>
            </w:pPr>
            <w:r>
              <w:rPr>
                <w:sz w:val="18"/>
              </w:rPr>
              <w:t xml:space="preserve"> </w:t>
            </w:r>
          </w:p>
        </w:tc>
        <w:tc>
          <w:tcPr>
            <w:tcW w:w="979" w:type="dxa"/>
            <w:tcBorders>
              <w:left w:val="single" w:sz="4" w:space="0" w:color="000000"/>
              <w:bottom w:val="single" w:sz="4" w:space="0" w:color="000000"/>
            </w:tcBorders>
          </w:tcPr>
          <w:p>
            <w:pPr>
              <w:pStyle w:val="TableParagraph"/>
              <w:spacing w:before="1"/>
              <w:rPr>
                <w:sz w:val="15"/>
              </w:rPr>
            </w:pPr>
          </w:p>
          <w:p>
            <w:pPr>
              <w:pStyle w:val="TableParagraph"/>
              <w:spacing w:before="1"/>
              <w:ind w:left="117"/>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35"/>
          <w:jc w:val="left"/>
        </w:trPr>
        <w:tc>
          <w:tcPr>
            <w:tcW w:w="557"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19"/>
              <w:ind w:left="126" w:right="12"/>
              <w:jc w:val="center"/>
              <w:rPr>
                <w:sz w:val="18"/>
              </w:rPr>
            </w:pPr>
            <w:r>
              <w:rPr>
                <w:sz w:val="18"/>
              </w:rPr>
              <w:t xml:space="preserve">5 </w:t>
            </w:r>
          </w:p>
        </w:tc>
        <w:tc>
          <w:tcPr>
            <w:tcW w:w="1135" w:type="dxa"/>
            <w:vMerge/>
            <w:tcBorders>
              <w:top w:val="nil"/>
              <w:left w:val="single" w:sz="4" w:space="0" w:color="000000"/>
              <w:bottom w:val="single" w:sz="4" w:space="0" w:color="000000"/>
              <w:right w:val="single" w:sz="4" w:space="0" w:color="000000"/>
            </w:tcBorders>
          </w:tcPr>
          <w:p>
            <w:pPr>
              <w:rPr>
                <w:sz w:val="2"/>
                <w:szCs w:val="2"/>
              </w:rPr>
            </w:pP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38"/>
              <w:ind w:left="9" w:right="-15" w:firstLine="180"/>
              <w:rPr>
                <w:sz w:val="18"/>
              </w:rPr>
            </w:pPr>
            <w:r>
              <w:rPr>
                <w:spacing w:val="-4"/>
                <w:sz w:val="18"/>
              </w:rPr>
              <w:t>应设立特种设备安全管理机构的使用单位，安全管</w:t>
            </w:r>
          </w:p>
          <w:p>
            <w:pPr>
              <w:pStyle w:val="TableParagraph"/>
              <w:spacing w:before="2" w:line="310" w:lineRule="atLeast"/>
              <w:ind w:left="9" w:right="-15"/>
              <w:rPr>
                <w:sz w:val="18"/>
              </w:rPr>
            </w:pPr>
            <w:r>
              <w:rPr>
                <w:spacing w:val="3"/>
                <w:sz w:val="18"/>
              </w:rPr>
              <w:t xml:space="preserve">理负责人应取得相应的特种设备安全管理人员资格证书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left="201" w:right="93"/>
              <w:jc w:val="center"/>
              <w:rPr>
                <w:sz w:val="18"/>
              </w:rPr>
            </w:pPr>
            <w:r>
              <w:rPr>
                <w:sz w:val="18"/>
              </w:rPr>
              <w:t xml:space="preserve">6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left="125" w:right="13"/>
              <w:jc w:val="center"/>
              <w:rPr>
                <w:sz w:val="18"/>
              </w:rPr>
            </w:pPr>
            <w:r>
              <w:rPr>
                <w:sz w:val="18"/>
              </w:rPr>
              <w:t xml:space="preserve">不符合扣6份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left="111"/>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19"/>
              <w:ind w:left="117"/>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4056"/>
          <w:jc w:val="left"/>
        </w:trPr>
        <w:tc>
          <w:tcPr>
            <w:tcW w:w="557" w:type="dxa"/>
            <w:tcBorders>
              <w:top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23"/>
              </w:rPr>
            </w:pPr>
          </w:p>
          <w:p>
            <w:pPr>
              <w:pStyle w:val="TableParagraph"/>
              <w:ind w:left="126" w:right="12"/>
              <w:jc w:val="center"/>
              <w:rPr>
                <w:sz w:val="18"/>
              </w:rPr>
            </w:pPr>
            <w:r>
              <w:rPr>
                <w:sz w:val="18"/>
              </w:rPr>
              <w:t xml:space="preserve">6 </w:t>
            </w:r>
          </w:p>
        </w:tc>
        <w:tc>
          <w:tcPr>
            <w:tcW w:w="1135" w:type="dxa"/>
            <w:vMerge/>
            <w:tcBorders>
              <w:top w:val="nil"/>
              <w:left w:val="single" w:sz="4" w:space="0" w:color="000000"/>
              <w:bottom w:val="single" w:sz="4" w:space="0" w:color="000000"/>
              <w:right w:val="single" w:sz="4" w:space="0" w:color="000000"/>
            </w:tcBorders>
          </w:tcPr>
          <w:p>
            <w:pPr>
              <w:rPr>
                <w:sz w:val="2"/>
                <w:szCs w:val="2"/>
              </w:rPr>
            </w:pP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38" w:line="324" w:lineRule="auto"/>
              <w:ind w:left="9" w:right="-15" w:firstLine="180"/>
              <w:rPr>
                <w:sz w:val="18"/>
              </w:rPr>
            </w:pPr>
            <w:r>
              <w:rPr>
                <w:spacing w:val="-4"/>
                <w:sz w:val="18"/>
              </w:rPr>
              <w:t>符合下列条件之一的使用单位，应配备专职的持证</w:t>
            </w:r>
            <w:r>
              <w:rPr>
                <w:sz w:val="18"/>
              </w:rPr>
              <w:t xml:space="preserve">特种设备安全管理人员： </w:t>
            </w:r>
          </w:p>
          <w:p>
            <w:pPr>
              <w:pStyle w:val="TableParagraph"/>
              <w:numPr>
                <w:ilvl w:val="0"/>
                <w:numId w:val="20"/>
              </w:numPr>
              <w:tabs>
                <w:tab w:val="left" w:pos="462"/>
              </w:tabs>
              <w:spacing w:before="1" w:after="0" w:line="240" w:lineRule="auto"/>
              <w:ind w:left="462" w:right="-58" w:hanging="453"/>
              <w:jc w:val="left"/>
              <w:rPr>
                <w:sz w:val="18"/>
              </w:rPr>
            </w:pPr>
            <w:r>
              <w:rPr>
                <w:sz w:val="18"/>
              </w:rPr>
              <w:t>按照TSG</w:t>
            </w:r>
            <w:r>
              <w:rPr>
                <w:spacing w:val="-1"/>
                <w:sz w:val="18"/>
              </w:rPr>
              <w:t xml:space="preserve"> </w:t>
            </w:r>
            <w:r>
              <w:rPr>
                <w:sz w:val="18"/>
              </w:rPr>
              <w:t>08</w:t>
            </w:r>
            <w:r>
              <w:rPr>
                <w:spacing w:val="-1"/>
                <w:sz w:val="18"/>
              </w:rPr>
              <w:t xml:space="preserve">应设立特种设备安全管理机构的； </w:t>
            </w:r>
          </w:p>
          <w:p>
            <w:pPr>
              <w:pStyle w:val="TableParagraph"/>
              <w:numPr>
                <w:ilvl w:val="0"/>
                <w:numId w:val="20"/>
              </w:numPr>
              <w:tabs>
                <w:tab w:val="left" w:pos="462"/>
              </w:tabs>
              <w:spacing w:before="82" w:after="0" w:line="240" w:lineRule="auto"/>
              <w:ind w:left="462" w:right="0" w:hanging="453"/>
              <w:jc w:val="left"/>
              <w:rPr>
                <w:sz w:val="18"/>
              </w:rPr>
            </w:pPr>
            <w:r>
              <w:rPr>
                <w:sz w:val="18"/>
              </w:rPr>
              <w:t>使用额定蒸汽压力≥2.5</w:t>
            </w:r>
            <w:r>
              <w:rPr>
                <w:spacing w:val="-48"/>
                <w:position w:val="9"/>
                <w:sz w:val="18"/>
              </w:rPr>
              <w:t xml:space="preserve"> </w:t>
            </w:r>
            <w:r>
              <w:rPr>
                <w:sz w:val="18"/>
              </w:rPr>
              <w:t>MPa</w:t>
            </w:r>
            <w:r>
              <w:rPr>
                <w:spacing w:val="-1"/>
                <w:sz w:val="18"/>
              </w:rPr>
              <w:t>锅炉的；</w:t>
            </w:r>
            <w:r>
              <w:rPr>
                <w:sz w:val="18"/>
              </w:rPr>
              <w:t xml:space="preserve"> </w:t>
            </w:r>
          </w:p>
          <w:p>
            <w:pPr>
              <w:pStyle w:val="TableParagraph"/>
              <w:numPr>
                <w:ilvl w:val="0"/>
                <w:numId w:val="20"/>
              </w:numPr>
              <w:tabs>
                <w:tab w:val="left" w:pos="462"/>
              </w:tabs>
              <w:spacing w:before="82" w:after="0" w:line="240" w:lineRule="auto"/>
              <w:ind w:left="462" w:right="0" w:hanging="453"/>
              <w:jc w:val="left"/>
              <w:rPr>
                <w:sz w:val="18"/>
              </w:rPr>
            </w:pPr>
            <w:r>
              <w:rPr>
                <w:sz w:val="18"/>
              </w:rPr>
              <w:t>使用≥5</w:t>
            </w:r>
            <w:r>
              <w:rPr>
                <w:spacing w:val="-1"/>
                <w:sz w:val="18"/>
              </w:rPr>
              <w:t xml:space="preserve">台第Ⅲ类固定式压力容器的； </w:t>
            </w:r>
          </w:p>
          <w:p>
            <w:pPr>
              <w:pStyle w:val="TableParagraph"/>
              <w:numPr>
                <w:ilvl w:val="0"/>
                <w:numId w:val="20"/>
              </w:numPr>
              <w:tabs>
                <w:tab w:val="left" w:pos="462"/>
              </w:tabs>
              <w:spacing w:before="81" w:after="0" w:line="240" w:lineRule="auto"/>
              <w:ind w:left="462" w:right="0" w:hanging="453"/>
              <w:jc w:val="left"/>
              <w:rPr>
                <w:sz w:val="18"/>
              </w:rPr>
            </w:pPr>
            <w:r>
              <w:rPr>
                <w:sz w:val="18"/>
              </w:rPr>
              <w:t>使用≥10</w:t>
            </w:r>
            <w:r>
              <w:rPr>
                <w:spacing w:val="-45"/>
                <w:position w:val="9"/>
                <w:sz w:val="18"/>
              </w:rPr>
              <w:t xml:space="preserve"> </w:t>
            </w:r>
            <w:r>
              <w:rPr>
                <w:sz w:val="18"/>
              </w:rPr>
              <w:t>km</w:t>
            </w:r>
            <w:r>
              <w:rPr>
                <w:spacing w:val="-1"/>
                <w:sz w:val="18"/>
              </w:rPr>
              <w:t xml:space="preserve">工业管道的； </w:t>
            </w:r>
          </w:p>
          <w:p>
            <w:pPr>
              <w:pStyle w:val="TableParagraph"/>
              <w:numPr>
                <w:ilvl w:val="0"/>
                <w:numId w:val="20"/>
              </w:numPr>
              <w:tabs>
                <w:tab w:val="left" w:pos="469"/>
              </w:tabs>
              <w:spacing w:before="81" w:after="0" w:line="324" w:lineRule="auto"/>
              <w:ind w:left="9" w:right="-15" w:firstLine="0"/>
              <w:jc w:val="left"/>
              <w:rPr>
                <w:sz w:val="18"/>
              </w:rPr>
            </w:pPr>
            <w:r>
              <w:rPr>
                <w:sz w:val="18"/>
              </w:rPr>
              <w:t xml:space="preserve">使用移动式压力容器、客运拖牵索道、大型游乐设施的； </w:t>
            </w:r>
          </w:p>
          <w:p>
            <w:pPr>
              <w:pStyle w:val="TableParagraph"/>
              <w:numPr>
                <w:ilvl w:val="0"/>
                <w:numId w:val="20"/>
              </w:numPr>
              <w:tabs>
                <w:tab w:val="left" w:pos="462"/>
              </w:tabs>
              <w:spacing w:before="2" w:after="0" w:line="240" w:lineRule="auto"/>
              <w:ind w:left="462" w:right="0" w:hanging="453"/>
              <w:jc w:val="left"/>
              <w:rPr>
                <w:sz w:val="18"/>
              </w:rPr>
            </w:pPr>
            <w:r>
              <w:rPr>
                <w:spacing w:val="-2"/>
                <w:sz w:val="18"/>
              </w:rPr>
              <w:t>使用各类特种设备</w:t>
            </w:r>
            <w:r>
              <w:rPr>
                <w:sz w:val="18"/>
              </w:rPr>
              <w:t>（</w:t>
            </w:r>
            <w:r>
              <w:rPr>
                <w:spacing w:val="-2"/>
                <w:sz w:val="18"/>
              </w:rPr>
              <w:t>不含气瓶</w:t>
            </w:r>
            <w:r>
              <w:rPr>
                <w:spacing w:val="-13"/>
                <w:sz w:val="18"/>
              </w:rPr>
              <w:t>）</w:t>
            </w:r>
            <w:r>
              <w:rPr>
                <w:sz w:val="18"/>
              </w:rPr>
              <w:t>总量≥20台的</w:t>
            </w:r>
          </w:p>
          <w:p>
            <w:pPr>
              <w:pStyle w:val="TableParagraph"/>
              <w:numPr>
                <w:ilvl w:val="0"/>
                <w:numId w:val="20"/>
              </w:numPr>
              <w:tabs>
                <w:tab w:val="left" w:pos="462"/>
              </w:tabs>
              <w:spacing w:before="81" w:after="0" w:line="240" w:lineRule="auto"/>
              <w:ind w:left="462" w:right="0" w:hanging="453"/>
              <w:jc w:val="left"/>
              <w:rPr>
                <w:sz w:val="18"/>
              </w:rPr>
            </w:pPr>
            <w:r>
              <w:rPr>
                <w:sz w:val="18"/>
              </w:rPr>
              <w:t xml:space="preserve">从事移动式压力容器或者气瓶充装的； </w:t>
            </w:r>
          </w:p>
          <w:p>
            <w:pPr>
              <w:pStyle w:val="TableParagraph"/>
              <w:spacing w:before="2" w:line="310" w:lineRule="atLeast"/>
              <w:ind w:left="9" w:right="-15" w:firstLine="180"/>
              <w:jc w:val="both"/>
              <w:rPr>
                <w:sz w:val="18"/>
              </w:rPr>
            </w:pPr>
            <w:r>
              <w:rPr>
                <w:spacing w:val="-2"/>
                <w:sz w:val="18"/>
              </w:rPr>
              <w:t>其他使用单位应配备专</w:t>
            </w:r>
            <w:r>
              <w:rPr>
                <w:sz w:val="18"/>
              </w:rPr>
              <w:t>（兼</w:t>
            </w:r>
            <w:r>
              <w:rPr>
                <w:spacing w:val="-20"/>
                <w:sz w:val="18"/>
              </w:rPr>
              <w:t>）</w:t>
            </w:r>
            <w:r>
              <w:rPr>
                <w:spacing w:val="-2"/>
                <w:sz w:val="18"/>
              </w:rPr>
              <w:t>职安全管理员或者委</w:t>
            </w:r>
            <w:r>
              <w:rPr>
                <w:spacing w:val="3"/>
                <w:sz w:val="18"/>
              </w:rPr>
              <w:t xml:space="preserve">托具有特种设备安全管理人员资格的人员负责使用管理。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23"/>
              </w:rPr>
            </w:pPr>
          </w:p>
          <w:p>
            <w:pPr>
              <w:pStyle w:val="TableParagraph"/>
              <w:ind w:left="201" w:right="91"/>
              <w:jc w:val="center"/>
              <w:rPr>
                <w:sz w:val="18"/>
              </w:rPr>
            </w:pPr>
            <w:r>
              <w:rPr>
                <w:sz w:val="18"/>
              </w:rPr>
              <w:t xml:space="preserve">10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33" w:line="324" w:lineRule="auto"/>
              <w:ind w:left="12" w:right="-15" w:firstLine="180"/>
              <w:jc w:val="both"/>
              <w:rPr>
                <w:sz w:val="18"/>
              </w:rPr>
            </w:pPr>
            <w:r>
              <w:rPr>
                <w:sz w:val="18"/>
              </w:rPr>
              <w:t xml:space="preserve">使用单位应配备专（兼）职的持证特种设备安全管理人员，未配备扣10分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23"/>
              </w:rPr>
            </w:pPr>
          </w:p>
          <w:p>
            <w:pPr>
              <w:pStyle w:val="TableParagraph"/>
              <w:ind w:left="111"/>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23"/>
              </w:rPr>
            </w:pPr>
          </w:p>
          <w:p>
            <w:pPr>
              <w:pStyle w:val="TableParagraph"/>
              <w:ind w:left="117"/>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11"/>
          <w:jc w:val="left"/>
        </w:trPr>
        <w:tc>
          <w:tcPr>
            <w:tcW w:w="557" w:type="dxa"/>
            <w:tcBorders>
              <w:top w:val="single" w:sz="4" w:space="0" w:color="000000"/>
              <w:bottom w:val="single" w:sz="4" w:space="0" w:color="000000"/>
              <w:right w:val="single" w:sz="4" w:space="0" w:color="000000"/>
            </w:tcBorders>
          </w:tcPr>
          <w:p>
            <w:pPr>
              <w:pStyle w:val="TableParagraph"/>
              <w:spacing w:before="38"/>
              <w:ind w:left="126" w:right="12"/>
              <w:jc w:val="center"/>
              <w:rPr>
                <w:sz w:val="18"/>
              </w:rPr>
            </w:pPr>
            <w:r>
              <w:rPr>
                <w:sz w:val="18"/>
              </w:rPr>
              <w:t xml:space="preserve">7 </w:t>
            </w:r>
          </w:p>
        </w:tc>
        <w:tc>
          <w:tcPr>
            <w:tcW w:w="1135" w:type="dxa"/>
            <w:vMerge/>
            <w:tcBorders>
              <w:top w:val="nil"/>
              <w:left w:val="single" w:sz="4" w:space="0" w:color="000000"/>
              <w:bottom w:val="single" w:sz="4" w:space="0" w:color="000000"/>
              <w:right w:val="single" w:sz="4" w:space="0" w:color="000000"/>
            </w:tcBorders>
          </w:tcPr>
          <w:p>
            <w:pPr>
              <w:rPr>
                <w:sz w:val="2"/>
                <w:szCs w:val="2"/>
              </w:rPr>
            </w:pP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38"/>
              <w:ind w:left="189"/>
              <w:rPr>
                <w:sz w:val="18"/>
              </w:rPr>
            </w:pPr>
            <w:r>
              <w:rPr>
                <w:sz w:val="18"/>
              </w:rPr>
              <w:t xml:space="preserve">应开展安全教育培训，应建立教育培训记录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38"/>
              <w:ind w:left="201" w:right="93"/>
              <w:jc w:val="center"/>
              <w:rPr>
                <w:sz w:val="18"/>
              </w:rPr>
            </w:pPr>
            <w:r>
              <w:rPr>
                <w:sz w:val="18"/>
              </w:rPr>
              <w:t xml:space="preserve">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38"/>
              <w:ind w:left="125" w:right="13"/>
              <w:jc w:val="center"/>
              <w:rPr>
                <w:sz w:val="18"/>
              </w:rPr>
            </w:pPr>
            <w:r>
              <w:rPr>
                <w:sz w:val="18"/>
              </w:rPr>
              <w:t xml:space="preserve">不符合扣5分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38"/>
              <w:ind w:left="111"/>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spacing w:before="38"/>
              <w:ind w:left="117"/>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5302"/>
          <w:jc w:val="left"/>
        </w:trPr>
        <w:tc>
          <w:tcPr>
            <w:tcW w:w="557" w:type="dxa"/>
            <w:tcBorders>
              <w:top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126" w:right="12"/>
              <w:jc w:val="center"/>
              <w:rPr>
                <w:sz w:val="18"/>
              </w:rPr>
            </w:pPr>
            <w:r>
              <w:rPr>
                <w:sz w:val="18"/>
              </w:rPr>
              <w:t xml:space="preserve">8 </w:t>
            </w:r>
          </w:p>
        </w:tc>
        <w:tc>
          <w:tcPr>
            <w:tcW w:w="1135" w:type="dxa"/>
            <w:vMerge w:val="restart"/>
            <w:tcBorders>
              <w:top w:val="single" w:sz="4" w:space="0" w:color="000000"/>
              <w:left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61"/>
              <w:ind w:left="213"/>
              <w:rPr>
                <w:sz w:val="18"/>
              </w:rPr>
            </w:pPr>
            <w:r>
              <w:rPr>
                <w:sz w:val="18"/>
              </w:rPr>
              <w:t xml:space="preserve">技术档案 </w:t>
            </w: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41"/>
              <w:ind w:left="189"/>
              <w:rPr>
                <w:sz w:val="18"/>
              </w:rPr>
            </w:pPr>
            <w:r>
              <w:rPr>
                <w:sz w:val="18"/>
              </w:rPr>
              <w:t xml:space="preserve">特种设备技术档案应包括以下内容： </w:t>
            </w:r>
          </w:p>
          <w:p>
            <w:pPr>
              <w:pStyle w:val="TableParagraph"/>
              <w:numPr>
                <w:ilvl w:val="0"/>
                <w:numId w:val="19"/>
              </w:numPr>
              <w:tabs>
                <w:tab w:val="left" w:pos="462"/>
              </w:tabs>
              <w:spacing w:before="81" w:after="0" w:line="240" w:lineRule="auto"/>
              <w:ind w:left="462" w:right="0" w:hanging="453"/>
              <w:jc w:val="left"/>
              <w:rPr>
                <w:sz w:val="18"/>
              </w:rPr>
            </w:pPr>
            <w:r>
              <w:rPr>
                <w:sz w:val="18"/>
              </w:rPr>
              <w:t xml:space="preserve">使用登记证及使用登记表； </w:t>
            </w:r>
          </w:p>
          <w:p>
            <w:pPr>
              <w:pStyle w:val="TableParagraph"/>
              <w:numPr>
                <w:ilvl w:val="0"/>
                <w:numId w:val="19"/>
              </w:numPr>
              <w:tabs>
                <w:tab w:val="left" w:pos="469"/>
              </w:tabs>
              <w:spacing w:before="81" w:after="0" w:line="324" w:lineRule="auto"/>
              <w:ind w:left="9" w:right="-58" w:firstLine="0"/>
              <w:jc w:val="both"/>
              <w:rPr>
                <w:sz w:val="18"/>
              </w:rPr>
            </w:pPr>
            <w:r>
              <w:rPr>
                <w:sz w:val="18"/>
              </w:rPr>
              <w:t xml:space="preserve">设计文件、产品质量合格证明（含合格证及其数据表、质量证明书）、安装及使用维护保养说明、监督检验证书、型式试验证书； </w:t>
            </w:r>
          </w:p>
          <w:p>
            <w:pPr>
              <w:pStyle w:val="TableParagraph"/>
              <w:numPr>
                <w:ilvl w:val="0"/>
                <w:numId w:val="19"/>
              </w:numPr>
              <w:tabs>
                <w:tab w:val="left" w:pos="469"/>
              </w:tabs>
              <w:spacing w:before="2" w:after="0" w:line="324" w:lineRule="auto"/>
              <w:ind w:left="9" w:right="-15" w:firstLine="0"/>
              <w:jc w:val="both"/>
              <w:rPr>
                <w:sz w:val="18"/>
              </w:rPr>
            </w:pPr>
            <w:r>
              <w:rPr>
                <w:sz w:val="18"/>
              </w:rPr>
              <w:t>特种设备安装、改造和修理的方案、图样、材</w:t>
            </w:r>
            <w:r>
              <w:rPr>
                <w:spacing w:val="-4"/>
                <w:sz w:val="18"/>
              </w:rPr>
              <w:t>料质量证明书和施工质量证明文件、安装改造修理监</w:t>
            </w:r>
            <w:r>
              <w:rPr>
                <w:sz w:val="18"/>
              </w:rPr>
              <w:t xml:space="preserve">督检验报告、验收报告； </w:t>
            </w:r>
          </w:p>
          <w:p>
            <w:pPr>
              <w:pStyle w:val="TableParagraph"/>
              <w:numPr>
                <w:ilvl w:val="0"/>
                <w:numId w:val="19"/>
              </w:numPr>
              <w:tabs>
                <w:tab w:val="left" w:pos="462"/>
              </w:tabs>
              <w:spacing w:before="2" w:after="0" w:line="240" w:lineRule="auto"/>
              <w:ind w:left="462" w:right="-58" w:hanging="453"/>
              <w:jc w:val="left"/>
              <w:rPr>
                <w:sz w:val="18"/>
              </w:rPr>
            </w:pPr>
            <w:r>
              <w:rPr>
                <w:sz w:val="18"/>
              </w:rPr>
              <w:t xml:space="preserve">特种设备定期自行检查记录和定期检验报告； </w:t>
            </w:r>
          </w:p>
          <w:p>
            <w:pPr>
              <w:pStyle w:val="TableParagraph"/>
              <w:numPr>
                <w:ilvl w:val="0"/>
                <w:numId w:val="19"/>
              </w:numPr>
              <w:tabs>
                <w:tab w:val="left" w:pos="469"/>
              </w:tabs>
              <w:spacing w:before="82" w:after="0" w:line="324" w:lineRule="auto"/>
              <w:ind w:left="9" w:right="-15" w:firstLine="0"/>
              <w:jc w:val="left"/>
              <w:rPr>
                <w:sz w:val="18"/>
              </w:rPr>
            </w:pPr>
            <w:r>
              <w:rPr>
                <w:sz w:val="18"/>
              </w:rPr>
              <w:t xml:space="preserve">特种设备日常使用状况记录、特种设备及其附属仪器仪表维护保养记录； </w:t>
            </w:r>
          </w:p>
          <w:p>
            <w:pPr>
              <w:pStyle w:val="TableParagraph"/>
              <w:numPr>
                <w:ilvl w:val="0"/>
                <w:numId w:val="19"/>
              </w:numPr>
              <w:tabs>
                <w:tab w:val="left" w:pos="462"/>
              </w:tabs>
              <w:spacing w:before="1" w:after="0" w:line="326" w:lineRule="auto"/>
              <w:ind w:left="9" w:right="-101" w:firstLine="0"/>
              <w:jc w:val="left"/>
              <w:rPr>
                <w:sz w:val="18"/>
              </w:rPr>
            </w:pPr>
            <w:r>
              <w:rPr>
                <w:spacing w:val="-3"/>
                <w:sz w:val="18"/>
              </w:rPr>
              <w:t>特种设备安全附件和安全保护装置校验、检修</w:t>
            </w:r>
            <w:r>
              <w:rPr>
                <w:spacing w:val="-4"/>
                <w:sz w:val="18"/>
              </w:rPr>
              <w:t xml:space="preserve">、更换记录和报告； </w:t>
            </w:r>
          </w:p>
          <w:p>
            <w:pPr>
              <w:pStyle w:val="TableParagraph"/>
              <w:numPr>
                <w:ilvl w:val="0"/>
                <w:numId w:val="19"/>
              </w:numPr>
              <w:tabs>
                <w:tab w:val="left" w:pos="462"/>
              </w:tabs>
              <w:spacing w:before="0" w:after="0" w:line="228" w:lineRule="exact"/>
              <w:ind w:left="462" w:right="-101" w:hanging="453"/>
              <w:jc w:val="left"/>
              <w:rPr>
                <w:sz w:val="18"/>
              </w:rPr>
            </w:pPr>
            <w:r>
              <w:rPr>
                <w:spacing w:val="-1"/>
                <w:sz w:val="18"/>
              </w:rPr>
              <w:t>特种设备运行故障和事故记录及事故处理报告</w:t>
            </w:r>
            <w:r>
              <w:rPr>
                <w:spacing w:val="-15"/>
                <w:sz w:val="18"/>
              </w:rPr>
              <w:t>；</w:t>
            </w:r>
          </w:p>
          <w:p>
            <w:pPr>
              <w:pStyle w:val="TableParagraph"/>
              <w:numPr>
                <w:ilvl w:val="0"/>
                <w:numId w:val="19"/>
              </w:numPr>
              <w:tabs>
                <w:tab w:val="left" w:pos="469"/>
              </w:tabs>
              <w:spacing w:before="81" w:after="0" w:line="324" w:lineRule="auto"/>
              <w:ind w:left="9" w:right="-15" w:firstLine="0"/>
              <w:jc w:val="left"/>
              <w:rPr>
                <w:sz w:val="18"/>
              </w:rPr>
            </w:pPr>
            <w:r>
              <w:rPr>
                <w:sz w:val="18"/>
              </w:rPr>
              <w:t xml:space="preserve">气瓶充装单位的气瓶档案和气瓶信息化管理系统； </w:t>
            </w:r>
          </w:p>
          <w:p>
            <w:pPr>
              <w:pStyle w:val="TableParagraph"/>
              <w:numPr>
                <w:ilvl w:val="0"/>
                <w:numId w:val="19"/>
              </w:numPr>
              <w:tabs>
                <w:tab w:val="left" w:pos="462"/>
              </w:tabs>
              <w:spacing w:before="2" w:after="0" w:line="240" w:lineRule="auto"/>
              <w:ind w:left="462" w:right="0" w:hanging="453"/>
              <w:jc w:val="left"/>
              <w:rPr>
                <w:sz w:val="18"/>
              </w:rPr>
            </w:pPr>
            <w:r>
              <w:rPr>
                <w:sz w:val="18"/>
              </w:rPr>
              <w:t xml:space="preserve">锅炉能效测试报告及节能改造技术资料。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201" w:right="91"/>
              <w:jc w:val="center"/>
              <w:rPr>
                <w:sz w:val="18"/>
              </w:rPr>
            </w:pPr>
            <w:r>
              <w:rPr>
                <w:sz w:val="18"/>
              </w:rPr>
              <w:t xml:space="preserve">18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
              <w:rPr>
                <w:sz w:val="22"/>
              </w:rPr>
            </w:pPr>
          </w:p>
          <w:p>
            <w:pPr>
              <w:pStyle w:val="TableParagraph"/>
              <w:spacing w:line="324" w:lineRule="auto"/>
              <w:ind w:left="12" w:right="-29" w:firstLine="180"/>
              <w:jc w:val="both"/>
              <w:rPr>
                <w:sz w:val="18"/>
              </w:rPr>
            </w:pPr>
            <w:r>
              <w:rPr>
                <w:sz w:val="18"/>
              </w:rPr>
              <w:t xml:space="preserve">档案齐全得18 分，每缺1项扣4 分，扣完为止； 当缺失某一类特种设备档案，或某段时间内特种设备档案时，扣18分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111"/>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117"/>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06"/>
          <w:jc w:val="left"/>
        </w:trPr>
        <w:tc>
          <w:tcPr>
            <w:tcW w:w="557" w:type="dxa"/>
            <w:tcBorders>
              <w:top w:val="single" w:sz="4" w:space="0" w:color="000000"/>
              <w:right w:val="single" w:sz="4" w:space="0" w:color="000000"/>
            </w:tcBorders>
          </w:tcPr>
          <w:p>
            <w:pPr>
              <w:pStyle w:val="TableParagraph"/>
              <w:spacing w:before="33"/>
              <w:ind w:left="126" w:right="12"/>
              <w:jc w:val="center"/>
              <w:rPr>
                <w:sz w:val="18"/>
              </w:rPr>
            </w:pPr>
            <w:r>
              <w:rPr>
                <w:sz w:val="18"/>
              </w:rPr>
              <w:t xml:space="preserve">9 </w:t>
            </w:r>
          </w:p>
        </w:tc>
        <w:tc>
          <w:tcPr>
            <w:tcW w:w="1135" w:type="dxa"/>
            <w:vMerge/>
            <w:tcBorders>
              <w:top w:val="nil"/>
              <w:left w:val="single" w:sz="4" w:space="0" w:color="000000"/>
              <w:right w:val="single" w:sz="4" w:space="0" w:color="000000"/>
            </w:tcBorders>
          </w:tcPr>
          <w:p>
            <w:pPr>
              <w:rPr>
                <w:sz w:val="2"/>
                <w:szCs w:val="2"/>
              </w:rPr>
            </w:pPr>
          </w:p>
        </w:tc>
        <w:tc>
          <w:tcPr>
            <w:tcW w:w="4112" w:type="dxa"/>
            <w:tcBorders>
              <w:top w:val="single" w:sz="4" w:space="0" w:color="000000"/>
              <w:left w:val="single" w:sz="4" w:space="0" w:color="000000"/>
              <w:right w:val="single" w:sz="4" w:space="0" w:color="000000"/>
            </w:tcBorders>
          </w:tcPr>
          <w:p>
            <w:pPr>
              <w:pStyle w:val="TableParagraph"/>
              <w:spacing w:before="33"/>
              <w:ind w:left="189"/>
              <w:rPr>
                <w:sz w:val="18"/>
              </w:rPr>
            </w:pPr>
            <w:r>
              <w:rPr>
                <w:sz w:val="18"/>
              </w:rPr>
              <w:t xml:space="preserve">应建立特种设备、安全附件和作业人员台帐 </w:t>
            </w:r>
          </w:p>
        </w:tc>
        <w:tc>
          <w:tcPr>
            <w:tcW w:w="708" w:type="dxa"/>
            <w:tcBorders>
              <w:top w:val="single" w:sz="4" w:space="0" w:color="000000"/>
              <w:left w:val="single" w:sz="4" w:space="0" w:color="000000"/>
              <w:right w:val="single" w:sz="4" w:space="0" w:color="000000"/>
            </w:tcBorders>
          </w:tcPr>
          <w:p>
            <w:pPr>
              <w:pStyle w:val="TableParagraph"/>
              <w:spacing w:before="33"/>
              <w:ind w:left="201" w:right="93"/>
              <w:jc w:val="center"/>
              <w:rPr>
                <w:sz w:val="18"/>
              </w:rPr>
            </w:pPr>
            <w:r>
              <w:rPr>
                <w:sz w:val="18"/>
              </w:rPr>
              <w:t xml:space="preserve">2 </w:t>
            </w:r>
          </w:p>
        </w:tc>
        <w:tc>
          <w:tcPr>
            <w:tcW w:w="1277" w:type="dxa"/>
            <w:tcBorders>
              <w:top w:val="single" w:sz="4" w:space="0" w:color="000000"/>
              <w:left w:val="single" w:sz="4" w:space="0" w:color="000000"/>
              <w:right w:val="single" w:sz="4" w:space="0" w:color="000000"/>
            </w:tcBorders>
          </w:tcPr>
          <w:p>
            <w:pPr>
              <w:pStyle w:val="TableParagraph"/>
              <w:spacing w:before="33"/>
              <w:ind w:left="125" w:right="13"/>
              <w:jc w:val="center"/>
              <w:rPr>
                <w:sz w:val="18"/>
              </w:rPr>
            </w:pPr>
            <w:r>
              <w:rPr>
                <w:sz w:val="18"/>
              </w:rPr>
              <w:t xml:space="preserve">不符合扣2分 </w:t>
            </w:r>
          </w:p>
        </w:tc>
        <w:tc>
          <w:tcPr>
            <w:tcW w:w="566" w:type="dxa"/>
            <w:tcBorders>
              <w:top w:val="single" w:sz="4" w:space="0" w:color="000000"/>
              <w:left w:val="single" w:sz="4" w:space="0" w:color="000000"/>
              <w:right w:val="single" w:sz="4" w:space="0" w:color="000000"/>
            </w:tcBorders>
          </w:tcPr>
          <w:p>
            <w:pPr>
              <w:pStyle w:val="TableParagraph"/>
              <w:spacing w:before="33"/>
              <w:ind w:left="111"/>
              <w:jc w:val="center"/>
              <w:rPr>
                <w:sz w:val="18"/>
              </w:rPr>
            </w:pPr>
            <w:r>
              <w:rPr>
                <w:sz w:val="18"/>
              </w:rPr>
              <w:t xml:space="preserve"> </w:t>
            </w:r>
          </w:p>
        </w:tc>
        <w:tc>
          <w:tcPr>
            <w:tcW w:w="979" w:type="dxa"/>
            <w:tcBorders>
              <w:top w:val="single" w:sz="4" w:space="0" w:color="000000"/>
              <w:left w:val="single" w:sz="4" w:space="0" w:color="000000"/>
            </w:tcBorders>
          </w:tcPr>
          <w:p>
            <w:pPr>
              <w:pStyle w:val="TableParagraph"/>
              <w:spacing w:before="33"/>
              <w:ind w:left="117"/>
              <w:jc w:val="center"/>
              <w:rPr>
                <w:sz w:val="18"/>
              </w:rPr>
            </w:pPr>
            <w:r>
              <w:rPr>
                <w:sz w:val="18"/>
              </w:rPr>
              <w:t xml:space="preserve"> </w:t>
            </w:r>
          </w:p>
        </w:tc>
      </w:tr>
    </w:tbl>
    <w:p>
      <w:pPr>
        <w:pStyle w:val="BodyText"/>
        <w:spacing w:before="23"/>
        <w:ind w:left="132"/>
      </w:pPr>
      <w:r>
        <w:rPr>
          <w:w w:val="100"/>
        </w:rPr>
        <w:t xml:space="preserve"> </w:t>
      </w:r>
    </w:p>
    <w:p>
      <w:pPr>
        <w:spacing w:after="0"/>
        <w:sectPr>
          <w:headerReference w:type="even" r:id="rId33"/>
          <w:headerReference w:type="default" r:id="rId34"/>
          <w:footerReference w:type="even" r:id="rId35"/>
          <w:footerReference w:type="default" r:id="rId36"/>
          <w:pgSz w:w="11910" w:h="16840"/>
          <w:pgMar w:top="1640" w:right="720" w:bottom="1340" w:left="1000" w:header="1448" w:footer="1141"/>
          <w:pgNumType w:start="6"/>
          <w:cols w:space="708"/>
        </w:sectPr>
      </w:pPr>
    </w:p>
    <w:p>
      <w:pPr>
        <w:pStyle w:val="BodyText"/>
        <w:spacing w:before="1"/>
        <w:rPr>
          <w:sz w:val="17"/>
        </w:rPr>
      </w:pPr>
    </w:p>
    <w:p>
      <w:pPr>
        <w:pStyle w:val="BodyText"/>
        <w:spacing w:before="72"/>
        <w:ind w:left="5"/>
        <w:jc w:val="center"/>
      </w:pPr>
      <w:r>
        <w:rPr>
          <w:rFonts w:ascii="黑体" w:eastAsia="黑体" w:hint="eastAsia"/>
        </w:rPr>
        <w:t>表A.1 特种设备使用单位安全管理评价表</w:t>
      </w:r>
      <w:r>
        <w:t>（续）</w:t>
      </w:r>
    </w:p>
    <w:p>
      <w:pPr>
        <w:pStyle w:val="BodyText"/>
        <w:spacing w:before="9" w:after="1"/>
        <w:rPr>
          <w:sz w:val="13"/>
        </w:rPr>
      </w:pPr>
    </w:p>
    <w:tbl>
      <w:tblPr>
        <w:tblStyle w:val="TableNormal2"/>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57"/>
        <w:gridCol w:w="1135"/>
        <w:gridCol w:w="4112"/>
        <w:gridCol w:w="708"/>
        <w:gridCol w:w="1277"/>
        <w:gridCol w:w="566"/>
        <w:gridCol w:w="979"/>
      </w:tblGrid>
      <w:tr>
        <w:tblPrEx>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557" w:type="dxa"/>
            <w:tcBorders>
              <w:right w:val="single" w:sz="4" w:space="0" w:color="000000"/>
            </w:tcBorders>
          </w:tcPr>
          <w:p>
            <w:pPr>
              <w:pStyle w:val="TableParagraph"/>
              <w:spacing w:before="40"/>
              <w:ind w:left="127" w:right="12"/>
              <w:jc w:val="center"/>
              <w:rPr>
                <w:sz w:val="18"/>
              </w:rPr>
            </w:pPr>
            <w:r>
              <w:rPr>
                <w:sz w:val="18"/>
              </w:rPr>
              <w:t xml:space="preserve">序号 </w:t>
            </w:r>
          </w:p>
        </w:tc>
        <w:tc>
          <w:tcPr>
            <w:tcW w:w="1135" w:type="dxa"/>
            <w:tcBorders>
              <w:left w:val="single" w:sz="4" w:space="0" w:color="000000"/>
              <w:right w:val="single" w:sz="4" w:space="0" w:color="000000"/>
            </w:tcBorders>
          </w:tcPr>
          <w:p>
            <w:pPr>
              <w:pStyle w:val="TableParagraph"/>
              <w:spacing w:before="40"/>
              <w:ind w:left="390"/>
              <w:rPr>
                <w:sz w:val="18"/>
              </w:rPr>
            </w:pPr>
            <w:r>
              <w:rPr>
                <w:sz w:val="18"/>
              </w:rPr>
              <w:t xml:space="preserve">项目 </w:t>
            </w:r>
          </w:p>
        </w:tc>
        <w:tc>
          <w:tcPr>
            <w:tcW w:w="4112" w:type="dxa"/>
            <w:tcBorders>
              <w:left w:val="single" w:sz="4" w:space="0" w:color="000000"/>
              <w:right w:val="single" w:sz="4" w:space="0" w:color="000000"/>
            </w:tcBorders>
          </w:tcPr>
          <w:p>
            <w:pPr>
              <w:pStyle w:val="TableParagraph"/>
              <w:spacing w:before="40"/>
              <w:ind w:left="1259" w:right="1152"/>
              <w:jc w:val="center"/>
              <w:rPr>
                <w:sz w:val="18"/>
              </w:rPr>
            </w:pPr>
            <w:r>
              <w:rPr>
                <w:sz w:val="18"/>
              </w:rPr>
              <w:t xml:space="preserve">评价内容 </w:t>
            </w:r>
          </w:p>
        </w:tc>
        <w:tc>
          <w:tcPr>
            <w:tcW w:w="708" w:type="dxa"/>
            <w:tcBorders>
              <w:left w:val="single" w:sz="4" w:space="0" w:color="000000"/>
              <w:right w:val="single" w:sz="4" w:space="0" w:color="000000"/>
            </w:tcBorders>
          </w:tcPr>
          <w:p>
            <w:pPr>
              <w:pStyle w:val="TableParagraph"/>
              <w:spacing w:before="40"/>
              <w:ind w:left="177"/>
              <w:rPr>
                <w:sz w:val="18"/>
              </w:rPr>
            </w:pPr>
            <w:r>
              <w:rPr>
                <w:sz w:val="18"/>
              </w:rPr>
              <w:t xml:space="preserve">分值 </w:t>
            </w:r>
          </w:p>
        </w:tc>
        <w:tc>
          <w:tcPr>
            <w:tcW w:w="1277" w:type="dxa"/>
            <w:tcBorders>
              <w:left w:val="single" w:sz="4" w:space="0" w:color="000000"/>
              <w:right w:val="single" w:sz="4" w:space="0" w:color="000000"/>
            </w:tcBorders>
          </w:tcPr>
          <w:p>
            <w:pPr>
              <w:pStyle w:val="TableParagraph"/>
              <w:spacing w:before="40"/>
              <w:ind w:left="283"/>
              <w:rPr>
                <w:sz w:val="18"/>
              </w:rPr>
            </w:pPr>
            <w:r>
              <w:rPr>
                <w:sz w:val="18"/>
              </w:rPr>
              <w:t xml:space="preserve">评分细则 </w:t>
            </w:r>
          </w:p>
        </w:tc>
        <w:tc>
          <w:tcPr>
            <w:tcW w:w="566" w:type="dxa"/>
            <w:tcBorders>
              <w:left w:val="single" w:sz="4" w:space="0" w:color="000000"/>
              <w:right w:val="single" w:sz="4" w:space="0" w:color="000000"/>
            </w:tcBorders>
          </w:tcPr>
          <w:p>
            <w:pPr>
              <w:pStyle w:val="TableParagraph"/>
              <w:spacing w:before="40"/>
              <w:ind w:left="138" w:right="15"/>
              <w:jc w:val="center"/>
              <w:rPr>
                <w:sz w:val="18"/>
              </w:rPr>
            </w:pPr>
            <w:r>
              <w:rPr>
                <w:sz w:val="18"/>
              </w:rPr>
              <w:t xml:space="preserve">扣分 </w:t>
            </w:r>
          </w:p>
        </w:tc>
        <w:tc>
          <w:tcPr>
            <w:tcW w:w="979" w:type="dxa"/>
            <w:tcBorders>
              <w:left w:val="single" w:sz="4" w:space="0" w:color="000000"/>
            </w:tcBorders>
          </w:tcPr>
          <w:p>
            <w:pPr>
              <w:pStyle w:val="TableParagraph"/>
              <w:spacing w:before="40"/>
              <w:ind w:left="154" w:right="43"/>
              <w:jc w:val="center"/>
              <w:rPr>
                <w:sz w:val="18"/>
              </w:rPr>
            </w:pPr>
            <w:r>
              <w:rPr>
                <w:sz w:val="18"/>
              </w:rPr>
              <w:t xml:space="preserve">存在问题 </w:t>
            </w:r>
          </w:p>
        </w:tc>
      </w:tr>
      <w:tr>
        <w:tblPrEx>
          <w:tblW w:w="0" w:type="auto"/>
          <w:jc w:val="left"/>
          <w:tblInd w:w="438" w:type="dxa"/>
          <w:tblLayout w:type="fixed"/>
          <w:tblCellMar>
            <w:top w:w="0" w:type="dxa"/>
            <w:left w:w="0" w:type="dxa"/>
            <w:bottom w:w="0" w:type="dxa"/>
            <w:right w:w="0" w:type="dxa"/>
          </w:tblCellMar>
          <w:tblLook w:val="01E0"/>
        </w:tblPrEx>
        <w:trPr>
          <w:trHeight w:val="1247"/>
          <w:jc w:val="left"/>
        </w:trPr>
        <w:tc>
          <w:tcPr>
            <w:tcW w:w="557" w:type="dxa"/>
            <w:tcBorders>
              <w:bottom w:val="single" w:sz="4" w:space="0" w:color="000000"/>
              <w:right w:val="single" w:sz="4" w:space="0" w:color="000000"/>
            </w:tcBorders>
          </w:tcPr>
          <w:p>
            <w:pPr>
              <w:pStyle w:val="TableParagraph"/>
              <w:rPr>
                <w:sz w:val="18"/>
              </w:rPr>
            </w:pPr>
          </w:p>
          <w:p>
            <w:pPr>
              <w:pStyle w:val="TableParagraph"/>
              <w:spacing w:before="6"/>
              <w:rPr>
                <w:sz w:val="21"/>
              </w:rPr>
            </w:pPr>
          </w:p>
          <w:p>
            <w:pPr>
              <w:pStyle w:val="TableParagraph"/>
              <w:ind w:left="118" w:right="12"/>
              <w:jc w:val="center"/>
              <w:rPr>
                <w:sz w:val="18"/>
              </w:rPr>
            </w:pPr>
            <w:r>
              <w:rPr>
                <w:sz w:val="18"/>
              </w:rPr>
              <w:t xml:space="preserve">10 </w:t>
            </w:r>
          </w:p>
        </w:tc>
        <w:tc>
          <w:tcPr>
            <w:tcW w:w="1135" w:type="dxa"/>
            <w:vMerge w:val="restart"/>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
              <w:rPr>
                <w:sz w:val="16"/>
              </w:rPr>
            </w:pPr>
          </w:p>
          <w:p>
            <w:pPr>
              <w:pStyle w:val="TableParagraph"/>
              <w:ind w:left="210"/>
              <w:rPr>
                <w:sz w:val="18"/>
              </w:rPr>
            </w:pPr>
            <w:r>
              <w:rPr>
                <w:sz w:val="18"/>
              </w:rPr>
              <w:t xml:space="preserve">应急管理 </w:t>
            </w:r>
          </w:p>
        </w:tc>
        <w:tc>
          <w:tcPr>
            <w:tcW w:w="4112" w:type="dxa"/>
            <w:tcBorders>
              <w:left w:val="single" w:sz="4" w:space="0" w:color="000000"/>
              <w:bottom w:val="single" w:sz="4" w:space="0" w:color="000000"/>
              <w:right w:val="single" w:sz="4" w:space="0" w:color="000000"/>
            </w:tcBorders>
          </w:tcPr>
          <w:p>
            <w:pPr>
              <w:pStyle w:val="TableParagraph"/>
              <w:spacing w:before="38" w:line="324" w:lineRule="auto"/>
              <w:ind w:left="9" w:right="-29" w:firstLine="180"/>
              <w:jc w:val="both"/>
              <w:rPr>
                <w:sz w:val="18"/>
              </w:rPr>
            </w:pPr>
            <w:r>
              <w:rPr>
                <w:spacing w:val="6"/>
                <w:sz w:val="18"/>
              </w:rPr>
              <w:t>要求设置特种设备安全管理机构和配备专职安全</w:t>
            </w:r>
            <w:r>
              <w:rPr>
                <w:spacing w:val="3"/>
                <w:sz w:val="18"/>
              </w:rPr>
              <w:t>管理员的使用单位应制定特种设备事故应急专项预</w:t>
            </w:r>
            <w:r>
              <w:rPr>
                <w:spacing w:val="-6"/>
                <w:sz w:val="18"/>
              </w:rPr>
              <w:t>案，每年至少演练一次并记录</w:t>
            </w:r>
            <w:r>
              <w:rPr>
                <w:sz w:val="18"/>
              </w:rPr>
              <w:t>（其中大型游乐设施每</w:t>
            </w:r>
          </w:p>
          <w:p>
            <w:pPr>
              <w:pStyle w:val="TableParagraph"/>
              <w:spacing w:before="2"/>
              <w:ind w:left="9"/>
              <w:rPr>
                <w:sz w:val="18"/>
              </w:rPr>
            </w:pPr>
            <w:r>
              <w:rPr>
                <w:sz w:val="18"/>
              </w:rPr>
              <w:t xml:space="preserve">台每年至少开展一次应急救援演练） </w:t>
            </w:r>
          </w:p>
        </w:tc>
        <w:tc>
          <w:tcPr>
            <w:tcW w:w="708" w:type="dxa"/>
            <w:tcBorders>
              <w:left w:val="single" w:sz="4" w:space="0" w:color="000000"/>
              <w:bottom w:val="single" w:sz="4" w:space="0" w:color="000000"/>
              <w:right w:val="single" w:sz="4" w:space="0" w:color="000000"/>
            </w:tcBorders>
          </w:tcPr>
          <w:p>
            <w:pPr>
              <w:pStyle w:val="TableParagraph"/>
              <w:rPr>
                <w:sz w:val="18"/>
              </w:rPr>
            </w:pPr>
          </w:p>
          <w:p>
            <w:pPr>
              <w:pStyle w:val="TableParagraph"/>
              <w:spacing w:before="6"/>
              <w:rPr>
                <w:sz w:val="21"/>
              </w:rPr>
            </w:pPr>
          </w:p>
          <w:p>
            <w:pPr>
              <w:pStyle w:val="TableParagraph"/>
              <w:ind w:left="311"/>
              <w:rPr>
                <w:sz w:val="18"/>
              </w:rPr>
            </w:pPr>
            <w:r>
              <w:rPr>
                <w:sz w:val="18"/>
              </w:rPr>
              <w:t xml:space="preserve">5 </w:t>
            </w:r>
          </w:p>
        </w:tc>
        <w:tc>
          <w:tcPr>
            <w:tcW w:w="1277" w:type="dxa"/>
            <w:tcBorders>
              <w:left w:val="single" w:sz="4" w:space="0" w:color="000000"/>
              <w:bottom w:val="single" w:sz="4" w:space="0" w:color="000000"/>
              <w:right w:val="single" w:sz="4" w:space="0" w:color="000000"/>
            </w:tcBorders>
          </w:tcPr>
          <w:p>
            <w:pPr>
              <w:pStyle w:val="TableParagraph"/>
              <w:rPr>
                <w:sz w:val="18"/>
              </w:rPr>
            </w:pPr>
          </w:p>
          <w:p>
            <w:pPr>
              <w:pStyle w:val="TableParagraph"/>
              <w:spacing w:before="6"/>
              <w:rPr>
                <w:sz w:val="21"/>
              </w:rPr>
            </w:pPr>
          </w:p>
          <w:p>
            <w:pPr>
              <w:pStyle w:val="TableParagraph"/>
              <w:ind w:right="36"/>
              <w:jc w:val="right"/>
              <w:rPr>
                <w:sz w:val="18"/>
              </w:rPr>
            </w:pPr>
            <w:r>
              <w:rPr>
                <w:sz w:val="18"/>
              </w:rPr>
              <w:t xml:space="preserve">不符合扣5分 </w:t>
            </w:r>
          </w:p>
        </w:tc>
        <w:tc>
          <w:tcPr>
            <w:tcW w:w="566" w:type="dxa"/>
            <w:tcBorders>
              <w:left w:val="single" w:sz="4" w:space="0" w:color="000000"/>
              <w:bottom w:val="single" w:sz="4" w:space="0" w:color="000000"/>
              <w:right w:val="single" w:sz="4" w:space="0" w:color="000000"/>
            </w:tcBorders>
          </w:tcPr>
          <w:p>
            <w:pPr>
              <w:pStyle w:val="TableParagraph"/>
              <w:rPr>
                <w:sz w:val="18"/>
              </w:rPr>
            </w:pPr>
          </w:p>
          <w:p>
            <w:pPr>
              <w:pStyle w:val="TableParagraph"/>
              <w:spacing w:before="6"/>
              <w:rPr>
                <w:sz w:val="21"/>
              </w:rPr>
            </w:pPr>
          </w:p>
          <w:p>
            <w:pPr>
              <w:pStyle w:val="TableParagraph"/>
              <w:ind w:left="110"/>
              <w:jc w:val="center"/>
              <w:rPr>
                <w:sz w:val="18"/>
              </w:rPr>
            </w:pPr>
            <w:r>
              <w:rPr>
                <w:sz w:val="18"/>
              </w:rPr>
              <w:t xml:space="preserve"> </w:t>
            </w:r>
          </w:p>
        </w:tc>
        <w:tc>
          <w:tcPr>
            <w:tcW w:w="979" w:type="dxa"/>
            <w:tcBorders>
              <w:left w:val="single" w:sz="4" w:space="0" w:color="000000"/>
              <w:bottom w:val="single" w:sz="4" w:space="0" w:color="000000"/>
            </w:tcBorders>
          </w:tcPr>
          <w:p>
            <w:pPr>
              <w:pStyle w:val="TableParagraph"/>
              <w:rPr>
                <w:sz w:val="18"/>
              </w:rPr>
            </w:pPr>
          </w:p>
          <w:p>
            <w:pPr>
              <w:pStyle w:val="TableParagraph"/>
              <w:spacing w:before="6"/>
              <w:rPr>
                <w:sz w:val="21"/>
              </w:rPr>
            </w:pPr>
          </w:p>
          <w:p>
            <w:pPr>
              <w:pStyle w:val="TableParagraph"/>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935"/>
          <w:jc w:val="left"/>
        </w:trPr>
        <w:tc>
          <w:tcPr>
            <w:tcW w:w="557"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19"/>
              <w:ind w:left="118" w:right="12"/>
              <w:jc w:val="center"/>
              <w:rPr>
                <w:sz w:val="18"/>
              </w:rPr>
            </w:pPr>
            <w:r>
              <w:rPr>
                <w:sz w:val="18"/>
              </w:rPr>
              <w:t xml:space="preserve">11 </w:t>
            </w:r>
          </w:p>
        </w:tc>
        <w:tc>
          <w:tcPr>
            <w:tcW w:w="1135" w:type="dxa"/>
            <w:vMerge/>
            <w:tcBorders>
              <w:top w:val="nil"/>
              <w:left w:val="single" w:sz="4" w:space="0" w:color="000000"/>
              <w:bottom w:val="single" w:sz="4" w:space="0" w:color="000000"/>
              <w:right w:val="single" w:sz="4" w:space="0" w:color="000000"/>
            </w:tcBorders>
          </w:tcPr>
          <w:p>
            <w:pPr>
              <w:rPr>
                <w:sz w:val="2"/>
                <w:szCs w:val="2"/>
              </w:rPr>
            </w:pP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38"/>
              <w:ind w:left="9" w:right="-29" w:firstLine="180"/>
              <w:rPr>
                <w:sz w:val="18"/>
              </w:rPr>
            </w:pPr>
            <w:r>
              <w:rPr>
                <w:spacing w:val="6"/>
                <w:sz w:val="18"/>
              </w:rPr>
              <w:t>其他使用单位应在综合应急预案中编制特种设备</w:t>
            </w:r>
          </w:p>
          <w:p>
            <w:pPr>
              <w:pStyle w:val="TableParagraph"/>
              <w:spacing w:before="2" w:line="310" w:lineRule="atLeast"/>
              <w:ind w:left="9" w:right="-15"/>
              <w:rPr>
                <w:sz w:val="18"/>
              </w:rPr>
            </w:pPr>
            <w:r>
              <w:rPr>
                <w:spacing w:val="-6"/>
                <w:sz w:val="18"/>
              </w:rPr>
              <w:t>事故应急的内容，适时开展特种设备事故应急演练并</w:t>
            </w:r>
            <w:r>
              <w:rPr>
                <w:sz w:val="18"/>
              </w:rPr>
              <w:t xml:space="preserve">做出记录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left="311"/>
              <w:rPr>
                <w:sz w:val="18"/>
              </w:rPr>
            </w:pPr>
            <w:r>
              <w:rPr>
                <w:sz w:val="18"/>
              </w:rPr>
              <w:t xml:space="preserve">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right="36"/>
              <w:jc w:val="right"/>
              <w:rPr>
                <w:sz w:val="18"/>
              </w:rPr>
            </w:pPr>
            <w:r>
              <w:rPr>
                <w:sz w:val="18"/>
              </w:rPr>
              <w:t xml:space="preserve">不符合扣5分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left="110"/>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19"/>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11"/>
          <w:jc w:val="left"/>
        </w:trPr>
        <w:tc>
          <w:tcPr>
            <w:tcW w:w="557" w:type="dxa"/>
            <w:tcBorders>
              <w:top w:val="single" w:sz="4" w:space="0" w:color="000000"/>
              <w:bottom w:val="single" w:sz="4" w:space="0" w:color="000000"/>
              <w:right w:val="single" w:sz="4" w:space="0" w:color="000000"/>
            </w:tcBorders>
          </w:tcPr>
          <w:p>
            <w:pPr>
              <w:pStyle w:val="TableParagraph"/>
              <w:spacing w:before="38"/>
              <w:ind w:left="118" w:right="12"/>
              <w:jc w:val="center"/>
              <w:rPr>
                <w:sz w:val="18"/>
              </w:rPr>
            </w:pPr>
            <w:r>
              <w:rPr>
                <w:sz w:val="18"/>
              </w:rPr>
              <w:t xml:space="preserve">12 </w:t>
            </w:r>
          </w:p>
        </w:tc>
        <w:tc>
          <w:tcPr>
            <w:tcW w:w="1135" w:type="dxa"/>
            <w:vMerge/>
            <w:tcBorders>
              <w:top w:val="nil"/>
              <w:left w:val="single" w:sz="4" w:space="0" w:color="000000"/>
              <w:bottom w:val="single" w:sz="4" w:space="0" w:color="000000"/>
              <w:right w:val="single" w:sz="4" w:space="0" w:color="000000"/>
            </w:tcBorders>
          </w:tcPr>
          <w:p>
            <w:pPr>
              <w:rPr>
                <w:sz w:val="2"/>
                <w:szCs w:val="2"/>
              </w:rPr>
            </w:pP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38"/>
              <w:ind w:left="189"/>
              <w:rPr>
                <w:sz w:val="18"/>
              </w:rPr>
            </w:pPr>
            <w:r>
              <w:rPr>
                <w:sz w:val="18"/>
              </w:rPr>
              <w:t xml:space="preserve">应配备相应应急救援装备设施和工具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38"/>
              <w:ind w:left="268"/>
              <w:rPr>
                <w:sz w:val="18"/>
              </w:rPr>
            </w:pPr>
            <w:r>
              <w:rPr>
                <w:sz w:val="18"/>
              </w:rPr>
              <w:t xml:space="preserve">10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38"/>
              <w:ind w:right="-15"/>
              <w:jc w:val="right"/>
              <w:rPr>
                <w:sz w:val="18"/>
              </w:rPr>
            </w:pPr>
            <w:r>
              <w:rPr>
                <w:sz w:val="18"/>
              </w:rPr>
              <w:t xml:space="preserve">不符合扣10分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38"/>
              <w:ind w:left="110"/>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spacing w:before="38"/>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12"/>
          <w:jc w:val="left"/>
        </w:trPr>
        <w:tc>
          <w:tcPr>
            <w:tcW w:w="5804" w:type="dxa"/>
            <w:gridSpan w:val="3"/>
            <w:tcBorders>
              <w:top w:val="single" w:sz="4" w:space="0" w:color="000000"/>
              <w:bottom w:val="single" w:sz="4" w:space="0" w:color="000000"/>
              <w:right w:val="single" w:sz="4" w:space="0" w:color="000000"/>
            </w:tcBorders>
          </w:tcPr>
          <w:p>
            <w:pPr>
              <w:pStyle w:val="TableParagraph"/>
              <w:spacing w:before="39"/>
              <w:ind w:left="2743" w:right="2639"/>
              <w:jc w:val="center"/>
              <w:rPr>
                <w:sz w:val="18"/>
              </w:rPr>
            </w:pPr>
            <w:r>
              <w:rPr>
                <w:sz w:val="18"/>
              </w:rPr>
              <w:t xml:space="preserve">合计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39"/>
              <w:ind w:left="223"/>
              <w:rPr>
                <w:sz w:val="18"/>
              </w:rPr>
            </w:pPr>
            <w:r>
              <w:rPr>
                <w:sz w:val="18"/>
              </w:rPr>
              <w:t xml:space="preserve">100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39"/>
              <w:ind w:left="109"/>
              <w:jc w:val="center"/>
              <w:rPr>
                <w:sz w:val="18"/>
              </w:rPr>
            </w:pPr>
            <w:r>
              <w:rPr>
                <w:sz w:val="18"/>
              </w:rPr>
              <w:t xml:space="preserve">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39"/>
              <w:ind w:left="110"/>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spacing w:before="39"/>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25"/>
          <w:jc w:val="left"/>
        </w:trPr>
        <w:tc>
          <w:tcPr>
            <w:tcW w:w="557" w:type="dxa"/>
            <w:tcBorders>
              <w:top w:val="single" w:sz="4" w:space="0" w:color="000000"/>
              <w:bottom w:val="single" w:sz="4" w:space="0" w:color="000000"/>
              <w:right w:val="single" w:sz="4" w:space="0" w:color="000000"/>
            </w:tcBorders>
          </w:tcPr>
          <w:p>
            <w:pPr>
              <w:pStyle w:val="TableParagraph"/>
              <w:spacing w:before="4"/>
              <w:rPr>
                <w:sz w:val="15"/>
              </w:rPr>
            </w:pPr>
          </w:p>
          <w:p>
            <w:pPr>
              <w:pStyle w:val="TableParagraph"/>
              <w:ind w:left="118" w:right="12"/>
              <w:jc w:val="center"/>
              <w:rPr>
                <w:sz w:val="18"/>
              </w:rPr>
            </w:pPr>
            <w:r>
              <w:rPr>
                <w:sz w:val="18"/>
              </w:rPr>
              <w:t xml:space="preserve">13 </w:t>
            </w:r>
          </w:p>
        </w:tc>
        <w:tc>
          <w:tcPr>
            <w:tcW w:w="1135"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22"/>
              </w:rPr>
            </w:pPr>
          </w:p>
          <w:p>
            <w:pPr>
              <w:pStyle w:val="TableParagraph"/>
              <w:spacing w:before="1"/>
              <w:ind w:left="299"/>
              <w:rPr>
                <w:sz w:val="18"/>
              </w:rPr>
            </w:pPr>
            <w:r>
              <w:rPr>
                <w:sz w:val="18"/>
              </w:rPr>
              <w:t xml:space="preserve">加分项 </w:t>
            </w: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40"/>
              <w:ind w:left="189" w:right="-15"/>
              <w:rPr>
                <w:sz w:val="18"/>
              </w:rPr>
            </w:pPr>
            <w:r>
              <w:rPr>
                <w:spacing w:val="-6"/>
                <w:sz w:val="18"/>
              </w:rPr>
              <w:t>推广应用在线监测、动态信息化采集等先进技术和</w:t>
            </w:r>
          </w:p>
          <w:p>
            <w:pPr>
              <w:pStyle w:val="TableParagraph"/>
              <w:spacing w:before="82"/>
              <w:ind w:left="9"/>
              <w:rPr>
                <w:sz w:val="18"/>
              </w:rPr>
            </w:pPr>
            <w:r>
              <w:rPr>
                <w:sz w:val="18"/>
              </w:rPr>
              <w:t xml:space="preserve">先进管理方法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4"/>
              <w:rPr>
                <w:sz w:val="15"/>
              </w:rPr>
            </w:pPr>
          </w:p>
          <w:p>
            <w:pPr>
              <w:pStyle w:val="TableParagraph"/>
              <w:ind w:left="223"/>
              <w:rPr>
                <w:sz w:val="18"/>
              </w:rPr>
            </w:pPr>
            <w:r>
              <w:rPr>
                <w:sz w:val="18"/>
              </w:rPr>
              <w:t xml:space="preserve">2.5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40"/>
              <w:ind w:left="9"/>
              <w:rPr>
                <w:sz w:val="18"/>
              </w:rPr>
            </w:pPr>
            <w:r>
              <w:rPr>
                <w:sz w:val="18"/>
              </w:rPr>
              <w:t xml:space="preserve">是：2.5分； </w:t>
            </w:r>
          </w:p>
          <w:p>
            <w:pPr>
              <w:pStyle w:val="TableParagraph"/>
              <w:spacing w:before="82"/>
              <w:ind w:left="9"/>
              <w:rPr>
                <w:sz w:val="18"/>
              </w:rPr>
            </w:pPr>
            <w:r>
              <w:rPr>
                <w:sz w:val="18"/>
              </w:rPr>
              <w:t xml:space="preserve">否：0分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4"/>
              <w:rPr>
                <w:sz w:val="15"/>
              </w:rPr>
            </w:pPr>
          </w:p>
          <w:p>
            <w:pPr>
              <w:pStyle w:val="TableParagraph"/>
              <w:ind w:left="110"/>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spacing w:before="4"/>
              <w:rPr>
                <w:sz w:val="15"/>
              </w:rPr>
            </w:pPr>
          </w:p>
          <w:p>
            <w:pPr>
              <w:pStyle w:val="TableParagraph"/>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23"/>
          <w:jc w:val="left"/>
        </w:trPr>
        <w:tc>
          <w:tcPr>
            <w:tcW w:w="557" w:type="dxa"/>
            <w:tcBorders>
              <w:top w:val="single" w:sz="4" w:space="0" w:color="000000"/>
              <w:bottom w:val="single" w:sz="4" w:space="0" w:color="000000"/>
              <w:right w:val="single" w:sz="4" w:space="0" w:color="000000"/>
            </w:tcBorders>
          </w:tcPr>
          <w:p>
            <w:pPr>
              <w:pStyle w:val="TableParagraph"/>
              <w:spacing w:before="2"/>
              <w:rPr>
                <w:sz w:val="15"/>
              </w:rPr>
            </w:pPr>
          </w:p>
          <w:p>
            <w:pPr>
              <w:pStyle w:val="TableParagraph"/>
              <w:ind w:left="118" w:right="12"/>
              <w:jc w:val="center"/>
              <w:rPr>
                <w:sz w:val="18"/>
              </w:rPr>
            </w:pPr>
            <w:r>
              <w:rPr>
                <w:sz w:val="18"/>
              </w:rPr>
              <w:t xml:space="preserve">14 </w:t>
            </w:r>
          </w:p>
        </w:tc>
        <w:tc>
          <w:tcPr>
            <w:tcW w:w="1135" w:type="dxa"/>
            <w:vMerge/>
            <w:tcBorders>
              <w:top w:val="nil"/>
              <w:left w:val="single" w:sz="4" w:space="0" w:color="000000"/>
              <w:bottom w:val="single" w:sz="4" w:space="0" w:color="000000"/>
              <w:right w:val="single" w:sz="4" w:space="0" w:color="000000"/>
            </w:tcBorders>
          </w:tcPr>
          <w:p>
            <w:pPr>
              <w:rPr>
                <w:sz w:val="2"/>
                <w:szCs w:val="2"/>
              </w:rPr>
            </w:pP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2"/>
              <w:rPr>
                <w:sz w:val="15"/>
              </w:rPr>
            </w:pPr>
          </w:p>
          <w:p>
            <w:pPr>
              <w:pStyle w:val="TableParagraph"/>
              <w:ind w:left="189"/>
              <w:rPr>
                <w:sz w:val="18"/>
              </w:rPr>
            </w:pPr>
            <w:r>
              <w:rPr>
                <w:sz w:val="18"/>
              </w:rPr>
              <w:t xml:space="preserve">投保特种设备安全责任保险 </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2"/>
              <w:rPr>
                <w:sz w:val="15"/>
              </w:rPr>
            </w:pPr>
          </w:p>
          <w:p>
            <w:pPr>
              <w:pStyle w:val="TableParagraph"/>
              <w:ind w:left="223"/>
              <w:rPr>
                <w:sz w:val="18"/>
              </w:rPr>
            </w:pPr>
            <w:r>
              <w:rPr>
                <w:sz w:val="18"/>
              </w:rPr>
              <w:t xml:space="preserve">2.5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38"/>
              <w:ind w:left="9"/>
              <w:rPr>
                <w:sz w:val="18"/>
              </w:rPr>
            </w:pPr>
            <w:r>
              <w:rPr>
                <w:sz w:val="18"/>
              </w:rPr>
              <w:t xml:space="preserve">是：2.5分； </w:t>
            </w:r>
          </w:p>
          <w:p>
            <w:pPr>
              <w:pStyle w:val="TableParagraph"/>
              <w:spacing w:before="81"/>
              <w:ind w:left="9"/>
              <w:rPr>
                <w:sz w:val="18"/>
              </w:rPr>
            </w:pPr>
            <w:r>
              <w:rPr>
                <w:sz w:val="18"/>
              </w:rPr>
              <w:t xml:space="preserve">否：0分 </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2"/>
              <w:rPr>
                <w:sz w:val="15"/>
              </w:rPr>
            </w:pPr>
          </w:p>
          <w:p>
            <w:pPr>
              <w:pStyle w:val="TableParagraph"/>
              <w:ind w:left="110"/>
              <w:jc w:val="center"/>
              <w:rPr>
                <w:sz w:val="18"/>
              </w:rPr>
            </w:pPr>
            <w:r>
              <w:rPr>
                <w:sz w:val="18"/>
              </w:rPr>
              <w:t xml:space="preserve"> </w:t>
            </w:r>
          </w:p>
        </w:tc>
        <w:tc>
          <w:tcPr>
            <w:tcW w:w="979" w:type="dxa"/>
            <w:tcBorders>
              <w:top w:val="single" w:sz="4" w:space="0" w:color="000000"/>
              <w:left w:val="single" w:sz="4" w:space="0" w:color="000000"/>
              <w:bottom w:val="single" w:sz="4" w:space="0" w:color="000000"/>
            </w:tcBorders>
          </w:tcPr>
          <w:p>
            <w:pPr>
              <w:pStyle w:val="TableParagraph"/>
              <w:spacing w:before="2"/>
              <w:rPr>
                <w:sz w:val="15"/>
              </w:rPr>
            </w:pPr>
          </w:p>
          <w:p>
            <w:pPr>
              <w:pStyle w:val="TableParagraph"/>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11"/>
          <w:jc w:val="left"/>
        </w:trPr>
        <w:tc>
          <w:tcPr>
            <w:tcW w:w="5804" w:type="dxa"/>
            <w:gridSpan w:val="3"/>
            <w:tcBorders>
              <w:top w:val="single" w:sz="4" w:space="0" w:color="000000"/>
              <w:bottom w:val="single" w:sz="4" w:space="0" w:color="000000"/>
              <w:right w:val="single" w:sz="4" w:space="0" w:color="000000"/>
            </w:tcBorders>
          </w:tcPr>
          <w:p>
            <w:pPr>
              <w:pStyle w:val="TableParagraph"/>
              <w:spacing w:before="38"/>
              <w:ind w:left="1235"/>
              <w:rPr>
                <w:sz w:val="18"/>
              </w:rPr>
            </w:pPr>
            <w:r>
              <w:rPr>
                <w:sz w:val="18"/>
              </w:rPr>
              <w:t xml:space="preserve">得 分（得分＝100－总扣分＋加分项得分） </w:t>
            </w:r>
          </w:p>
        </w:tc>
        <w:tc>
          <w:tcPr>
            <w:tcW w:w="3530" w:type="dxa"/>
            <w:gridSpan w:val="4"/>
            <w:tcBorders>
              <w:top w:val="single" w:sz="4" w:space="0" w:color="000000"/>
              <w:left w:val="single" w:sz="4" w:space="0" w:color="000000"/>
              <w:bottom w:val="single" w:sz="4" w:space="0" w:color="000000"/>
            </w:tcBorders>
          </w:tcPr>
          <w:p>
            <w:pPr>
              <w:pStyle w:val="TableParagraph"/>
              <w:spacing w:before="38"/>
              <w:ind w:left="108"/>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11"/>
          <w:jc w:val="left"/>
        </w:trPr>
        <w:tc>
          <w:tcPr>
            <w:tcW w:w="1692" w:type="dxa"/>
            <w:gridSpan w:val="2"/>
            <w:tcBorders>
              <w:top w:val="single" w:sz="4" w:space="0" w:color="000000"/>
              <w:bottom w:val="single" w:sz="4" w:space="0" w:color="000000"/>
              <w:right w:val="single" w:sz="4" w:space="0" w:color="000000"/>
            </w:tcBorders>
          </w:tcPr>
          <w:p>
            <w:pPr>
              <w:pStyle w:val="TableParagraph"/>
              <w:spacing w:before="38"/>
              <w:ind w:left="691" w:right="585"/>
              <w:jc w:val="center"/>
              <w:rPr>
                <w:sz w:val="18"/>
              </w:rPr>
            </w:pPr>
            <w:r>
              <w:rPr>
                <w:sz w:val="18"/>
              </w:rPr>
              <w:t xml:space="preserve">项目 </w:t>
            </w: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38"/>
              <w:ind w:left="1441" w:right="1152"/>
              <w:jc w:val="center"/>
              <w:rPr>
                <w:sz w:val="18"/>
              </w:rPr>
            </w:pPr>
            <w:r>
              <w:rPr>
                <w:sz w:val="18"/>
              </w:rPr>
              <w:t xml:space="preserve">评价内容 </w:t>
            </w:r>
          </w:p>
        </w:tc>
        <w:tc>
          <w:tcPr>
            <w:tcW w:w="25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8"/>
              <w:ind w:left="919"/>
              <w:rPr>
                <w:sz w:val="18"/>
              </w:rPr>
            </w:pPr>
            <w:r>
              <w:rPr>
                <w:sz w:val="18"/>
              </w:rPr>
              <w:t xml:space="preserve">评分细则 </w:t>
            </w:r>
          </w:p>
        </w:tc>
        <w:tc>
          <w:tcPr>
            <w:tcW w:w="979" w:type="dxa"/>
            <w:tcBorders>
              <w:top w:val="single" w:sz="4" w:space="0" w:color="000000"/>
              <w:left w:val="single" w:sz="4" w:space="0" w:color="000000"/>
              <w:bottom w:val="single" w:sz="4" w:space="0" w:color="000000"/>
            </w:tcBorders>
          </w:tcPr>
          <w:p>
            <w:pPr>
              <w:pStyle w:val="TableParagraph"/>
              <w:spacing w:before="38"/>
              <w:ind w:left="154" w:right="43"/>
              <w:jc w:val="center"/>
              <w:rPr>
                <w:sz w:val="18"/>
              </w:rPr>
            </w:pPr>
            <w:r>
              <w:rPr>
                <w:sz w:val="18"/>
              </w:rPr>
              <w:t xml:space="preserve">存在问题 </w:t>
            </w:r>
          </w:p>
        </w:tc>
      </w:tr>
      <w:tr>
        <w:tblPrEx>
          <w:tblW w:w="0" w:type="auto"/>
          <w:jc w:val="left"/>
          <w:tblInd w:w="438" w:type="dxa"/>
          <w:tblLayout w:type="fixed"/>
          <w:tblCellMar>
            <w:top w:w="0" w:type="dxa"/>
            <w:left w:w="0" w:type="dxa"/>
            <w:bottom w:w="0" w:type="dxa"/>
            <w:right w:w="0" w:type="dxa"/>
          </w:tblCellMar>
          <w:tblLook w:val="01E0"/>
        </w:tblPrEx>
        <w:trPr>
          <w:trHeight w:val="3431"/>
          <w:jc w:val="left"/>
        </w:trPr>
        <w:tc>
          <w:tcPr>
            <w:tcW w:w="1692" w:type="dxa"/>
            <w:gridSpan w:val="2"/>
            <w:tcBorders>
              <w:top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9"/>
              <w:rPr>
                <w:sz w:val="16"/>
              </w:rPr>
            </w:pPr>
          </w:p>
          <w:p>
            <w:pPr>
              <w:pStyle w:val="TableParagraph"/>
              <w:spacing w:before="1"/>
              <w:ind w:left="575"/>
              <w:rPr>
                <w:sz w:val="18"/>
              </w:rPr>
            </w:pPr>
            <w:r>
              <w:rPr>
                <w:sz w:val="18"/>
              </w:rPr>
              <w:t xml:space="preserve">否决项 </w:t>
            </w:r>
          </w:p>
        </w:tc>
        <w:tc>
          <w:tcPr>
            <w:tcW w:w="4112" w:type="dxa"/>
            <w:tcBorders>
              <w:top w:val="single" w:sz="4" w:space="0" w:color="000000"/>
              <w:left w:val="single" w:sz="4" w:space="0" w:color="000000"/>
              <w:right w:val="single" w:sz="4" w:space="0" w:color="000000"/>
            </w:tcBorders>
          </w:tcPr>
          <w:p>
            <w:pPr>
              <w:pStyle w:val="TableParagraph"/>
              <w:spacing w:before="38"/>
              <w:ind w:left="189"/>
              <w:rPr>
                <w:sz w:val="18"/>
              </w:rPr>
            </w:pPr>
            <w:r>
              <w:rPr>
                <w:sz w:val="18"/>
              </w:rPr>
              <w:t xml:space="preserve">存在下列情形之一的使用单位： </w:t>
            </w:r>
          </w:p>
          <w:p>
            <w:pPr>
              <w:pStyle w:val="TableParagraph"/>
              <w:numPr>
                <w:ilvl w:val="0"/>
                <w:numId w:val="18"/>
              </w:numPr>
              <w:tabs>
                <w:tab w:val="left" w:pos="468"/>
              </w:tabs>
              <w:spacing w:before="81" w:after="0" w:line="324" w:lineRule="auto"/>
              <w:ind w:left="9" w:right="-58" w:firstLine="0"/>
              <w:jc w:val="both"/>
              <w:rPr>
                <w:sz w:val="18"/>
              </w:rPr>
            </w:pPr>
            <w:r>
              <w:rPr>
                <w:sz w:val="18"/>
              </w:rPr>
              <w:t xml:space="preserve">在一年内发生一般特种设备事故或二年内发生较大及以上特种设备事故，使用单位查明事故原因、举一反三并整改到位的除外； </w:t>
            </w:r>
          </w:p>
          <w:p>
            <w:pPr>
              <w:pStyle w:val="TableParagraph"/>
              <w:numPr>
                <w:ilvl w:val="0"/>
                <w:numId w:val="18"/>
              </w:numPr>
              <w:tabs>
                <w:tab w:val="left" w:pos="462"/>
              </w:tabs>
              <w:spacing w:before="3" w:after="0" w:line="240" w:lineRule="auto"/>
              <w:ind w:left="461" w:right="0" w:hanging="453"/>
              <w:jc w:val="left"/>
              <w:rPr>
                <w:sz w:val="18"/>
              </w:rPr>
            </w:pPr>
            <w:r>
              <w:rPr>
                <w:sz w:val="18"/>
              </w:rPr>
              <w:t xml:space="preserve">使用非法生产特种设备的； </w:t>
            </w:r>
          </w:p>
          <w:p>
            <w:pPr>
              <w:pStyle w:val="TableParagraph"/>
              <w:numPr>
                <w:ilvl w:val="0"/>
                <w:numId w:val="18"/>
              </w:numPr>
              <w:tabs>
                <w:tab w:val="left" w:pos="462"/>
              </w:tabs>
              <w:spacing w:before="81" w:after="0" w:line="240" w:lineRule="auto"/>
              <w:ind w:left="461" w:right="-58" w:hanging="453"/>
              <w:jc w:val="left"/>
              <w:rPr>
                <w:sz w:val="18"/>
              </w:rPr>
            </w:pPr>
            <w:r>
              <w:rPr>
                <w:sz w:val="18"/>
              </w:rPr>
              <w:t xml:space="preserve">使用国家明令淘汰或已经报废的特种设备的； </w:t>
            </w:r>
          </w:p>
          <w:p>
            <w:pPr>
              <w:pStyle w:val="TableParagraph"/>
              <w:numPr>
                <w:ilvl w:val="0"/>
                <w:numId w:val="18"/>
              </w:numPr>
              <w:tabs>
                <w:tab w:val="left" w:pos="468"/>
              </w:tabs>
              <w:spacing w:before="81" w:after="0" w:line="324" w:lineRule="auto"/>
              <w:ind w:left="9" w:right="-15" w:firstLine="0"/>
              <w:jc w:val="left"/>
              <w:rPr>
                <w:sz w:val="18"/>
              </w:rPr>
            </w:pPr>
            <w:r>
              <w:rPr>
                <w:sz w:val="18"/>
              </w:rPr>
              <w:t xml:space="preserve">使用未经定期检验或者经检验判为不合格且限期未整改的或复检不合格特种设备的； </w:t>
            </w:r>
          </w:p>
          <w:p>
            <w:pPr>
              <w:pStyle w:val="TableParagraph"/>
              <w:numPr>
                <w:ilvl w:val="0"/>
                <w:numId w:val="18"/>
              </w:numPr>
              <w:tabs>
                <w:tab w:val="left" w:pos="462"/>
              </w:tabs>
              <w:spacing w:before="2" w:after="0" w:line="240" w:lineRule="auto"/>
              <w:ind w:left="461" w:right="0" w:hanging="453"/>
              <w:jc w:val="left"/>
              <w:rPr>
                <w:sz w:val="18"/>
              </w:rPr>
            </w:pPr>
            <w:r>
              <w:rPr>
                <w:sz w:val="18"/>
              </w:rPr>
              <w:t xml:space="preserve">超过特种设备的规定参数范围使用的； </w:t>
            </w:r>
          </w:p>
          <w:p>
            <w:pPr>
              <w:pStyle w:val="TableParagraph"/>
              <w:numPr>
                <w:ilvl w:val="0"/>
                <w:numId w:val="18"/>
              </w:numPr>
              <w:tabs>
                <w:tab w:val="left" w:pos="462"/>
              </w:tabs>
              <w:spacing w:before="2" w:after="0" w:line="310" w:lineRule="atLeast"/>
              <w:ind w:left="9" w:right="39" w:firstLine="0"/>
              <w:jc w:val="left"/>
              <w:rPr>
                <w:sz w:val="18"/>
              </w:rPr>
            </w:pPr>
            <w:r>
              <w:rPr>
                <w:spacing w:val="-1"/>
                <w:sz w:val="18"/>
              </w:rPr>
              <w:t>使用被监管机构责令整改而未予整改的特种设</w:t>
            </w:r>
            <w:r>
              <w:rPr>
                <w:sz w:val="18"/>
              </w:rPr>
              <w:t xml:space="preserve">备。 </w:t>
            </w:r>
          </w:p>
        </w:tc>
        <w:tc>
          <w:tcPr>
            <w:tcW w:w="2551" w:type="dxa"/>
            <w:gridSpan w:val="3"/>
            <w:tcBorders>
              <w:top w:val="single" w:sz="4" w:space="0" w:color="000000"/>
              <w:left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9"/>
              <w:rPr>
                <w:sz w:val="16"/>
              </w:rPr>
            </w:pPr>
          </w:p>
          <w:p>
            <w:pPr>
              <w:pStyle w:val="TableParagraph"/>
              <w:spacing w:before="1"/>
              <w:ind w:left="1215" w:right="1106"/>
              <w:jc w:val="center"/>
              <w:rPr>
                <w:sz w:val="18"/>
              </w:rPr>
            </w:pPr>
            <w:r>
              <w:rPr>
                <w:sz w:val="18"/>
              </w:rPr>
              <w:t xml:space="preserve">— </w:t>
            </w:r>
          </w:p>
        </w:tc>
        <w:tc>
          <w:tcPr>
            <w:tcW w:w="979" w:type="dxa"/>
            <w:tcBorders>
              <w:top w:val="single" w:sz="4" w:space="0" w:color="000000"/>
              <w:lef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9"/>
              <w:rPr>
                <w:sz w:val="16"/>
              </w:rPr>
            </w:pPr>
          </w:p>
          <w:p>
            <w:pPr>
              <w:pStyle w:val="TableParagraph"/>
              <w:spacing w:before="1"/>
              <w:ind w:left="111"/>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13"/>
          <w:jc w:val="left"/>
        </w:trPr>
        <w:tc>
          <w:tcPr>
            <w:tcW w:w="9334" w:type="dxa"/>
            <w:gridSpan w:val="7"/>
          </w:tcPr>
          <w:p>
            <w:pPr>
              <w:pStyle w:val="TableParagraph"/>
              <w:spacing w:before="40"/>
              <w:ind w:left="371"/>
              <w:rPr>
                <w:sz w:val="18"/>
              </w:rPr>
            </w:pPr>
            <w:r>
              <w:rPr>
                <w:rFonts w:ascii="黑体" w:eastAsia="黑体" w:hAnsi="黑体" w:hint="eastAsia"/>
                <w:sz w:val="18"/>
              </w:rPr>
              <w:t xml:space="preserve">注： </w:t>
            </w:r>
            <w:r>
              <w:rPr>
                <w:sz w:val="18"/>
              </w:rPr>
              <w:t xml:space="preserve">评价表中不适用的项目不扣分，并在存在问题栏中填“无此项”。 </w:t>
            </w:r>
          </w:p>
        </w:tc>
      </w:tr>
    </w:tbl>
    <w:p>
      <w:pPr>
        <w:spacing w:after="0"/>
        <w:rPr>
          <w:sz w:val="18"/>
        </w:rPr>
        <w:sectPr>
          <w:headerReference w:type="even" r:id="rId37"/>
          <w:headerReference w:type="default" r:id="rId38"/>
          <w:footerReference w:type="even" r:id="rId39"/>
          <w:footerReference w:type="default" r:id="rId40"/>
          <w:pgSz w:w="11910" w:h="16840"/>
          <w:pgMar w:top="1640" w:right="720" w:bottom="1340" w:left="1000" w:header="1448" w:footer="1141"/>
          <w:pgNumType w:start="7"/>
          <w:cols w:space="708"/>
        </w:sectPr>
      </w:pPr>
    </w:p>
    <w:p>
      <w:pPr>
        <w:pStyle w:val="BodyText"/>
        <w:spacing w:before="7"/>
        <w:rPr>
          <w:sz w:val="12"/>
        </w:rPr>
      </w:pPr>
    </w:p>
    <w:p>
      <w:pPr>
        <w:pStyle w:val="BodyText"/>
        <w:spacing w:before="0"/>
        <w:rPr>
          <w:sz w:val="2"/>
        </w:rPr>
      </w:pPr>
    </w:p>
    <w:p>
      <w:pPr>
        <w:pStyle w:val="BodyText"/>
        <w:spacing w:before="0"/>
        <w:rPr>
          <w:sz w:val="2"/>
        </w:rPr>
      </w:pPr>
    </w:p>
    <w:p>
      <w:pPr>
        <w:pStyle w:val="BodyText"/>
        <w:spacing w:before="0"/>
        <w:rPr>
          <w:sz w:val="2"/>
        </w:rPr>
      </w:pPr>
    </w:p>
    <w:p>
      <w:pPr>
        <w:pStyle w:val="BodyText"/>
        <w:spacing w:before="0"/>
        <w:rPr>
          <w:sz w:val="2"/>
        </w:rPr>
      </w:pPr>
    </w:p>
    <w:p>
      <w:pPr>
        <w:spacing w:before="0" w:line="20" w:lineRule="exact"/>
        <w:ind w:left="0" w:right="556" w:firstLine="0"/>
        <w:jc w:val="center"/>
        <w:rPr>
          <w:rFonts w:ascii="黑体"/>
          <w:sz w:val="2"/>
        </w:rPr>
      </w:pPr>
      <w:r>
        <w:rPr>
          <w:rFonts w:ascii="黑体"/>
          <w:w w:val="96"/>
          <w:sz w:val="2"/>
        </w:rPr>
        <w:t>B</w:t>
      </w:r>
    </w:p>
    <w:p>
      <w:pPr>
        <w:spacing w:before="0" w:line="20" w:lineRule="exact"/>
        <w:ind w:left="9" w:right="141" w:firstLine="0"/>
        <w:jc w:val="center"/>
        <w:rPr>
          <w:sz w:val="2"/>
        </w:rPr>
      </w:pPr>
      <w:r>
        <w:rPr>
          <w:sz w:val="2"/>
        </w:rPr>
        <w:t xml:space="preserve">B </w:t>
      </w:r>
      <w:r>
        <w:rPr>
          <w:w w:val="96"/>
          <w:sz w:val="2"/>
        </w:rPr>
        <w:t xml:space="preserve"> </w:t>
      </w:r>
    </w:p>
    <w:p>
      <w:pPr>
        <w:pStyle w:val="BodyText"/>
        <w:spacing w:before="0"/>
        <w:rPr>
          <w:sz w:val="20"/>
        </w:rPr>
      </w:pPr>
    </w:p>
    <w:p>
      <w:pPr>
        <w:pStyle w:val="BodyText"/>
        <w:spacing w:before="7"/>
        <w:rPr>
          <w:sz w:val="19"/>
        </w:rPr>
      </w:pPr>
    </w:p>
    <w:p>
      <w:pPr>
        <w:pStyle w:val="BodyText"/>
        <w:spacing w:before="71"/>
        <w:ind w:left="60" w:right="722"/>
        <w:jc w:val="center"/>
        <w:rPr>
          <w:rFonts w:ascii="黑体" w:eastAsia="黑体" w:hint="eastAsia"/>
        </w:rPr>
      </w:pPr>
      <w:r>
        <w:rPr>
          <w:rFonts w:ascii="黑体" w:eastAsia="黑体" w:hint="eastAsia"/>
        </w:rPr>
        <w:t>附  录 B</w:t>
      </w:r>
    </w:p>
    <w:p>
      <w:pPr>
        <w:pStyle w:val="BodyText"/>
        <w:spacing w:before="41"/>
        <w:ind w:left="60" w:right="623"/>
        <w:jc w:val="center"/>
        <w:rPr>
          <w:rFonts w:ascii="黑体" w:eastAsia="黑体" w:hint="eastAsia"/>
        </w:rPr>
      </w:pPr>
      <w:bookmarkStart w:id="7" w:name="_bookmark7"/>
      <w:bookmarkEnd w:id="7"/>
      <w:r>
        <w:rPr>
          <w:rFonts w:ascii="黑体" w:eastAsia="黑体" w:hint="eastAsia"/>
        </w:rPr>
        <w:t>（规范性）</w:t>
      </w:r>
    </w:p>
    <w:p>
      <w:pPr>
        <w:pStyle w:val="BodyText"/>
        <w:ind w:left="60" w:right="621"/>
        <w:jc w:val="center"/>
        <w:rPr>
          <w:rFonts w:ascii="黑体" w:eastAsia="黑体" w:hint="eastAsia"/>
        </w:rPr>
      </w:pPr>
      <w:r>
        <w:rPr>
          <w:rFonts w:ascii="黑体" w:eastAsia="黑体" w:hint="eastAsia"/>
        </w:rPr>
        <w:t>特种设备使用安全管理分种类评价表</w:t>
      </w:r>
    </w:p>
    <w:p>
      <w:pPr>
        <w:pStyle w:val="BodyText"/>
        <w:spacing w:before="5"/>
        <w:rPr>
          <w:rFonts w:ascii="黑体"/>
          <w:sz w:val="17"/>
        </w:rPr>
      </w:pPr>
    </w:p>
    <w:p>
      <w:pPr>
        <w:pStyle w:val="ListParagraph"/>
        <w:numPr>
          <w:ilvl w:val="1"/>
          <w:numId w:val="26"/>
        </w:numPr>
        <w:tabs>
          <w:tab w:val="left" w:pos="658"/>
          <w:tab w:val="left" w:pos="659"/>
        </w:tabs>
        <w:spacing w:before="0" w:after="0" w:line="240" w:lineRule="auto"/>
        <w:ind w:left="658" w:right="0" w:hanging="527"/>
        <w:jc w:val="left"/>
        <w:rPr>
          <w:sz w:val="21"/>
        </w:rPr>
      </w:pPr>
      <w:r>
        <w:rPr>
          <w:spacing w:val="-18"/>
          <w:sz w:val="21"/>
        </w:rPr>
        <w:t xml:space="preserve">按表 </w:t>
      </w:r>
      <w:r>
        <w:rPr>
          <w:sz w:val="21"/>
        </w:rPr>
        <w:t>B.1</w:t>
      </w:r>
      <w:r>
        <w:rPr>
          <w:spacing w:val="-11"/>
          <w:sz w:val="21"/>
        </w:rPr>
        <w:t xml:space="preserve"> 对特种设备</w:t>
      </w:r>
      <w:r>
        <w:rPr>
          <w:sz w:val="21"/>
        </w:rPr>
        <w:t>（</w:t>
      </w:r>
      <w:r>
        <w:rPr>
          <w:spacing w:val="-2"/>
          <w:sz w:val="21"/>
        </w:rPr>
        <w:t>锅炉</w:t>
      </w:r>
      <w:r>
        <w:rPr>
          <w:sz w:val="21"/>
        </w:rPr>
        <w:t>）</w:t>
      </w:r>
      <w:r>
        <w:rPr>
          <w:spacing w:val="-3"/>
          <w:sz w:val="21"/>
        </w:rPr>
        <w:t>使用进行安全管理评价。</w:t>
      </w:r>
      <w:r>
        <w:rPr>
          <w:sz w:val="21"/>
        </w:rPr>
        <w:t xml:space="preserve"> </w:t>
      </w:r>
    </w:p>
    <w:p>
      <w:pPr>
        <w:pStyle w:val="BodyText"/>
        <w:spacing w:before="9"/>
        <w:rPr>
          <w:sz w:val="15"/>
        </w:rPr>
      </w:pPr>
    </w:p>
    <w:p>
      <w:pPr>
        <w:pStyle w:val="BodyText"/>
        <w:spacing w:before="0"/>
        <w:ind w:left="2235"/>
        <w:rPr>
          <w:rFonts w:ascii="黑体" w:eastAsia="黑体" w:hint="eastAsia"/>
        </w:rPr>
      </w:pPr>
      <w:r>
        <w:rPr>
          <w:rFonts w:ascii="黑体" w:eastAsia="黑体" w:hint="eastAsia"/>
        </w:rPr>
        <w:t>表B.1 特种设备使用安全管理分种类评价表（锅炉）</w:t>
      </w:r>
    </w:p>
    <w:p>
      <w:pPr>
        <w:pStyle w:val="BodyText"/>
        <w:spacing w:before="0"/>
        <w:rPr>
          <w:rFonts w:ascii="黑体"/>
          <w:sz w:val="14"/>
        </w:rPr>
      </w:pPr>
    </w:p>
    <w:p>
      <w:pPr>
        <w:pStyle w:val="BodyText"/>
        <w:spacing w:before="0"/>
        <w:ind w:left="553"/>
      </w:pPr>
      <w:r>
        <w:t xml:space="preserve">使 用 单 位 ： 设 备 名 称 ： </w:t>
      </w:r>
    </w:p>
    <w:p>
      <w:pPr>
        <w:pStyle w:val="BodyText"/>
        <w:ind w:left="553"/>
      </w:pPr>
      <w:r>
        <w:t xml:space="preserve">设 备 代 码 / 出 厂 编 号 ： 使 用 地 点 （ 车 间 ）： </w:t>
      </w:r>
    </w:p>
    <w:p>
      <w:pPr>
        <w:pStyle w:val="BodyText"/>
        <w:spacing w:before="44" w:after="20"/>
        <w:ind w:left="553"/>
      </w:pPr>
      <w:r>
        <w:t xml:space="preserve">设备风险类别：□ 高风险特种设备 □ 中风险特种设备 □ 低风险特种设备 </w:t>
      </w:r>
    </w:p>
    <w:tbl>
      <w:tblPr>
        <w:tblStyle w:val="TableNormal3"/>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3"/>
        <w:gridCol w:w="991"/>
        <w:gridCol w:w="3546"/>
        <w:gridCol w:w="850"/>
        <w:gridCol w:w="1133"/>
        <w:gridCol w:w="642"/>
        <w:gridCol w:w="1333"/>
      </w:tblGrid>
      <w:tr>
        <w:tblPrEx>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843" w:type="dxa"/>
            <w:tcBorders>
              <w:right w:val="single" w:sz="4" w:space="0" w:color="000000"/>
            </w:tcBorders>
          </w:tcPr>
          <w:p>
            <w:pPr>
              <w:pStyle w:val="TableParagraph"/>
              <w:spacing w:before="40"/>
              <w:ind w:left="269" w:right="158"/>
              <w:jc w:val="center"/>
              <w:rPr>
                <w:sz w:val="18"/>
              </w:rPr>
            </w:pPr>
            <w:r>
              <w:rPr>
                <w:sz w:val="18"/>
              </w:rPr>
              <w:t xml:space="preserve">序号 </w:t>
            </w:r>
          </w:p>
        </w:tc>
        <w:tc>
          <w:tcPr>
            <w:tcW w:w="991" w:type="dxa"/>
            <w:tcBorders>
              <w:left w:val="single" w:sz="4" w:space="0" w:color="000000"/>
              <w:right w:val="single" w:sz="4" w:space="0" w:color="000000"/>
            </w:tcBorders>
          </w:tcPr>
          <w:p>
            <w:pPr>
              <w:pStyle w:val="TableParagraph"/>
              <w:spacing w:before="40"/>
              <w:ind w:left="136" w:right="30"/>
              <w:jc w:val="center"/>
              <w:rPr>
                <w:sz w:val="18"/>
              </w:rPr>
            </w:pPr>
            <w:r>
              <w:rPr>
                <w:sz w:val="18"/>
              </w:rPr>
              <w:t xml:space="preserve">项目 </w:t>
            </w:r>
          </w:p>
        </w:tc>
        <w:tc>
          <w:tcPr>
            <w:tcW w:w="3546" w:type="dxa"/>
            <w:tcBorders>
              <w:left w:val="single" w:sz="4" w:space="0" w:color="000000"/>
              <w:right w:val="single" w:sz="4" w:space="0" w:color="000000"/>
            </w:tcBorders>
          </w:tcPr>
          <w:p>
            <w:pPr>
              <w:pStyle w:val="TableParagraph"/>
              <w:spacing w:before="40"/>
              <w:ind w:left="1439" w:right="1333"/>
              <w:jc w:val="center"/>
              <w:rPr>
                <w:sz w:val="18"/>
              </w:rPr>
            </w:pPr>
            <w:r>
              <w:rPr>
                <w:sz w:val="18"/>
              </w:rPr>
              <w:t xml:space="preserve">评价内容 </w:t>
            </w:r>
          </w:p>
        </w:tc>
        <w:tc>
          <w:tcPr>
            <w:tcW w:w="850" w:type="dxa"/>
            <w:tcBorders>
              <w:left w:val="single" w:sz="4" w:space="0" w:color="000000"/>
              <w:right w:val="single" w:sz="4" w:space="0" w:color="000000"/>
            </w:tcBorders>
          </w:tcPr>
          <w:p>
            <w:pPr>
              <w:pStyle w:val="TableParagraph"/>
              <w:spacing w:before="40"/>
              <w:ind w:left="273" w:right="165"/>
              <w:jc w:val="center"/>
              <w:rPr>
                <w:sz w:val="18"/>
              </w:rPr>
            </w:pPr>
            <w:r>
              <w:rPr>
                <w:sz w:val="18"/>
              </w:rPr>
              <w:t xml:space="preserve">分值 </w:t>
            </w:r>
          </w:p>
        </w:tc>
        <w:tc>
          <w:tcPr>
            <w:tcW w:w="1133" w:type="dxa"/>
            <w:tcBorders>
              <w:left w:val="single" w:sz="4" w:space="0" w:color="000000"/>
              <w:right w:val="single" w:sz="4" w:space="0" w:color="000000"/>
            </w:tcBorders>
          </w:tcPr>
          <w:p>
            <w:pPr>
              <w:pStyle w:val="TableParagraph"/>
              <w:spacing w:before="40"/>
              <w:ind w:left="232" w:right="125"/>
              <w:jc w:val="center"/>
              <w:rPr>
                <w:sz w:val="18"/>
              </w:rPr>
            </w:pPr>
            <w:r>
              <w:rPr>
                <w:sz w:val="18"/>
              </w:rPr>
              <w:t xml:space="preserve">评分则则 </w:t>
            </w:r>
          </w:p>
        </w:tc>
        <w:tc>
          <w:tcPr>
            <w:tcW w:w="642" w:type="dxa"/>
            <w:tcBorders>
              <w:left w:val="single" w:sz="4" w:space="0" w:color="000000"/>
              <w:right w:val="single" w:sz="4" w:space="0" w:color="000000"/>
            </w:tcBorders>
          </w:tcPr>
          <w:p>
            <w:pPr>
              <w:pStyle w:val="TableParagraph"/>
              <w:spacing w:before="40"/>
              <w:ind w:left="169" w:right="60"/>
              <w:jc w:val="center"/>
              <w:rPr>
                <w:sz w:val="18"/>
              </w:rPr>
            </w:pPr>
            <w:r>
              <w:rPr>
                <w:sz w:val="18"/>
              </w:rPr>
              <w:t xml:space="preserve">扣分 </w:t>
            </w:r>
          </w:p>
        </w:tc>
        <w:tc>
          <w:tcPr>
            <w:tcW w:w="1333" w:type="dxa"/>
            <w:tcBorders>
              <w:left w:val="single" w:sz="4" w:space="0" w:color="000000"/>
            </w:tcBorders>
          </w:tcPr>
          <w:p>
            <w:pPr>
              <w:pStyle w:val="TableParagraph"/>
              <w:spacing w:before="40"/>
              <w:ind w:left="331" w:right="223"/>
              <w:jc w:val="center"/>
              <w:rPr>
                <w:sz w:val="18"/>
              </w:rPr>
            </w:pPr>
            <w:r>
              <w:rPr>
                <w:sz w:val="18"/>
              </w:rPr>
              <w:t xml:space="preserve">存在问题 </w:t>
            </w:r>
          </w:p>
        </w:tc>
      </w:tr>
      <w:tr>
        <w:tblPrEx>
          <w:tblW w:w="0" w:type="auto"/>
          <w:jc w:val="left"/>
          <w:tblInd w:w="152" w:type="dxa"/>
          <w:tblLayout w:type="fixed"/>
          <w:tblCellMar>
            <w:top w:w="0" w:type="dxa"/>
            <w:left w:w="0" w:type="dxa"/>
            <w:bottom w:w="0" w:type="dxa"/>
            <w:right w:w="0" w:type="dxa"/>
          </w:tblCellMar>
          <w:tblLook w:val="01E0"/>
        </w:tblPrEx>
        <w:trPr>
          <w:trHeight w:val="335"/>
          <w:jc w:val="left"/>
        </w:trPr>
        <w:tc>
          <w:tcPr>
            <w:tcW w:w="843" w:type="dxa"/>
            <w:tcBorders>
              <w:bottom w:val="single" w:sz="4" w:space="0" w:color="000000"/>
              <w:right w:val="single" w:sz="4" w:space="0" w:color="000000"/>
            </w:tcBorders>
          </w:tcPr>
          <w:p>
            <w:pPr>
              <w:pStyle w:val="TableParagraph"/>
              <w:spacing w:before="50"/>
              <w:ind w:left="269" w:right="158"/>
              <w:jc w:val="center"/>
              <w:rPr>
                <w:sz w:val="18"/>
              </w:rPr>
            </w:pPr>
            <w:r>
              <w:rPr>
                <w:sz w:val="18"/>
              </w:rPr>
              <w:t xml:space="preserve">1 </w:t>
            </w:r>
          </w:p>
        </w:tc>
        <w:tc>
          <w:tcPr>
            <w:tcW w:w="991" w:type="dxa"/>
            <w:vMerge w:val="restart"/>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6"/>
              <w:rPr>
                <w:sz w:val="14"/>
              </w:rPr>
            </w:pPr>
          </w:p>
          <w:p>
            <w:pPr>
              <w:pStyle w:val="TableParagraph"/>
              <w:ind w:left="138"/>
              <w:rPr>
                <w:sz w:val="18"/>
              </w:rPr>
            </w:pPr>
            <w:r>
              <w:rPr>
                <w:sz w:val="18"/>
              </w:rPr>
              <w:t xml:space="preserve">操作规程 </w:t>
            </w:r>
          </w:p>
        </w:tc>
        <w:tc>
          <w:tcPr>
            <w:tcW w:w="3546" w:type="dxa"/>
            <w:tcBorders>
              <w:left w:val="single" w:sz="4" w:space="0" w:color="000000"/>
              <w:bottom w:val="single" w:sz="4" w:space="0" w:color="000000"/>
              <w:right w:val="single" w:sz="4" w:space="0" w:color="000000"/>
            </w:tcBorders>
          </w:tcPr>
          <w:p>
            <w:pPr>
              <w:pStyle w:val="TableParagraph"/>
              <w:spacing w:before="50"/>
              <w:ind w:left="189"/>
              <w:rPr>
                <w:sz w:val="18"/>
              </w:rPr>
            </w:pPr>
            <w:r>
              <w:rPr>
                <w:sz w:val="18"/>
              </w:rPr>
              <w:t xml:space="preserve">应根据设备运行特点等制定安全操作规程 </w:t>
            </w:r>
          </w:p>
        </w:tc>
        <w:tc>
          <w:tcPr>
            <w:tcW w:w="850" w:type="dxa"/>
            <w:tcBorders>
              <w:left w:val="single" w:sz="4" w:space="0" w:color="000000"/>
              <w:bottom w:val="single" w:sz="4" w:space="0" w:color="000000"/>
              <w:right w:val="single" w:sz="4" w:space="0" w:color="000000"/>
            </w:tcBorders>
          </w:tcPr>
          <w:p>
            <w:pPr>
              <w:pStyle w:val="TableParagraph"/>
              <w:spacing w:before="64"/>
              <w:ind w:left="261" w:right="165"/>
              <w:jc w:val="center"/>
              <w:rPr>
                <w:sz w:val="18"/>
              </w:rPr>
            </w:pPr>
            <w:r>
              <w:rPr>
                <w:sz w:val="18"/>
              </w:rPr>
              <w:t xml:space="preserve">4 </w:t>
            </w:r>
          </w:p>
        </w:tc>
        <w:tc>
          <w:tcPr>
            <w:tcW w:w="1133" w:type="dxa"/>
            <w:tcBorders>
              <w:left w:val="single" w:sz="4" w:space="0" w:color="000000"/>
              <w:bottom w:val="single" w:sz="4" w:space="0" w:color="000000"/>
              <w:right w:val="single" w:sz="4" w:space="0" w:color="000000"/>
            </w:tcBorders>
          </w:tcPr>
          <w:p>
            <w:pPr>
              <w:pStyle w:val="TableParagraph"/>
              <w:spacing w:before="64"/>
              <w:ind w:left="18" w:right="-58"/>
              <w:jc w:val="center"/>
              <w:rPr>
                <w:sz w:val="18"/>
              </w:rPr>
            </w:pPr>
            <w:r>
              <w:rPr>
                <w:spacing w:val="-12"/>
                <w:sz w:val="18"/>
              </w:rPr>
              <w:t xml:space="preserve">不符合扣 </w:t>
            </w:r>
            <w:r>
              <w:rPr>
                <w:sz w:val="18"/>
              </w:rPr>
              <w:t>4</w:t>
            </w:r>
            <w:r>
              <w:rPr>
                <w:spacing w:val="-26"/>
                <w:sz w:val="18"/>
              </w:rPr>
              <w:t xml:space="preserve"> 分</w:t>
            </w:r>
            <w:r>
              <w:rPr>
                <w:sz w:val="18"/>
              </w:rPr>
              <w:t xml:space="preserve"> </w:t>
            </w:r>
          </w:p>
        </w:tc>
        <w:tc>
          <w:tcPr>
            <w:tcW w:w="642" w:type="dxa"/>
            <w:tcBorders>
              <w:left w:val="single" w:sz="4" w:space="0" w:color="000000"/>
              <w:bottom w:val="single" w:sz="4" w:space="0" w:color="000000"/>
              <w:right w:val="single" w:sz="4" w:space="0" w:color="000000"/>
            </w:tcBorders>
          </w:tcPr>
          <w:p>
            <w:pPr>
              <w:pStyle w:val="TableParagraph"/>
              <w:spacing w:before="50"/>
              <w:ind w:left="110"/>
              <w:jc w:val="center"/>
              <w:rPr>
                <w:sz w:val="18"/>
              </w:rPr>
            </w:pPr>
            <w:r>
              <w:rPr>
                <w:sz w:val="18"/>
              </w:rPr>
              <w:t xml:space="preserve"> </w:t>
            </w:r>
          </w:p>
        </w:tc>
        <w:tc>
          <w:tcPr>
            <w:tcW w:w="1333" w:type="dxa"/>
            <w:tcBorders>
              <w:left w:val="single" w:sz="4" w:space="0" w:color="000000"/>
              <w:bottom w:val="single" w:sz="4" w:space="0" w:color="000000"/>
            </w:tcBorders>
          </w:tcPr>
          <w:p>
            <w:pPr>
              <w:pStyle w:val="TableParagraph"/>
              <w:spacing w:before="50"/>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2334"/>
          <w:jc w:val="left"/>
        </w:trPr>
        <w:tc>
          <w:tcPr>
            <w:tcW w:w="843" w:type="dxa"/>
            <w:tcBorders>
              <w:top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8"/>
              <w:ind w:left="269" w:right="158"/>
              <w:jc w:val="center"/>
              <w:rPr>
                <w:sz w:val="18"/>
              </w:rPr>
            </w:pPr>
            <w:r>
              <w:rPr>
                <w:sz w:val="18"/>
              </w:rPr>
              <w:t xml:space="preserve">2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7"/>
              <w:ind w:left="189"/>
              <w:rPr>
                <w:sz w:val="18"/>
              </w:rPr>
            </w:pPr>
            <w:r>
              <w:rPr>
                <w:sz w:val="18"/>
              </w:rPr>
              <w:t xml:space="preserve">安全操作规程中应包括： </w:t>
            </w:r>
          </w:p>
          <w:p>
            <w:pPr>
              <w:pStyle w:val="TableParagraph"/>
              <w:numPr>
                <w:ilvl w:val="0"/>
                <w:numId w:val="16"/>
              </w:numPr>
              <w:tabs>
                <w:tab w:val="left" w:pos="462"/>
              </w:tabs>
              <w:spacing w:before="105" w:after="0" w:line="240" w:lineRule="auto"/>
              <w:ind w:left="461" w:right="0" w:hanging="453"/>
              <w:jc w:val="left"/>
              <w:rPr>
                <w:sz w:val="18"/>
              </w:rPr>
            </w:pPr>
            <w:r>
              <w:rPr>
                <w:sz w:val="18"/>
              </w:rPr>
              <w:t xml:space="preserve">设备的运行参数； </w:t>
            </w:r>
          </w:p>
          <w:p>
            <w:pPr>
              <w:pStyle w:val="TableParagraph"/>
              <w:numPr>
                <w:ilvl w:val="0"/>
                <w:numId w:val="16"/>
              </w:numPr>
              <w:tabs>
                <w:tab w:val="left" w:pos="462"/>
              </w:tabs>
              <w:spacing w:before="105" w:after="0" w:line="240" w:lineRule="auto"/>
              <w:ind w:left="461" w:right="0" w:hanging="453"/>
              <w:jc w:val="left"/>
              <w:rPr>
                <w:sz w:val="18"/>
              </w:rPr>
            </w:pPr>
            <w:r>
              <w:rPr>
                <w:sz w:val="18"/>
              </w:rPr>
              <w:t xml:space="preserve">操作程序和方法； </w:t>
            </w:r>
          </w:p>
          <w:p>
            <w:pPr>
              <w:pStyle w:val="TableParagraph"/>
              <w:numPr>
                <w:ilvl w:val="0"/>
                <w:numId w:val="16"/>
              </w:numPr>
              <w:tabs>
                <w:tab w:val="left" w:pos="462"/>
              </w:tabs>
              <w:spacing w:before="108" w:after="0" w:line="240" w:lineRule="auto"/>
              <w:ind w:left="461" w:right="0" w:hanging="453"/>
              <w:jc w:val="left"/>
              <w:rPr>
                <w:sz w:val="18"/>
              </w:rPr>
            </w:pPr>
            <w:r>
              <w:rPr>
                <w:sz w:val="18"/>
              </w:rPr>
              <w:t xml:space="preserve">维护保养要求； </w:t>
            </w:r>
          </w:p>
          <w:p>
            <w:pPr>
              <w:pStyle w:val="TableParagraph"/>
              <w:numPr>
                <w:ilvl w:val="0"/>
                <w:numId w:val="16"/>
              </w:numPr>
              <w:tabs>
                <w:tab w:val="left" w:pos="462"/>
              </w:tabs>
              <w:spacing w:before="106" w:after="0" w:line="240" w:lineRule="auto"/>
              <w:ind w:left="461" w:right="0" w:hanging="453"/>
              <w:jc w:val="left"/>
              <w:rPr>
                <w:sz w:val="18"/>
              </w:rPr>
            </w:pPr>
            <w:r>
              <w:rPr>
                <w:sz w:val="18"/>
              </w:rPr>
              <w:t xml:space="preserve">安全注意事项； </w:t>
            </w:r>
          </w:p>
          <w:p>
            <w:pPr>
              <w:pStyle w:val="TableParagraph"/>
              <w:numPr>
                <w:ilvl w:val="0"/>
                <w:numId w:val="16"/>
              </w:numPr>
              <w:tabs>
                <w:tab w:val="left" w:pos="462"/>
              </w:tabs>
              <w:spacing w:before="107" w:after="0" w:line="240" w:lineRule="auto"/>
              <w:ind w:left="461" w:right="0" w:hanging="453"/>
              <w:jc w:val="left"/>
              <w:rPr>
                <w:sz w:val="18"/>
              </w:rPr>
            </w:pPr>
            <w:r>
              <w:rPr>
                <w:sz w:val="18"/>
              </w:rPr>
              <w:t xml:space="preserve">巡查要求； </w:t>
            </w:r>
          </w:p>
          <w:p>
            <w:pPr>
              <w:pStyle w:val="TableParagraph"/>
              <w:numPr>
                <w:ilvl w:val="0"/>
                <w:numId w:val="16"/>
              </w:numPr>
              <w:tabs>
                <w:tab w:val="left" w:pos="462"/>
              </w:tabs>
              <w:spacing w:before="79" w:after="0" w:line="240" w:lineRule="auto"/>
              <w:ind w:left="461" w:right="0" w:hanging="453"/>
              <w:jc w:val="left"/>
              <w:rPr>
                <w:sz w:val="18"/>
              </w:rPr>
            </w:pPr>
            <w:r>
              <w:rPr>
                <w:sz w:val="18"/>
              </w:rPr>
              <w:t xml:space="preserve">异常情况处置规定。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43"/>
              <w:ind w:left="261" w:right="165"/>
              <w:jc w:val="center"/>
              <w:rPr>
                <w:sz w:val="18"/>
              </w:rPr>
            </w:pPr>
            <w:r>
              <w:rPr>
                <w:sz w:val="18"/>
              </w:rPr>
              <w:t xml:space="preserve">6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43"/>
              <w:ind w:left="18" w:right="-58"/>
              <w:jc w:val="center"/>
              <w:rPr>
                <w:sz w:val="18"/>
              </w:rPr>
            </w:pPr>
            <w:r>
              <w:rPr>
                <w:spacing w:val="-24"/>
                <w:sz w:val="18"/>
              </w:rPr>
              <w:t xml:space="preserve">缺 </w:t>
            </w:r>
            <w:r>
              <w:rPr>
                <w:sz w:val="18"/>
              </w:rPr>
              <w:t>1</w:t>
            </w:r>
            <w:r>
              <w:rPr>
                <w:spacing w:val="-25"/>
                <w:sz w:val="18"/>
              </w:rPr>
              <w:t xml:space="preserve"> 项扣 </w:t>
            </w:r>
            <w:r>
              <w:rPr>
                <w:sz w:val="18"/>
              </w:rPr>
              <w:t>1</w:t>
            </w:r>
            <w:r>
              <w:rPr>
                <w:spacing w:val="-25"/>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8"/>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8"/>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38"/>
          <w:jc w:val="left"/>
        </w:trPr>
        <w:tc>
          <w:tcPr>
            <w:tcW w:w="843" w:type="dxa"/>
            <w:tcBorders>
              <w:top w:val="single" w:sz="4" w:space="0" w:color="000000"/>
              <w:bottom w:val="single" w:sz="4" w:space="0" w:color="000000"/>
              <w:right w:val="single" w:sz="4" w:space="0" w:color="000000"/>
            </w:tcBorders>
          </w:tcPr>
          <w:p>
            <w:pPr>
              <w:pStyle w:val="TableParagraph"/>
              <w:spacing w:before="50"/>
              <w:ind w:left="269" w:right="158"/>
              <w:jc w:val="center"/>
              <w:rPr>
                <w:sz w:val="18"/>
              </w:rPr>
            </w:pPr>
            <w:r>
              <w:rPr>
                <w:sz w:val="18"/>
              </w:rPr>
              <w:t xml:space="preserve">3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50"/>
              <w:ind w:left="189" w:right="-15"/>
              <w:rPr>
                <w:sz w:val="18"/>
              </w:rPr>
            </w:pPr>
            <w:r>
              <w:rPr>
                <w:spacing w:val="-8"/>
                <w:sz w:val="18"/>
              </w:rPr>
              <w:t>安全操作规程应上墙，或置于现场显著位置</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64"/>
              <w:ind w:left="261"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64"/>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50"/>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50"/>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35"/>
          <w:jc w:val="left"/>
        </w:trPr>
        <w:tc>
          <w:tcPr>
            <w:tcW w:w="843" w:type="dxa"/>
            <w:tcBorders>
              <w:top w:val="single" w:sz="4" w:space="0" w:color="000000"/>
              <w:bottom w:val="single" w:sz="4" w:space="0" w:color="000000"/>
              <w:right w:val="single" w:sz="4" w:space="0" w:color="000000"/>
            </w:tcBorders>
          </w:tcPr>
          <w:p>
            <w:pPr>
              <w:pStyle w:val="TableParagraph"/>
              <w:spacing w:before="50"/>
              <w:ind w:left="269" w:right="158"/>
              <w:jc w:val="center"/>
              <w:rPr>
                <w:sz w:val="18"/>
              </w:rPr>
            </w:pPr>
            <w:r>
              <w:rPr>
                <w:sz w:val="18"/>
              </w:rPr>
              <w:t xml:space="preserve">4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50"/>
              <w:ind w:left="189"/>
              <w:rPr>
                <w:sz w:val="18"/>
              </w:rPr>
            </w:pPr>
            <w:r>
              <w:rPr>
                <w:sz w:val="18"/>
              </w:rPr>
              <w:t xml:space="preserve">锅炉作业人员应熟悉安全操作规程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65"/>
              <w:ind w:left="261"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65"/>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50"/>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50"/>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35"/>
          <w:jc w:val="left"/>
        </w:trPr>
        <w:tc>
          <w:tcPr>
            <w:tcW w:w="843"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19"/>
              <w:ind w:left="269" w:right="158"/>
              <w:jc w:val="center"/>
              <w:rPr>
                <w:sz w:val="18"/>
              </w:rPr>
            </w:pPr>
            <w:r>
              <w:rPr>
                <w:sz w:val="18"/>
              </w:rPr>
              <w:t xml:space="preserve">5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left="136" w:right="30"/>
              <w:jc w:val="center"/>
              <w:rPr>
                <w:sz w:val="18"/>
              </w:rPr>
            </w:pPr>
            <w:r>
              <w:rPr>
                <w:sz w:val="18"/>
              </w:rPr>
              <w:t xml:space="preserve">作业人员 </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38" w:line="324" w:lineRule="auto"/>
              <w:ind w:left="9" w:right="-15" w:firstLine="180"/>
              <w:rPr>
                <w:sz w:val="18"/>
              </w:rPr>
            </w:pPr>
            <w:r>
              <w:rPr>
                <w:spacing w:val="-9"/>
                <w:sz w:val="18"/>
              </w:rPr>
              <w:t>应根据锅炉数量、特性配备相应持证的司炉</w:t>
            </w:r>
            <w:r>
              <w:rPr>
                <w:spacing w:val="-10"/>
                <w:sz w:val="18"/>
              </w:rPr>
              <w:t>工、水处理作业人员，并保证每班有持证作业</w:t>
            </w:r>
          </w:p>
          <w:p>
            <w:pPr>
              <w:pStyle w:val="TableParagraph"/>
              <w:spacing w:before="1"/>
              <w:ind w:left="9"/>
              <w:rPr>
                <w:sz w:val="18"/>
              </w:rPr>
            </w:pPr>
            <w:r>
              <w:rPr>
                <w:sz w:val="18"/>
              </w:rPr>
              <w:t xml:space="preserve">人员在岗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4"/>
              <w:ind w:left="261" w:right="165"/>
              <w:jc w:val="center"/>
              <w:rPr>
                <w:sz w:val="18"/>
              </w:rPr>
            </w:pPr>
            <w:r>
              <w:rPr>
                <w:sz w:val="18"/>
              </w:rPr>
              <w:t xml:space="preserve">7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4"/>
              <w:ind w:left="18" w:right="-58"/>
              <w:jc w:val="center"/>
              <w:rPr>
                <w:sz w:val="18"/>
              </w:rPr>
            </w:pPr>
            <w:r>
              <w:rPr>
                <w:spacing w:val="-12"/>
                <w:sz w:val="18"/>
              </w:rPr>
              <w:t xml:space="preserve">不符合扣 </w:t>
            </w:r>
            <w:r>
              <w:rPr>
                <w:sz w:val="18"/>
              </w:rPr>
              <w:t>7</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19"/>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19"/>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37"/>
          <w:jc w:val="left"/>
        </w:trPr>
        <w:tc>
          <w:tcPr>
            <w:tcW w:w="843"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22"/>
              <w:ind w:left="269" w:right="158"/>
              <w:jc w:val="center"/>
              <w:rPr>
                <w:sz w:val="18"/>
              </w:rPr>
            </w:pPr>
            <w:r>
              <w:rPr>
                <w:sz w:val="18"/>
              </w:rPr>
              <w:t xml:space="preserve">6 </w:t>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23"/>
              </w:rPr>
            </w:pPr>
          </w:p>
          <w:p>
            <w:pPr>
              <w:pStyle w:val="TableParagraph"/>
              <w:spacing w:line="324" w:lineRule="auto"/>
              <w:ind w:left="318" w:right="36" w:hanging="310"/>
              <w:rPr>
                <w:sz w:val="18"/>
              </w:rPr>
            </w:pPr>
            <w:r>
              <w:rPr>
                <w:sz w:val="18"/>
              </w:rPr>
              <w:t xml:space="preserve">使用（变更登记 </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40"/>
              <w:ind w:left="9" w:right="-87" w:firstLine="180"/>
              <w:rPr>
                <w:sz w:val="18"/>
              </w:rPr>
            </w:pPr>
            <w:r>
              <w:rPr>
                <w:spacing w:val="-7"/>
                <w:sz w:val="18"/>
              </w:rPr>
              <w:t>应办理使用登记；改造、移装、使用单位变</w:t>
            </w:r>
          </w:p>
          <w:p>
            <w:pPr>
              <w:pStyle w:val="TableParagraph"/>
              <w:spacing w:before="2" w:line="310" w:lineRule="atLeast"/>
              <w:ind w:left="9" w:right="-87"/>
              <w:rPr>
                <w:sz w:val="18"/>
              </w:rPr>
            </w:pPr>
            <w:r>
              <w:rPr>
                <w:sz w:val="18"/>
              </w:rPr>
              <w:t xml:space="preserve">更或者更名、达到设计使用年限继续使用的， 应及时办理变更登记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4"/>
              <w:ind w:left="261" w:right="165"/>
              <w:jc w:val="center"/>
              <w:rPr>
                <w:sz w:val="18"/>
              </w:rPr>
            </w:pPr>
            <w:r>
              <w:rPr>
                <w:sz w:val="18"/>
              </w:rPr>
              <w:t xml:space="preserve">5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4"/>
              <w:ind w:left="18" w:right="-58"/>
              <w:jc w:val="center"/>
              <w:rPr>
                <w:sz w:val="18"/>
              </w:rPr>
            </w:pPr>
            <w:r>
              <w:rPr>
                <w:spacing w:val="-12"/>
                <w:sz w:val="18"/>
              </w:rPr>
              <w:t xml:space="preserve">不符合扣 </w:t>
            </w:r>
            <w:r>
              <w:rPr>
                <w:sz w:val="18"/>
              </w:rPr>
              <w:t>5</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22"/>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22"/>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47"/>
          <w:jc w:val="left"/>
        </w:trPr>
        <w:tc>
          <w:tcPr>
            <w:tcW w:w="843"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9" w:right="158"/>
              <w:jc w:val="center"/>
              <w:rPr>
                <w:sz w:val="18"/>
              </w:rPr>
            </w:pPr>
            <w:r>
              <w:rPr>
                <w:sz w:val="18"/>
              </w:rPr>
              <w:t xml:space="preserve">7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pacing w:val="-9"/>
                <w:sz w:val="18"/>
              </w:rPr>
              <w:t>应将《特种设备使用标志》放置在设备或现</w:t>
            </w:r>
          </w:p>
          <w:p>
            <w:pPr>
              <w:pStyle w:val="TableParagraph"/>
              <w:spacing w:before="79"/>
              <w:ind w:left="9"/>
              <w:rPr>
                <w:sz w:val="18"/>
              </w:rPr>
            </w:pPr>
            <w:r>
              <w:rPr>
                <w:sz w:val="18"/>
              </w:rPr>
              <w:t xml:space="preserve">场显著位置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1"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38"/>
          <w:jc w:val="left"/>
        </w:trPr>
        <w:tc>
          <w:tcPr>
            <w:tcW w:w="843" w:type="dxa"/>
            <w:tcBorders>
              <w:top w:val="single" w:sz="4" w:space="0" w:color="000000"/>
              <w:bottom w:val="single" w:sz="4" w:space="0" w:color="000000"/>
              <w:right w:val="single" w:sz="4" w:space="0" w:color="000000"/>
            </w:tcBorders>
          </w:tcPr>
          <w:p>
            <w:pPr>
              <w:pStyle w:val="TableParagraph"/>
              <w:spacing w:before="50"/>
              <w:ind w:left="269" w:right="158"/>
              <w:jc w:val="center"/>
              <w:rPr>
                <w:sz w:val="18"/>
              </w:rPr>
            </w:pPr>
            <w:r>
              <w:rPr>
                <w:sz w:val="18"/>
              </w:rPr>
              <w:t xml:space="preserve">8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50"/>
              <w:ind w:left="136" w:right="30"/>
              <w:jc w:val="center"/>
              <w:rPr>
                <w:sz w:val="18"/>
              </w:rPr>
            </w:pPr>
            <w:r>
              <w:rPr>
                <w:sz w:val="18"/>
              </w:rPr>
              <w:t xml:space="preserve">定期检验 </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z w:val="18"/>
              </w:rPr>
              <w:t xml:space="preserve">设备定期检验合格且在有效期内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64"/>
              <w:ind w:left="261" w:right="165"/>
              <w:jc w:val="center"/>
              <w:rPr>
                <w:sz w:val="18"/>
              </w:rPr>
            </w:pPr>
            <w:r>
              <w:rPr>
                <w:sz w:val="18"/>
              </w:rPr>
              <w:t xml:space="preserve">7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64"/>
              <w:ind w:left="18" w:right="-58"/>
              <w:jc w:val="center"/>
              <w:rPr>
                <w:sz w:val="18"/>
              </w:rPr>
            </w:pPr>
            <w:r>
              <w:rPr>
                <w:spacing w:val="-12"/>
                <w:sz w:val="18"/>
              </w:rPr>
              <w:t xml:space="preserve">不符合扣 </w:t>
            </w:r>
            <w:r>
              <w:rPr>
                <w:sz w:val="18"/>
              </w:rPr>
              <w:t>7</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50"/>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50"/>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48"/>
          <w:jc w:val="left"/>
        </w:trPr>
        <w:tc>
          <w:tcPr>
            <w:tcW w:w="843"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9" w:right="158"/>
              <w:jc w:val="center"/>
              <w:rPr>
                <w:sz w:val="18"/>
              </w:rPr>
            </w:pPr>
            <w:r>
              <w:rPr>
                <w:sz w:val="18"/>
              </w:rPr>
              <w:t xml:space="preserve">9 </w:t>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0"/>
              <w:rPr>
                <w:sz w:val="23"/>
              </w:rPr>
            </w:pPr>
          </w:p>
          <w:p>
            <w:pPr>
              <w:pStyle w:val="TableParagraph"/>
              <w:ind w:left="50"/>
              <w:rPr>
                <w:sz w:val="18"/>
              </w:rPr>
            </w:pPr>
            <w:r>
              <w:rPr>
                <w:sz w:val="18"/>
              </w:rPr>
              <w:t>水（介）质</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pacing w:val="-9"/>
                <w:sz w:val="18"/>
              </w:rPr>
              <w:t>锅炉水</w:t>
            </w:r>
            <w:r>
              <w:rPr>
                <w:spacing w:val="-3"/>
                <w:sz w:val="18"/>
              </w:rPr>
              <w:t>（介</w:t>
            </w:r>
            <w:r>
              <w:rPr>
                <w:spacing w:val="-22"/>
                <w:sz w:val="18"/>
              </w:rPr>
              <w:t>）</w:t>
            </w:r>
            <w:r>
              <w:rPr>
                <w:spacing w:val="-4"/>
                <w:sz w:val="18"/>
              </w:rPr>
              <w:t>质处理应经特种设备检验机构</w:t>
            </w:r>
          </w:p>
          <w:p>
            <w:pPr>
              <w:pStyle w:val="TableParagraph"/>
              <w:spacing w:before="80"/>
              <w:ind w:left="9"/>
              <w:rPr>
                <w:sz w:val="18"/>
              </w:rPr>
            </w:pPr>
            <w:r>
              <w:rPr>
                <w:sz w:val="18"/>
              </w:rPr>
              <w:t xml:space="preserve">的定期检验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3"/>
              <w:rPr>
                <w:sz w:val="17"/>
              </w:rPr>
            </w:pPr>
          </w:p>
          <w:p>
            <w:pPr>
              <w:pStyle w:val="TableParagraph"/>
              <w:ind w:left="261"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3"/>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50"/>
          <w:jc w:val="left"/>
        </w:trPr>
        <w:tc>
          <w:tcPr>
            <w:tcW w:w="843"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267" w:right="158"/>
              <w:jc w:val="center"/>
              <w:rPr>
                <w:sz w:val="18"/>
              </w:rPr>
            </w:pPr>
            <w:r>
              <w:rPr>
                <w:sz w:val="18"/>
              </w:rPr>
              <w:t xml:space="preserve">10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ight="-44"/>
              <w:rPr>
                <w:sz w:val="18"/>
              </w:rPr>
            </w:pPr>
            <w:r>
              <w:rPr>
                <w:spacing w:val="-3"/>
                <w:sz w:val="18"/>
              </w:rPr>
              <w:t>应做好锅炉水（</w:t>
            </w:r>
            <w:r>
              <w:rPr>
                <w:sz w:val="18"/>
              </w:rPr>
              <w:t>介</w:t>
            </w:r>
            <w:r>
              <w:rPr>
                <w:spacing w:val="-3"/>
                <w:sz w:val="18"/>
              </w:rPr>
              <w:t>）质的处理和监测工作，</w:t>
            </w:r>
          </w:p>
          <w:p>
            <w:pPr>
              <w:pStyle w:val="TableParagraph"/>
              <w:spacing w:before="82"/>
              <w:ind w:left="9"/>
              <w:rPr>
                <w:sz w:val="18"/>
              </w:rPr>
            </w:pPr>
            <w:r>
              <w:rPr>
                <w:sz w:val="18"/>
              </w:rPr>
              <w:t xml:space="preserve">并有相关的记录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1"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59"/>
          <w:jc w:val="left"/>
        </w:trPr>
        <w:tc>
          <w:tcPr>
            <w:tcW w:w="843"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31"/>
              <w:ind w:left="267" w:right="158"/>
              <w:jc w:val="center"/>
              <w:rPr>
                <w:sz w:val="18"/>
              </w:rPr>
            </w:pPr>
            <w:r>
              <w:rPr>
                <w:sz w:val="18"/>
              </w:rPr>
              <w:t xml:space="preserve">11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36" w:right="30"/>
              <w:jc w:val="center"/>
              <w:rPr>
                <w:sz w:val="18"/>
              </w:rPr>
            </w:pPr>
            <w:r>
              <w:rPr>
                <w:sz w:val="18"/>
              </w:rPr>
              <w:t xml:space="preserve">化学清晰 </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line="321" w:lineRule="auto"/>
              <w:ind w:left="9" w:firstLine="177"/>
              <w:rPr>
                <w:sz w:val="18"/>
              </w:rPr>
            </w:pPr>
            <w:r>
              <w:rPr>
                <w:spacing w:val="3"/>
                <w:sz w:val="18"/>
              </w:rPr>
              <w:t>应约请具有相应能力的化学清洗单位进行</w:t>
            </w:r>
            <w:r>
              <w:rPr>
                <w:spacing w:val="-9"/>
                <w:sz w:val="18"/>
              </w:rPr>
              <w:t>化学清洗，化学清洗过程应接受特种设备检验</w:t>
            </w:r>
          </w:p>
          <w:p>
            <w:pPr>
              <w:pStyle w:val="TableParagraph"/>
              <w:spacing w:before="4"/>
              <w:ind w:left="9"/>
              <w:rPr>
                <w:sz w:val="18"/>
              </w:rPr>
            </w:pPr>
            <w:r>
              <w:rPr>
                <w:sz w:val="18"/>
              </w:rPr>
              <w:t xml:space="preserve">机构的监督检验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6"/>
              <w:ind w:left="261"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6"/>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31"/>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44"/>
          <w:jc w:val="left"/>
        </w:trPr>
        <w:tc>
          <w:tcPr>
            <w:tcW w:w="843"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267" w:right="158"/>
              <w:jc w:val="center"/>
              <w:rPr>
                <w:sz w:val="18"/>
              </w:rPr>
            </w:pPr>
            <w:r>
              <w:rPr>
                <w:sz w:val="18"/>
              </w:rPr>
              <w:t xml:space="preserve">12 </w:t>
            </w:r>
          </w:p>
        </w:tc>
        <w:tc>
          <w:tcPr>
            <w:tcW w:w="991" w:type="dxa"/>
            <w:vMerge w:val="restart"/>
            <w:tcBorders>
              <w:top w:val="single" w:sz="4" w:space="0" w:color="000000"/>
              <w:left w:val="single" w:sz="4" w:space="0" w:color="000000"/>
              <w:right w:val="single" w:sz="4" w:space="0" w:color="000000"/>
            </w:tcBorders>
          </w:tcPr>
          <w:p>
            <w:pPr>
              <w:pStyle w:val="TableParagraph"/>
              <w:rPr>
                <w:sz w:val="18"/>
              </w:rPr>
            </w:pPr>
          </w:p>
          <w:p>
            <w:pPr>
              <w:pStyle w:val="TableParagraph"/>
              <w:spacing w:before="150"/>
              <w:ind w:left="138"/>
              <w:rPr>
                <w:sz w:val="18"/>
              </w:rPr>
            </w:pPr>
            <w:r>
              <w:rPr>
                <w:sz w:val="18"/>
              </w:rPr>
              <w:t xml:space="preserve">维护保养 </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7"/>
              <w:ind w:left="187"/>
              <w:rPr>
                <w:sz w:val="18"/>
              </w:rPr>
            </w:pPr>
            <w:r>
              <w:rPr>
                <w:spacing w:val="-6"/>
                <w:sz w:val="18"/>
              </w:rPr>
              <w:t>应对在用特种设备进行经常性维护保养，并</w:t>
            </w:r>
          </w:p>
          <w:p>
            <w:pPr>
              <w:pStyle w:val="TableParagraph"/>
              <w:spacing w:before="79"/>
              <w:ind w:left="9"/>
              <w:rPr>
                <w:sz w:val="18"/>
              </w:rPr>
            </w:pPr>
            <w:r>
              <w:rPr>
                <w:sz w:val="18"/>
              </w:rPr>
              <w:t xml:space="preserve">有记录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261" w:right="165"/>
              <w:jc w:val="center"/>
              <w:rPr>
                <w:sz w:val="18"/>
              </w:rPr>
            </w:pPr>
            <w:r>
              <w:rPr>
                <w:sz w:val="18"/>
              </w:rPr>
              <w:t xml:space="preserve">5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18" w:right="-58"/>
              <w:jc w:val="center"/>
              <w:rPr>
                <w:sz w:val="18"/>
              </w:rPr>
            </w:pPr>
            <w:r>
              <w:rPr>
                <w:spacing w:val="-12"/>
                <w:sz w:val="18"/>
              </w:rPr>
              <w:t xml:space="preserve">不符合扣 </w:t>
            </w:r>
            <w:r>
              <w:rPr>
                <w:sz w:val="18"/>
              </w:rPr>
              <w:t>5</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10"/>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08"/>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32"/>
          <w:jc w:val="left"/>
        </w:trPr>
        <w:tc>
          <w:tcPr>
            <w:tcW w:w="843" w:type="dxa"/>
            <w:tcBorders>
              <w:top w:val="single" w:sz="4" w:space="0" w:color="000000"/>
              <w:right w:val="single" w:sz="4" w:space="0" w:color="000000"/>
            </w:tcBorders>
          </w:tcPr>
          <w:p>
            <w:pPr>
              <w:pStyle w:val="TableParagraph"/>
              <w:spacing w:before="45"/>
              <w:ind w:left="267" w:right="158"/>
              <w:jc w:val="center"/>
              <w:rPr>
                <w:sz w:val="18"/>
              </w:rPr>
            </w:pPr>
            <w:r>
              <w:rPr>
                <w:sz w:val="18"/>
              </w:rPr>
              <w:t xml:space="preserve">13 </w:t>
            </w:r>
          </w:p>
        </w:tc>
        <w:tc>
          <w:tcPr>
            <w:tcW w:w="991" w:type="dxa"/>
            <w:vMerge/>
            <w:tcBorders>
              <w:top w:val="nil"/>
              <w:left w:val="single" w:sz="4" w:space="0" w:color="000000"/>
              <w:right w:val="single" w:sz="4" w:space="0" w:color="000000"/>
            </w:tcBorders>
          </w:tcPr>
          <w:p>
            <w:pPr>
              <w:rPr>
                <w:sz w:val="2"/>
                <w:szCs w:val="2"/>
              </w:rPr>
            </w:pPr>
          </w:p>
        </w:tc>
        <w:tc>
          <w:tcPr>
            <w:tcW w:w="3546" w:type="dxa"/>
            <w:tcBorders>
              <w:top w:val="single" w:sz="4" w:space="0" w:color="000000"/>
              <w:left w:val="single" w:sz="4" w:space="0" w:color="000000"/>
              <w:right w:val="single" w:sz="4" w:space="0" w:color="000000"/>
            </w:tcBorders>
          </w:tcPr>
          <w:p>
            <w:pPr>
              <w:pStyle w:val="TableParagraph"/>
              <w:spacing w:before="59"/>
              <w:ind w:left="187"/>
              <w:rPr>
                <w:sz w:val="18"/>
              </w:rPr>
            </w:pPr>
            <w:r>
              <w:rPr>
                <w:sz w:val="18"/>
              </w:rPr>
              <w:t xml:space="preserve">每月至少进行一次定期自行检查 </w:t>
            </w:r>
          </w:p>
        </w:tc>
        <w:tc>
          <w:tcPr>
            <w:tcW w:w="850" w:type="dxa"/>
            <w:tcBorders>
              <w:top w:val="single" w:sz="4" w:space="0" w:color="000000"/>
              <w:left w:val="single" w:sz="4" w:space="0" w:color="000000"/>
              <w:right w:val="single" w:sz="4" w:space="0" w:color="000000"/>
            </w:tcBorders>
          </w:tcPr>
          <w:p>
            <w:pPr>
              <w:pStyle w:val="TableParagraph"/>
              <w:spacing w:before="59"/>
              <w:ind w:left="261" w:right="165"/>
              <w:jc w:val="center"/>
              <w:rPr>
                <w:sz w:val="18"/>
              </w:rPr>
            </w:pPr>
            <w:r>
              <w:rPr>
                <w:sz w:val="18"/>
              </w:rPr>
              <w:t xml:space="preserve">5 </w:t>
            </w:r>
          </w:p>
        </w:tc>
        <w:tc>
          <w:tcPr>
            <w:tcW w:w="1133" w:type="dxa"/>
            <w:tcBorders>
              <w:top w:val="single" w:sz="4" w:space="0" w:color="000000"/>
              <w:left w:val="single" w:sz="4" w:space="0" w:color="000000"/>
              <w:right w:val="single" w:sz="4" w:space="0" w:color="000000"/>
            </w:tcBorders>
          </w:tcPr>
          <w:p>
            <w:pPr>
              <w:pStyle w:val="TableParagraph"/>
              <w:spacing w:before="59"/>
              <w:ind w:left="18" w:right="-58"/>
              <w:jc w:val="center"/>
              <w:rPr>
                <w:sz w:val="18"/>
              </w:rPr>
            </w:pPr>
            <w:r>
              <w:rPr>
                <w:spacing w:val="-12"/>
                <w:sz w:val="18"/>
              </w:rPr>
              <w:t xml:space="preserve">不符合扣 </w:t>
            </w:r>
            <w:r>
              <w:rPr>
                <w:sz w:val="18"/>
              </w:rPr>
              <w:t>5</w:t>
            </w:r>
            <w:r>
              <w:rPr>
                <w:spacing w:val="-26"/>
                <w:sz w:val="18"/>
              </w:rPr>
              <w:t xml:space="preserve"> 分</w:t>
            </w:r>
            <w:r>
              <w:rPr>
                <w:sz w:val="18"/>
              </w:rPr>
              <w:t xml:space="preserve"> </w:t>
            </w:r>
          </w:p>
        </w:tc>
        <w:tc>
          <w:tcPr>
            <w:tcW w:w="642" w:type="dxa"/>
            <w:tcBorders>
              <w:top w:val="single" w:sz="4" w:space="0" w:color="000000"/>
              <w:left w:val="single" w:sz="4" w:space="0" w:color="000000"/>
              <w:right w:val="single" w:sz="4" w:space="0" w:color="000000"/>
            </w:tcBorders>
          </w:tcPr>
          <w:p>
            <w:pPr>
              <w:pStyle w:val="TableParagraph"/>
              <w:spacing w:before="45"/>
              <w:ind w:left="110"/>
              <w:jc w:val="center"/>
              <w:rPr>
                <w:sz w:val="18"/>
              </w:rPr>
            </w:pPr>
            <w:r>
              <w:rPr>
                <w:sz w:val="18"/>
              </w:rPr>
              <w:t xml:space="preserve"> </w:t>
            </w:r>
          </w:p>
        </w:tc>
        <w:tc>
          <w:tcPr>
            <w:tcW w:w="1333" w:type="dxa"/>
            <w:tcBorders>
              <w:top w:val="single" w:sz="4" w:space="0" w:color="000000"/>
              <w:left w:val="single" w:sz="4" w:space="0" w:color="000000"/>
            </w:tcBorders>
          </w:tcPr>
          <w:p>
            <w:pPr>
              <w:pStyle w:val="TableParagraph"/>
              <w:spacing w:before="45"/>
              <w:ind w:left="108"/>
              <w:jc w:val="center"/>
              <w:rPr>
                <w:sz w:val="18"/>
              </w:rPr>
            </w:pPr>
            <w:r>
              <w:rPr>
                <w:sz w:val="18"/>
              </w:rPr>
              <w:t xml:space="preserve"> </w:t>
            </w:r>
          </w:p>
        </w:tc>
      </w:tr>
    </w:tbl>
    <w:p>
      <w:pPr>
        <w:spacing w:after="0"/>
        <w:jc w:val="center"/>
        <w:rPr>
          <w:sz w:val="18"/>
        </w:rPr>
        <w:sectPr>
          <w:headerReference w:type="even" r:id="rId41"/>
          <w:headerReference w:type="default" r:id="rId42"/>
          <w:footerReference w:type="even" r:id="rId43"/>
          <w:footerReference w:type="default" r:id="rId44"/>
          <w:pgSz w:w="11910" w:h="16840"/>
          <w:pgMar w:top="1640" w:right="720" w:bottom="1320" w:left="1000" w:header="1448" w:footer="1141"/>
          <w:pgNumType w:start="8"/>
          <w:cols w:space="708"/>
        </w:sectPr>
      </w:pPr>
    </w:p>
    <w:p>
      <w:pPr>
        <w:pStyle w:val="BodyText"/>
        <w:spacing w:before="1"/>
        <w:rPr>
          <w:sz w:val="17"/>
        </w:rPr>
      </w:pPr>
    </w:p>
    <w:p>
      <w:pPr>
        <w:pStyle w:val="BodyText"/>
        <w:spacing w:before="72"/>
        <w:ind w:left="5"/>
        <w:jc w:val="center"/>
      </w:pPr>
      <w:r>
        <w:rPr>
          <w:rFonts w:ascii="黑体" w:eastAsia="黑体" w:hint="eastAsia"/>
        </w:rPr>
        <w:t>表B.1 特种设备使用安全管理分种类评价表（锅炉）</w:t>
      </w:r>
      <w:r>
        <w:t>（续）</w:t>
      </w:r>
    </w:p>
    <w:p>
      <w:pPr>
        <w:pStyle w:val="BodyText"/>
        <w:spacing w:before="9" w:after="1"/>
        <w:rPr>
          <w:sz w:val="13"/>
        </w:rPr>
      </w:pPr>
    </w:p>
    <w:tbl>
      <w:tblPr>
        <w:tblStyle w:val="TableNormal4"/>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991"/>
        <w:gridCol w:w="3546"/>
        <w:gridCol w:w="850"/>
        <w:gridCol w:w="1133"/>
        <w:gridCol w:w="642"/>
        <w:gridCol w:w="1333"/>
      </w:tblGrid>
      <w:tr>
        <w:tblPrEx>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842" w:type="dxa"/>
            <w:tcBorders>
              <w:right w:val="single" w:sz="4" w:space="0" w:color="000000"/>
            </w:tcBorders>
          </w:tcPr>
          <w:p>
            <w:pPr>
              <w:pStyle w:val="TableParagraph"/>
              <w:spacing w:before="40"/>
              <w:ind w:left="266" w:right="160"/>
              <w:jc w:val="center"/>
              <w:rPr>
                <w:sz w:val="18"/>
              </w:rPr>
            </w:pPr>
            <w:r>
              <w:rPr>
                <w:sz w:val="18"/>
              </w:rPr>
              <w:t xml:space="preserve">序号 </w:t>
            </w:r>
          </w:p>
        </w:tc>
        <w:tc>
          <w:tcPr>
            <w:tcW w:w="991" w:type="dxa"/>
            <w:tcBorders>
              <w:left w:val="single" w:sz="4" w:space="0" w:color="000000"/>
              <w:right w:val="single" w:sz="4" w:space="0" w:color="000000"/>
            </w:tcBorders>
          </w:tcPr>
          <w:p>
            <w:pPr>
              <w:pStyle w:val="TableParagraph"/>
              <w:spacing w:before="40"/>
              <w:ind w:left="316"/>
              <w:rPr>
                <w:sz w:val="18"/>
              </w:rPr>
            </w:pPr>
            <w:r>
              <w:rPr>
                <w:sz w:val="18"/>
              </w:rPr>
              <w:t xml:space="preserve">项目 </w:t>
            </w:r>
          </w:p>
        </w:tc>
        <w:tc>
          <w:tcPr>
            <w:tcW w:w="3546" w:type="dxa"/>
            <w:tcBorders>
              <w:left w:val="single" w:sz="4" w:space="0" w:color="000000"/>
              <w:right w:val="single" w:sz="4" w:space="0" w:color="000000"/>
            </w:tcBorders>
          </w:tcPr>
          <w:p>
            <w:pPr>
              <w:pStyle w:val="TableParagraph"/>
              <w:spacing w:before="40"/>
              <w:ind w:left="1440" w:right="1333"/>
              <w:jc w:val="center"/>
              <w:rPr>
                <w:sz w:val="18"/>
              </w:rPr>
            </w:pPr>
            <w:r>
              <w:rPr>
                <w:sz w:val="18"/>
              </w:rPr>
              <w:t xml:space="preserve">评价内容 </w:t>
            </w:r>
          </w:p>
        </w:tc>
        <w:tc>
          <w:tcPr>
            <w:tcW w:w="850" w:type="dxa"/>
            <w:tcBorders>
              <w:left w:val="single" w:sz="4" w:space="0" w:color="000000"/>
              <w:right w:val="single" w:sz="4" w:space="0" w:color="000000"/>
            </w:tcBorders>
          </w:tcPr>
          <w:p>
            <w:pPr>
              <w:pStyle w:val="TableParagraph"/>
              <w:spacing w:before="40"/>
              <w:ind w:left="274" w:right="165"/>
              <w:jc w:val="center"/>
              <w:rPr>
                <w:sz w:val="18"/>
              </w:rPr>
            </w:pPr>
            <w:r>
              <w:rPr>
                <w:sz w:val="18"/>
              </w:rPr>
              <w:t xml:space="preserve">分值 </w:t>
            </w:r>
          </w:p>
        </w:tc>
        <w:tc>
          <w:tcPr>
            <w:tcW w:w="1133" w:type="dxa"/>
            <w:tcBorders>
              <w:left w:val="single" w:sz="4" w:space="0" w:color="000000"/>
              <w:right w:val="single" w:sz="4" w:space="0" w:color="000000"/>
            </w:tcBorders>
          </w:tcPr>
          <w:p>
            <w:pPr>
              <w:pStyle w:val="TableParagraph"/>
              <w:spacing w:before="40"/>
              <w:ind w:left="233" w:right="125"/>
              <w:jc w:val="center"/>
              <w:rPr>
                <w:sz w:val="18"/>
              </w:rPr>
            </w:pPr>
            <w:r>
              <w:rPr>
                <w:sz w:val="18"/>
              </w:rPr>
              <w:t xml:space="preserve">评分则则 </w:t>
            </w:r>
          </w:p>
        </w:tc>
        <w:tc>
          <w:tcPr>
            <w:tcW w:w="642" w:type="dxa"/>
            <w:tcBorders>
              <w:left w:val="single" w:sz="4" w:space="0" w:color="000000"/>
              <w:right w:val="single" w:sz="4" w:space="0" w:color="000000"/>
            </w:tcBorders>
          </w:tcPr>
          <w:p>
            <w:pPr>
              <w:pStyle w:val="TableParagraph"/>
              <w:spacing w:before="40"/>
              <w:ind w:left="167" w:right="61"/>
              <w:jc w:val="center"/>
              <w:rPr>
                <w:sz w:val="18"/>
              </w:rPr>
            </w:pPr>
            <w:r>
              <w:rPr>
                <w:sz w:val="18"/>
              </w:rPr>
              <w:t xml:space="preserve">扣分 </w:t>
            </w:r>
          </w:p>
        </w:tc>
        <w:tc>
          <w:tcPr>
            <w:tcW w:w="1333" w:type="dxa"/>
            <w:tcBorders>
              <w:left w:val="single" w:sz="4" w:space="0" w:color="000000"/>
            </w:tcBorders>
          </w:tcPr>
          <w:p>
            <w:pPr>
              <w:pStyle w:val="TableParagraph"/>
              <w:spacing w:before="40"/>
              <w:ind w:left="329" w:right="225"/>
              <w:jc w:val="center"/>
              <w:rPr>
                <w:sz w:val="18"/>
              </w:rPr>
            </w:pPr>
            <w:r>
              <w:rPr>
                <w:sz w:val="18"/>
              </w:rPr>
              <w:t xml:space="preserve">存在问题 </w:t>
            </w:r>
          </w:p>
        </w:tc>
      </w:tr>
      <w:tr>
        <w:tblPrEx>
          <w:tblW w:w="0" w:type="auto"/>
          <w:jc w:val="left"/>
          <w:tblInd w:w="438" w:type="dxa"/>
          <w:tblLayout w:type="fixed"/>
          <w:tblCellMar>
            <w:top w:w="0" w:type="dxa"/>
            <w:left w:w="0" w:type="dxa"/>
            <w:bottom w:w="0" w:type="dxa"/>
            <w:right w:w="0" w:type="dxa"/>
          </w:tblCellMar>
          <w:tblLook w:val="01E0"/>
        </w:tblPrEx>
        <w:trPr>
          <w:trHeight w:val="647"/>
          <w:jc w:val="left"/>
        </w:trPr>
        <w:tc>
          <w:tcPr>
            <w:tcW w:w="842" w:type="dxa"/>
            <w:tcBorders>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14 </w:t>
            </w:r>
          </w:p>
        </w:tc>
        <w:tc>
          <w:tcPr>
            <w:tcW w:w="991" w:type="dxa"/>
            <w:vMerge w:val="restart"/>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20"/>
              </w:rPr>
            </w:pPr>
          </w:p>
          <w:p>
            <w:pPr>
              <w:pStyle w:val="TableParagraph"/>
              <w:spacing w:before="1" w:line="324" w:lineRule="auto"/>
              <w:ind w:left="48" w:right="30"/>
              <w:jc w:val="center"/>
              <w:rPr>
                <w:sz w:val="18"/>
              </w:rPr>
            </w:pPr>
            <w:r>
              <w:rPr>
                <w:sz w:val="18"/>
              </w:rPr>
              <w:t xml:space="preserve">安全附件和安全保护装置 </w:t>
            </w:r>
          </w:p>
        </w:tc>
        <w:tc>
          <w:tcPr>
            <w:tcW w:w="3546" w:type="dxa"/>
            <w:tcBorders>
              <w:left w:val="single" w:sz="4" w:space="0" w:color="000000"/>
              <w:bottom w:val="single" w:sz="4" w:space="0" w:color="000000"/>
              <w:right w:val="single" w:sz="4" w:space="0" w:color="000000"/>
            </w:tcBorders>
          </w:tcPr>
          <w:p>
            <w:pPr>
              <w:pStyle w:val="TableParagraph"/>
              <w:spacing w:before="64"/>
              <w:ind w:left="187" w:right="-15"/>
              <w:rPr>
                <w:sz w:val="18"/>
              </w:rPr>
            </w:pPr>
            <w:r>
              <w:rPr>
                <w:spacing w:val="-9"/>
                <w:sz w:val="18"/>
              </w:rPr>
              <w:t>安全阀铅封、校验标签应完好，在校验有效</w:t>
            </w:r>
          </w:p>
          <w:p>
            <w:pPr>
              <w:pStyle w:val="TableParagraph"/>
              <w:spacing w:before="79"/>
              <w:ind w:left="9"/>
              <w:rPr>
                <w:sz w:val="18"/>
              </w:rPr>
            </w:pPr>
            <w:r>
              <w:rPr>
                <w:sz w:val="18"/>
              </w:rPr>
              <w:t xml:space="preserve">期内使用 </w:t>
            </w:r>
          </w:p>
        </w:tc>
        <w:tc>
          <w:tcPr>
            <w:tcW w:w="850" w:type="dxa"/>
            <w:tcBorders>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3 </w:t>
            </w:r>
          </w:p>
        </w:tc>
        <w:tc>
          <w:tcPr>
            <w:tcW w:w="1133" w:type="dxa"/>
            <w:tcBorders>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264" w:right="160"/>
              <w:jc w:val="center"/>
              <w:rPr>
                <w:sz w:val="18"/>
              </w:rPr>
            </w:pPr>
            <w:r>
              <w:rPr>
                <w:sz w:val="18"/>
              </w:rPr>
              <w:t xml:space="preserve">15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7"/>
              <w:ind w:left="187"/>
              <w:rPr>
                <w:sz w:val="18"/>
              </w:rPr>
            </w:pPr>
            <w:r>
              <w:rPr>
                <w:spacing w:val="-6"/>
                <w:sz w:val="18"/>
              </w:rPr>
              <w:t>应定期进行安全阀排放试验，并有记录，排</w:t>
            </w:r>
          </w:p>
          <w:p>
            <w:pPr>
              <w:pStyle w:val="TableParagraph"/>
              <w:spacing w:before="79"/>
              <w:ind w:left="9"/>
              <w:rPr>
                <w:sz w:val="18"/>
              </w:rPr>
            </w:pPr>
            <w:r>
              <w:rPr>
                <w:sz w:val="18"/>
              </w:rPr>
              <w:t xml:space="preserve">汽管应引到安全地点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16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ight="-15"/>
              <w:rPr>
                <w:sz w:val="18"/>
              </w:rPr>
            </w:pPr>
            <w:r>
              <w:rPr>
                <w:spacing w:val="-8"/>
                <w:sz w:val="18"/>
              </w:rPr>
              <w:t>水位表上应有最低、最高安全水位和正常水</w:t>
            </w:r>
          </w:p>
          <w:p>
            <w:pPr>
              <w:pStyle w:val="TableParagraph"/>
              <w:spacing w:before="82"/>
              <w:ind w:left="9"/>
              <w:rPr>
                <w:sz w:val="18"/>
              </w:rPr>
            </w:pPr>
            <w:r>
              <w:rPr>
                <w:sz w:val="18"/>
              </w:rPr>
              <w:t xml:space="preserve">位的明显标志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48"/>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17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z w:val="18"/>
              </w:rPr>
              <w:t>水位应清晰，两只水位表显示的水位应一</w:t>
            </w:r>
          </w:p>
          <w:p>
            <w:pPr>
              <w:pStyle w:val="TableParagraph"/>
              <w:spacing w:before="79"/>
              <w:ind w:left="9"/>
              <w:rPr>
                <w:sz w:val="18"/>
              </w:rPr>
            </w:pPr>
            <w:r>
              <w:rPr>
                <w:sz w:val="18"/>
              </w:rPr>
              <w:t xml:space="preserve">致，应有定期冲洗记录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264" w:right="160"/>
              <w:jc w:val="center"/>
              <w:rPr>
                <w:sz w:val="18"/>
              </w:rPr>
            </w:pPr>
            <w:r>
              <w:rPr>
                <w:sz w:val="18"/>
              </w:rPr>
              <w:t xml:space="preserve">18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ight="-15"/>
              <w:rPr>
                <w:sz w:val="18"/>
              </w:rPr>
            </w:pPr>
            <w:r>
              <w:rPr>
                <w:spacing w:val="-7"/>
                <w:sz w:val="18"/>
              </w:rPr>
              <w:t>压力表应在有效期内，表盘应有工作压力指</w:t>
            </w:r>
          </w:p>
          <w:p>
            <w:pPr>
              <w:pStyle w:val="TableParagraph"/>
              <w:spacing w:before="82"/>
              <w:ind w:left="9"/>
              <w:rPr>
                <w:sz w:val="18"/>
              </w:rPr>
            </w:pPr>
            <w:r>
              <w:rPr>
                <w:sz w:val="18"/>
              </w:rPr>
              <w:t xml:space="preserve">示红线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47"/>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19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right="-15"/>
              <w:jc w:val="right"/>
              <w:rPr>
                <w:sz w:val="18"/>
              </w:rPr>
            </w:pPr>
            <w:r>
              <w:rPr>
                <w:sz w:val="18"/>
              </w:rPr>
              <w:t>高低水位、超压、超温及熄火等报警及联锁</w:t>
            </w:r>
          </w:p>
          <w:p>
            <w:pPr>
              <w:pStyle w:val="TableParagraph"/>
              <w:spacing w:before="79"/>
              <w:ind w:right="51"/>
              <w:jc w:val="right"/>
              <w:rPr>
                <w:sz w:val="18"/>
              </w:rPr>
            </w:pPr>
            <w:r>
              <w:rPr>
                <w:sz w:val="18"/>
              </w:rPr>
              <w:t xml:space="preserve">保护装置应完好，应有定期的功能检查记录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264" w:right="160"/>
              <w:jc w:val="center"/>
              <w:rPr>
                <w:sz w:val="18"/>
              </w:rPr>
            </w:pPr>
            <w:r>
              <w:rPr>
                <w:sz w:val="18"/>
              </w:rPr>
              <w:t xml:space="preserve">20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z w:val="18"/>
              </w:rPr>
              <w:t>燃气锅炉应按要求设置可燃气体浓度报警</w:t>
            </w:r>
          </w:p>
          <w:p>
            <w:pPr>
              <w:pStyle w:val="TableParagraph"/>
              <w:spacing w:before="82"/>
              <w:ind w:left="9"/>
              <w:rPr>
                <w:sz w:val="18"/>
              </w:rPr>
            </w:pPr>
            <w:r>
              <w:rPr>
                <w:sz w:val="18"/>
              </w:rPr>
              <w:t xml:space="preserve">装置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959"/>
          <w:jc w:val="left"/>
        </w:trPr>
        <w:tc>
          <w:tcPr>
            <w:tcW w:w="842"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31"/>
              <w:ind w:left="264" w:right="160"/>
              <w:jc w:val="center"/>
              <w:rPr>
                <w:sz w:val="18"/>
              </w:rPr>
            </w:pPr>
            <w:r>
              <w:rPr>
                <w:sz w:val="18"/>
              </w:rPr>
              <w:t xml:space="preserve">21 </w:t>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
              <w:rPr>
                <w:sz w:val="14"/>
              </w:rPr>
            </w:pPr>
          </w:p>
          <w:p>
            <w:pPr>
              <w:pStyle w:val="TableParagraph"/>
              <w:ind w:left="136"/>
              <w:rPr>
                <w:sz w:val="18"/>
              </w:rPr>
            </w:pPr>
            <w:r>
              <w:rPr>
                <w:sz w:val="18"/>
              </w:rPr>
              <w:t xml:space="preserve">现场管理 </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line="321" w:lineRule="auto"/>
              <w:ind w:left="9" w:right="-15" w:firstLine="177"/>
              <w:rPr>
                <w:sz w:val="18"/>
              </w:rPr>
            </w:pPr>
            <w:r>
              <w:rPr>
                <w:spacing w:val="-8"/>
                <w:sz w:val="18"/>
              </w:rPr>
              <w:t>锅炉房应独立设置，当需与其他建筑相连时</w:t>
            </w:r>
            <w:r>
              <w:rPr>
                <w:spacing w:val="3"/>
                <w:sz w:val="18"/>
              </w:rPr>
              <w:t>严禁设在人员密集场所和重要部门的相邻位</w:t>
            </w:r>
          </w:p>
          <w:p>
            <w:pPr>
              <w:pStyle w:val="TableParagraph"/>
              <w:spacing w:before="4"/>
              <w:ind w:left="9"/>
              <w:rPr>
                <w:sz w:val="18"/>
              </w:rPr>
            </w:pPr>
            <w:r>
              <w:rPr>
                <w:sz w:val="18"/>
              </w:rPr>
              <w:t xml:space="preserve">置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6"/>
              <w:ind w:left="262" w:right="165"/>
              <w:jc w:val="center"/>
              <w:rPr>
                <w:sz w:val="18"/>
              </w:rPr>
            </w:pPr>
            <w:r>
              <w:rPr>
                <w:sz w:val="18"/>
              </w:rPr>
              <w:t xml:space="preserve">4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6"/>
              <w:ind w:left="18" w:right="-58"/>
              <w:jc w:val="center"/>
              <w:rPr>
                <w:sz w:val="18"/>
              </w:rPr>
            </w:pPr>
            <w:r>
              <w:rPr>
                <w:spacing w:val="-12"/>
                <w:sz w:val="18"/>
              </w:rPr>
              <w:t xml:space="preserve">不符合扣 </w:t>
            </w:r>
            <w:r>
              <w:rPr>
                <w:sz w:val="18"/>
              </w:rPr>
              <w:t>4</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31"/>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8"/>
          <w:jc w:val="left"/>
        </w:trPr>
        <w:tc>
          <w:tcPr>
            <w:tcW w:w="842" w:type="dxa"/>
            <w:tcBorders>
              <w:top w:val="single" w:sz="4" w:space="0" w:color="000000"/>
              <w:bottom w:val="single" w:sz="4" w:space="0" w:color="000000"/>
              <w:right w:val="single" w:sz="4" w:space="0" w:color="000000"/>
            </w:tcBorders>
          </w:tcPr>
          <w:p>
            <w:pPr>
              <w:pStyle w:val="TableParagraph"/>
              <w:spacing w:before="52"/>
              <w:ind w:left="264" w:right="160"/>
              <w:jc w:val="center"/>
              <w:rPr>
                <w:sz w:val="18"/>
              </w:rPr>
            </w:pPr>
            <w:r>
              <w:rPr>
                <w:sz w:val="18"/>
              </w:rPr>
              <w:t xml:space="preserve">22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7"/>
              <w:ind w:left="187"/>
              <w:rPr>
                <w:sz w:val="18"/>
              </w:rPr>
            </w:pPr>
            <w:r>
              <w:rPr>
                <w:sz w:val="18"/>
              </w:rPr>
              <w:t xml:space="preserve">应有运行记录、值班记录和交接班记录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67"/>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67"/>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52"/>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52"/>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8"/>
          <w:jc w:val="left"/>
        </w:trPr>
        <w:tc>
          <w:tcPr>
            <w:tcW w:w="842" w:type="dxa"/>
            <w:tcBorders>
              <w:top w:val="single" w:sz="4" w:space="0" w:color="000000"/>
              <w:bottom w:val="single" w:sz="4" w:space="0" w:color="000000"/>
              <w:right w:val="single" w:sz="4" w:space="0" w:color="000000"/>
            </w:tcBorders>
          </w:tcPr>
          <w:p>
            <w:pPr>
              <w:pStyle w:val="TableParagraph"/>
              <w:spacing w:before="50"/>
              <w:ind w:left="264" w:right="160"/>
              <w:jc w:val="center"/>
              <w:rPr>
                <w:sz w:val="18"/>
              </w:rPr>
            </w:pPr>
            <w:r>
              <w:rPr>
                <w:sz w:val="18"/>
              </w:rPr>
              <w:t xml:space="preserve">23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5"/>
              <w:ind w:left="187"/>
              <w:rPr>
                <w:sz w:val="18"/>
              </w:rPr>
            </w:pPr>
            <w:r>
              <w:rPr>
                <w:sz w:val="18"/>
              </w:rPr>
              <w:t xml:space="preserve">应有能耗状况记录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65"/>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65"/>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50"/>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50"/>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47"/>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24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pacing w:val="-7"/>
                <w:sz w:val="18"/>
              </w:rPr>
              <w:t>锅炉受压元件应无变形、渗漏、结焦、积灰</w:t>
            </w:r>
          </w:p>
          <w:p>
            <w:pPr>
              <w:pStyle w:val="TableParagraph"/>
              <w:spacing w:before="79"/>
              <w:ind w:left="9"/>
              <w:rPr>
                <w:sz w:val="18"/>
              </w:rPr>
            </w:pPr>
            <w:r>
              <w:rPr>
                <w:sz w:val="18"/>
              </w:rPr>
              <w:t xml:space="preserve">现象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3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3</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264" w:right="160"/>
              <w:jc w:val="center"/>
              <w:rPr>
                <w:sz w:val="18"/>
              </w:rPr>
            </w:pPr>
            <w:r>
              <w:rPr>
                <w:sz w:val="18"/>
              </w:rPr>
              <w:t xml:space="preserve">25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pacing w:val="-9"/>
                <w:sz w:val="18"/>
              </w:rPr>
              <w:t>炉顶、炉墙、保温应无开裂、凸鼓、脱落等</w:t>
            </w:r>
          </w:p>
          <w:p>
            <w:pPr>
              <w:pStyle w:val="TableParagraph"/>
              <w:spacing w:before="82"/>
              <w:ind w:left="9"/>
              <w:rPr>
                <w:sz w:val="18"/>
              </w:rPr>
            </w:pPr>
            <w:r>
              <w:rPr>
                <w:sz w:val="18"/>
              </w:rPr>
              <w:t xml:space="preserve">缺陷；应密封良好，无漏烟现象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47"/>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26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ight="-101"/>
              <w:rPr>
                <w:sz w:val="18"/>
              </w:rPr>
            </w:pPr>
            <w:r>
              <w:rPr>
                <w:spacing w:val="-12"/>
                <w:sz w:val="18"/>
              </w:rPr>
              <w:t>承重结构和支吊架等应无过热、变形、裂纹、</w:t>
            </w:r>
          </w:p>
          <w:p>
            <w:pPr>
              <w:pStyle w:val="TableParagraph"/>
              <w:spacing w:before="79"/>
              <w:ind w:left="9"/>
              <w:rPr>
                <w:sz w:val="18"/>
              </w:rPr>
            </w:pPr>
            <w:r>
              <w:rPr>
                <w:sz w:val="18"/>
              </w:rPr>
              <w:t xml:space="preserve">腐蚀、卡死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264" w:right="160"/>
              <w:jc w:val="center"/>
              <w:rPr>
                <w:sz w:val="18"/>
              </w:rPr>
            </w:pPr>
            <w:r>
              <w:rPr>
                <w:sz w:val="18"/>
              </w:rPr>
              <w:t xml:space="preserve">27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7"/>
              <w:ind w:left="187"/>
              <w:rPr>
                <w:sz w:val="18"/>
              </w:rPr>
            </w:pPr>
            <w:r>
              <w:rPr>
                <w:spacing w:val="-6"/>
                <w:sz w:val="18"/>
              </w:rPr>
              <w:t>锅炉范围内管道及阀门应无泄漏，保温完好</w:t>
            </w:r>
          </w:p>
          <w:p>
            <w:pPr>
              <w:pStyle w:val="TableParagraph"/>
              <w:spacing w:before="79"/>
              <w:ind w:left="9"/>
              <w:rPr>
                <w:sz w:val="18"/>
              </w:rPr>
            </w:pPr>
            <w:r>
              <w:rPr>
                <w:sz w:val="18"/>
              </w:rPr>
              <w:t xml:space="preserve">无破损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28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pacing w:val="-7"/>
                <w:sz w:val="18"/>
              </w:rPr>
              <w:t>排污阀门应畅通，排污时应无振动，应有定</w:t>
            </w:r>
          </w:p>
          <w:p>
            <w:pPr>
              <w:pStyle w:val="TableParagraph"/>
              <w:spacing w:before="82"/>
              <w:ind w:left="9"/>
              <w:rPr>
                <w:sz w:val="18"/>
              </w:rPr>
            </w:pPr>
            <w:r>
              <w:rPr>
                <w:sz w:val="18"/>
              </w:rPr>
              <w:t xml:space="preserve">期的排污记录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48"/>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29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5"/>
              <w:ind w:left="187" w:right="-101"/>
              <w:rPr>
                <w:sz w:val="18"/>
              </w:rPr>
            </w:pPr>
            <w:r>
              <w:rPr>
                <w:spacing w:val="-14"/>
                <w:sz w:val="18"/>
              </w:rPr>
              <w:t>燃烧设备、燃料供应设备及管道、除渣、鼓、</w:t>
            </w:r>
          </w:p>
          <w:p>
            <w:pPr>
              <w:pStyle w:val="TableParagraph"/>
              <w:spacing w:before="79"/>
              <w:ind w:left="9"/>
              <w:rPr>
                <w:sz w:val="18"/>
              </w:rPr>
            </w:pPr>
            <w:r>
              <w:rPr>
                <w:sz w:val="18"/>
              </w:rPr>
              <w:t xml:space="preserve">引风机应正常运转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3"/>
              <w:rPr>
                <w:sz w:val="17"/>
              </w:rPr>
            </w:pPr>
          </w:p>
          <w:p>
            <w:pPr>
              <w:pStyle w:val="TableParagraph"/>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3"/>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842"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264" w:right="160"/>
              <w:jc w:val="center"/>
              <w:rPr>
                <w:sz w:val="18"/>
              </w:rPr>
            </w:pPr>
            <w:r>
              <w:rPr>
                <w:sz w:val="18"/>
              </w:rPr>
              <w:t xml:space="preserve">30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ight="-15"/>
              <w:rPr>
                <w:sz w:val="18"/>
              </w:rPr>
            </w:pPr>
            <w:r>
              <w:rPr>
                <w:spacing w:val="-8"/>
                <w:sz w:val="18"/>
              </w:rPr>
              <w:t>给水设备应完好，匹配合理，水处理设备正</w:t>
            </w:r>
          </w:p>
          <w:p>
            <w:pPr>
              <w:pStyle w:val="TableParagraph"/>
              <w:spacing w:before="82"/>
              <w:ind w:left="9"/>
              <w:rPr>
                <w:sz w:val="18"/>
              </w:rPr>
            </w:pPr>
            <w:r>
              <w:rPr>
                <w:sz w:val="18"/>
              </w:rPr>
              <w:t xml:space="preserve">常运行，除氧装置工作正常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5"/>
          <w:jc w:val="left"/>
        </w:trPr>
        <w:tc>
          <w:tcPr>
            <w:tcW w:w="842" w:type="dxa"/>
            <w:tcBorders>
              <w:top w:val="single" w:sz="4" w:space="0" w:color="000000"/>
              <w:bottom w:val="single" w:sz="4" w:space="0" w:color="000000"/>
              <w:right w:val="single" w:sz="4" w:space="0" w:color="000000"/>
            </w:tcBorders>
          </w:tcPr>
          <w:p>
            <w:pPr>
              <w:pStyle w:val="TableParagraph"/>
              <w:spacing w:before="50"/>
              <w:ind w:left="264" w:right="160"/>
              <w:jc w:val="center"/>
              <w:rPr>
                <w:sz w:val="18"/>
              </w:rPr>
            </w:pPr>
            <w:r>
              <w:rPr>
                <w:sz w:val="18"/>
              </w:rPr>
              <w:t xml:space="preserve">31 </w:t>
            </w: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3546" w:type="dxa"/>
            <w:tcBorders>
              <w:top w:val="single" w:sz="4" w:space="0" w:color="000000"/>
              <w:left w:val="single" w:sz="4" w:space="0" w:color="000000"/>
              <w:bottom w:val="single" w:sz="4" w:space="0" w:color="000000"/>
              <w:right w:val="single" w:sz="4" w:space="0" w:color="000000"/>
            </w:tcBorders>
          </w:tcPr>
          <w:p>
            <w:pPr>
              <w:pStyle w:val="TableParagraph"/>
              <w:spacing w:before="64"/>
              <w:ind w:left="187"/>
              <w:rPr>
                <w:sz w:val="18"/>
              </w:rPr>
            </w:pPr>
            <w:r>
              <w:rPr>
                <w:sz w:val="18"/>
              </w:rPr>
              <w:t xml:space="preserve">锅炉房内应无跑、冒、滴、漏现象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64"/>
              <w:ind w:left="262" w:right="165"/>
              <w:jc w:val="center"/>
              <w:rPr>
                <w:sz w:val="18"/>
              </w:rPr>
            </w:pPr>
            <w:r>
              <w:rPr>
                <w:sz w:val="18"/>
              </w:rPr>
              <w:t xml:space="preserve">2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64"/>
              <w:ind w:left="18" w:right="-58"/>
              <w:jc w:val="center"/>
              <w:rPr>
                <w:sz w:val="18"/>
              </w:rPr>
            </w:pPr>
            <w:r>
              <w:rPr>
                <w:spacing w:val="-12"/>
                <w:sz w:val="18"/>
              </w:rPr>
              <w:t xml:space="preserve">不符合扣 </w:t>
            </w:r>
            <w:r>
              <w:rPr>
                <w:sz w:val="18"/>
              </w:rPr>
              <w:t>2</w:t>
            </w:r>
            <w:r>
              <w:rPr>
                <w:spacing w:val="-26"/>
                <w:sz w:val="18"/>
              </w:rPr>
              <w:t xml:space="preserve"> 分</w:t>
            </w: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50"/>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50"/>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11"/>
          <w:jc w:val="left"/>
        </w:trPr>
        <w:tc>
          <w:tcPr>
            <w:tcW w:w="5379" w:type="dxa"/>
            <w:gridSpan w:val="3"/>
            <w:tcBorders>
              <w:top w:val="single" w:sz="4" w:space="0" w:color="000000"/>
              <w:bottom w:val="single" w:sz="4" w:space="0" w:color="000000"/>
              <w:right w:val="single" w:sz="4" w:space="0" w:color="000000"/>
            </w:tcBorders>
          </w:tcPr>
          <w:p>
            <w:pPr>
              <w:pStyle w:val="TableParagraph"/>
              <w:spacing w:before="38"/>
              <w:ind w:left="2535" w:right="2428"/>
              <w:jc w:val="center"/>
              <w:rPr>
                <w:sz w:val="18"/>
              </w:rPr>
            </w:pPr>
            <w:r>
              <w:rPr>
                <w:sz w:val="18"/>
              </w:rPr>
              <w:t xml:space="preserve">合计 </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38"/>
              <w:ind w:left="272" w:right="165"/>
              <w:jc w:val="center"/>
              <w:rPr>
                <w:sz w:val="18"/>
              </w:rPr>
            </w:pPr>
            <w:r>
              <w:rPr>
                <w:sz w:val="18"/>
              </w:rPr>
              <w:t xml:space="preserve">100 </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38"/>
              <w:ind w:left="108"/>
              <w:jc w:val="center"/>
              <w:rPr>
                <w:sz w:val="18"/>
              </w:rPr>
            </w:pPr>
            <w:r>
              <w:rPr>
                <w:sz w:val="18"/>
              </w:rPr>
              <w:t xml:space="preserve"> </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38"/>
              <w:ind w:left="106"/>
              <w:jc w:val="center"/>
              <w:rPr>
                <w:sz w:val="18"/>
              </w:rPr>
            </w:pPr>
            <w:r>
              <w:rPr>
                <w:sz w:val="18"/>
              </w:rPr>
              <w:t xml:space="preserve"> </w:t>
            </w:r>
          </w:p>
        </w:tc>
        <w:tc>
          <w:tcPr>
            <w:tcW w:w="1333" w:type="dxa"/>
            <w:tcBorders>
              <w:top w:val="single" w:sz="4" w:space="0" w:color="000000"/>
              <w:left w:val="single" w:sz="4" w:space="0" w:color="000000"/>
              <w:bottom w:val="single" w:sz="4" w:space="0" w:color="000000"/>
            </w:tcBorders>
          </w:tcPr>
          <w:p>
            <w:pPr>
              <w:pStyle w:val="TableParagraph"/>
              <w:spacing w:before="38"/>
              <w:ind w:left="104"/>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13"/>
          <w:jc w:val="left"/>
        </w:trPr>
        <w:tc>
          <w:tcPr>
            <w:tcW w:w="5379" w:type="dxa"/>
            <w:gridSpan w:val="3"/>
            <w:tcBorders>
              <w:top w:val="single" w:sz="4" w:space="0" w:color="000000"/>
              <w:right w:val="single" w:sz="4" w:space="0" w:color="000000"/>
            </w:tcBorders>
          </w:tcPr>
          <w:p>
            <w:pPr>
              <w:pStyle w:val="TableParagraph"/>
              <w:spacing w:before="40"/>
              <w:ind w:left="1473"/>
              <w:rPr>
                <w:sz w:val="18"/>
              </w:rPr>
            </w:pPr>
            <w:r>
              <w:rPr>
                <w:sz w:val="18"/>
              </w:rPr>
              <w:t xml:space="preserve">得 分（得分＝100－总扣分） </w:t>
            </w:r>
          </w:p>
        </w:tc>
        <w:tc>
          <w:tcPr>
            <w:tcW w:w="3958" w:type="dxa"/>
            <w:gridSpan w:val="4"/>
            <w:tcBorders>
              <w:top w:val="single" w:sz="4" w:space="0" w:color="000000"/>
              <w:left w:val="single" w:sz="4" w:space="0" w:color="000000"/>
            </w:tcBorders>
          </w:tcPr>
          <w:p>
            <w:pPr>
              <w:pStyle w:val="TableParagraph"/>
              <w:spacing w:before="40"/>
              <w:ind w:left="107"/>
              <w:jc w:val="center"/>
              <w:rPr>
                <w:sz w:val="18"/>
              </w:rPr>
            </w:pPr>
            <w:r>
              <w:rPr>
                <w:sz w:val="18"/>
              </w:rPr>
              <w:t xml:space="preserve"> </w:t>
            </w:r>
          </w:p>
        </w:tc>
      </w:tr>
    </w:tbl>
    <w:p>
      <w:pPr>
        <w:pStyle w:val="BodyText"/>
        <w:spacing w:before="22"/>
        <w:ind w:left="418"/>
      </w:pPr>
      <w:r>
        <w:rPr>
          <w:w w:val="100"/>
        </w:rPr>
        <w:t xml:space="preserve"> </w:t>
      </w:r>
    </w:p>
    <w:p>
      <w:pPr>
        <w:pStyle w:val="BodyText"/>
        <w:ind w:left="418"/>
      </w:pPr>
      <w:r>
        <w:rPr>
          <w:w w:val="100"/>
        </w:rPr>
        <w:t xml:space="preserve"> </w:t>
      </w:r>
    </w:p>
    <w:p>
      <w:pPr>
        <w:spacing w:after="0"/>
        <w:sectPr>
          <w:headerReference w:type="even" r:id="rId45"/>
          <w:headerReference w:type="default" r:id="rId46"/>
          <w:footerReference w:type="even" r:id="rId47"/>
          <w:footerReference w:type="default" r:id="rId48"/>
          <w:pgSz w:w="11910" w:h="16840"/>
          <w:pgMar w:top="1640" w:right="720" w:bottom="1340" w:left="1000" w:header="1448" w:footer="1141"/>
          <w:pgNumType w:start="9"/>
          <w:cols w:space="708"/>
        </w:sectPr>
      </w:pPr>
    </w:p>
    <w:p>
      <w:pPr>
        <w:pStyle w:val="BodyText"/>
        <w:spacing w:before="0"/>
        <w:rPr>
          <w:sz w:val="19"/>
        </w:rPr>
      </w:pPr>
    </w:p>
    <w:p>
      <w:pPr>
        <w:pStyle w:val="ListParagraph"/>
        <w:numPr>
          <w:ilvl w:val="1"/>
          <w:numId w:val="17"/>
        </w:numPr>
        <w:tabs>
          <w:tab w:val="left" w:pos="658"/>
          <w:tab w:val="left" w:pos="659"/>
        </w:tabs>
        <w:spacing w:before="71" w:after="0" w:line="240" w:lineRule="auto"/>
        <w:ind w:left="658" w:right="0" w:hanging="527"/>
        <w:jc w:val="left"/>
        <w:rPr>
          <w:sz w:val="21"/>
        </w:rPr>
      </w:pPr>
      <w:r>
        <w:rPr>
          <w:spacing w:val="-18"/>
          <w:sz w:val="21"/>
        </w:rPr>
        <w:t xml:space="preserve">按表 </w:t>
      </w:r>
      <w:r>
        <w:rPr>
          <w:sz w:val="21"/>
        </w:rPr>
        <w:t>B.2</w:t>
      </w:r>
      <w:r>
        <w:rPr>
          <w:spacing w:val="-11"/>
          <w:sz w:val="21"/>
        </w:rPr>
        <w:t xml:space="preserve"> 对压力容器</w:t>
      </w:r>
      <w:r>
        <w:rPr>
          <w:sz w:val="21"/>
        </w:rPr>
        <w:t>（</w:t>
      </w:r>
      <w:r>
        <w:rPr>
          <w:spacing w:val="-2"/>
          <w:sz w:val="21"/>
        </w:rPr>
        <w:t>含气瓶</w:t>
      </w:r>
      <w:r>
        <w:rPr>
          <w:spacing w:val="-3"/>
          <w:sz w:val="21"/>
        </w:rPr>
        <w:t>）使用进行安全管理评价。</w:t>
      </w:r>
      <w:r>
        <w:rPr>
          <w:sz w:val="21"/>
        </w:rPr>
        <w:t xml:space="preserve"> </w:t>
      </w:r>
    </w:p>
    <w:p>
      <w:pPr>
        <w:pStyle w:val="BodyText"/>
        <w:spacing w:before="9"/>
        <w:rPr>
          <w:sz w:val="15"/>
        </w:rPr>
      </w:pPr>
    </w:p>
    <w:p>
      <w:pPr>
        <w:pStyle w:val="BodyText"/>
        <w:spacing w:before="1"/>
        <w:ind w:left="1606"/>
        <w:rPr>
          <w:rFonts w:ascii="黑体" w:eastAsia="黑体" w:hint="eastAsia"/>
        </w:rPr>
      </w:pPr>
      <w:r>
        <w:rPr>
          <w:rFonts w:ascii="黑体" w:eastAsia="黑体" w:hint="eastAsia"/>
        </w:rPr>
        <w:t>表B.2 特种设备使用安全管理分种类评价表（压力容器[含气瓶]）</w:t>
      </w:r>
    </w:p>
    <w:p>
      <w:pPr>
        <w:pStyle w:val="BodyText"/>
        <w:spacing w:before="179"/>
        <w:ind w:left="132"/>
      </w:pPr>
      <w:r>
        <w:rPr>
          <w:w w:val="100"/>
        </w:rPr>
        <w:t xml:space="preserve">         </w:t>
      </w:r>
      <w:r>
        <w:t xml:space="preserve">使 用 单 位 ： 设 备 名 称 ： </w:t>
      </w:r>
    </w:p>
    <w:p>
      <w:pPr>
        <w:pStyle w:val="BodyText"/>
        <w:ind w:left="978"/>
      </w:pPr>
      <w:r>
        <w:rPr>
          <w:w w:val="100"/>
        </w:rPr>
        <w:t xml:space="preserve"> </w:t>
      </w:r>
      <w:r>
        <w:t xml:space="preserve">设备代码/出厂编号： 使用地点（车间）： </w:t>
      </w:r>
    </w:p>
    <w:p>
      <w:pPr>
        <w:pStyle w:val="BodyText"/>
        <w:spacing w:after="21"/>
        <w:ind w:left="978"/>
      </w:pPr>
      <w:r>
        <w:rPr>
          <w:w w:val="100"/>
        </w:rPr>
        <w:t xml:space="preserve"> </w:t>
      </w:r>
      <w:r>
        <w:t xml:space="preserve">设备风险类别：□ 高风险特种设备 □ 中风险特种设备 □ 低风险特种设备 </w:t>
      </w:r>
    </w:p>
    <w:tbl>
      <w:tblPr>
        <w:tblStyle w:val="TableNormal5"/>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99"/>
        <w:gridCol w:w="1277"/>
        <w:gridCol w:w="3404"/>
        <w:gridCol w:w="991"/>
        <w:gridCol w:w="1277"/>
        <w:gridCol w:w="709"/>
        <w:gridCol w:w="980"/>
      </w:tblGrid>
      <w:tr>
        <w:tblPrEx>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699" w:type="dxa"/>
            <w:tcBorders>
              <w:right w:val="single" w:sz="4" w:space="0" w:color="000000"/>
            </w:tcBorders>
          </w:tcPr>
          <w:p>
            <w:pPr>
              <w:pStyle w:val="TableParagraph"/>
              <w:spacing w:before="40"/>
              <w:ind w:left="197" w:right="86"/>
              <w:jc w:val="center"/>
              <w:rPr>
                <w:sz w:val="18"/>
              </w:rPr>
            </w:pPr>
            <w:r>
              <w:rPr>
                <w:sz w:val="18"/>
              </w:rPr>
              <w:t xml:space="preserve">序号 </w:t>
            </w:r>
          </w:p>
        </w:tc>
        <w:tc>
          <w:tcPr>
            <w:tcW w:w="1277" w:type="dxa"/>
            <w:tcBorders>
              <w:left w:val="single" w:sz="4" w:space="0" w:color="000000"/>
              <w:right w:val="single" w:sz="4" w:space="0" w:color="000000"/>
            </w:tcBorders>
          </w:tcPr>
          <w:p>
            <w:pPr>
              <w:pStyle w:val="TableParagraph"/>
              <w:spacing w:before="40"/>
              <w:ind w:left="126" w:right="13"/>
              <w:jc w:val="center"/>
              <w:rPr>
                <w:sz w:val="18"/>
              </w:rPr>
            </w:pPr>
            <w:r>
              <w:rPr>
                <w:sz w:val="18"/>
              </w:rPr>
              <w:t xml:space="preserve">项目 </w:t>
            </w:r>
          </w:p>
        </w:tc>
        <w:tc>
          <w:tcPr>
            <w:tcW w:w="3404" w:type="dxa"/>
            <w:tcBorders>
              <w:left w:val="single" w:sz="4" w:space="0" w:color="000000"/>
              <w:right w:val="single" w:sz="4" w:space="0" w:color="000000"/>
            </w:tcBorders>
          </w:tcPr>
          <w:p>
            <w:pPr>
              <w:pStyle w:val="TableParagraph"/>
              <w:spacing w:before="40"/>
              <w:ind w:left="1371" w:right="1263"/>
              <w:jc w:val="center"/>
              <w:rPr>
                <w:sz w:val="18"/>
              </w:rPr>
            </w:pPr>
            <w:r>
              <w:rPr>
                <w:sz w:val="18"/>
              </w:rPr>
              <w:t xml:space="preserve">评价内容 </w:t>
            </w:r>
          </w:p>
        </w:tc>
        <w:tc>
          <w:tcPr>
            <w:tcW w:w="991" w:type="dxa"/>
            <w:tcBorders>
              <w:left w:val="single" w:sz="4" w:space="0" w:color="000000"/>
              <w:right w:val="single" w:sz="4" w:space="0" w:color="000000"/>
            </w:tcBorders>
          </w:tcPr>
          <w:p>
            <w:pPr>
              <w:pStyle w:val="TableParagraph"/>
              <w:spacing w:before="40"/>
              <w:ind w:left="136" w:right="30"/>
              <w:jc w:val="center"/>
              <w:rPr>
                <w:sz w:val="18"/>
              </w:rPr>
            </w:pPr>
            <w:r>
              <w:rPr>
                <w:sz w:val="18"/>
              </w:rPr>
              <w:t xml:space="preserve">分值 </w:t>
            </w:r>
          </w:p>
        </w:tc>
        <w:tc>
          <w:tcPr>
            <w:tcW w:w="1277" w:type="dxa"/>
            <w:tcBorders>
              <w:left w:val="single" w:sz="4" w:space="0" w:color="000000"/>
              <w:right w:val="single" w:sz="4" w:space="0" w:color="000000"/>
            </w:tcBorders>
          </w:tcPr>
          <w:p>
            <w:pPr>
              <w:pStyle w:val="TableParagraph"/>
              <w:spacing w:before="40"/>
              <w:ind w:left="282"/>
              <w:rPr>
                <w:sz w:val="18"/>
              </w:rPr>
            </w:pPr>
            <w:r>
              <w:rPr>
                <w:sz w:val="18"/>
              </w:rPr>
              <w:t xml:space="preserve">评分细则 </w:t>
            </w:r>
          </w:p>
        </w:tc>
        <w:tc>
          <w:tcPr>
            <w:tcW w:w="709" w:type="dxa"/>
            <w:tcBorders>
              <w:left w:val="single" w:sz="4" w:space="0" w:color="000000"/>
              <w:right w:val="single" w:sz="4" w:space="0" w:color="000000"/>
            </w:tcBorders>
          </w:tcPr>
          <w:p>
            <w:pPr>
              <w:pStyle w:val="TableParagraph"/>
              <w:spacing w:before="40"/>
              <w:ind w:left="199" w:right="93"/>
              <w:jc w:val="center"/>
              <w:rPr>
                <w:sz w:val="18"/>
              </w:rPr>
            </w:pPr>
            <w:r>
              <w:rPr>
                <w:sz w:val="18"/>
              </w:rPr>
              <w:t xml:space="preserve">扣分 </w:t>
            </w:r>
          </w:p>
        </w:tc>
        <w:tc>
          <w:tcPr>
            <w:tcW w:w="980" w:type="dxa"/>
            <w:tcBorders>
              <w:left w:val="single" w:sz="4" w:space="0" w:color="000000"/>
            </w:tcBorders>
          </w:tcPr>
          <w:p>
            <w:pPr>
              <w:pStyle w:val="TableParagraph"/>
              <w:spacing w:before="40"/>
              <w:ind w:left="158" w:right="46"/>
              <w:jc w:val="center"/>
              <w:rPr>
                <w:sz w:val="18"/>
              </w:rPr>
            </w:pPr>
            <w:r>
              <w:rPr>
                <w:sz w:val="18"/>
              </w:rPr>
              <w:t xml:space="preserve">存在问题 </w:t>
            </w:r>
          </w:p>
        </w:tc>
      </w:tr>
      <w:tr>
        <w:tblPrEx>
          <w:tblW w:w="0" w:type="auto"/>
          <w:jc w:val="left"/>
          <w:tblInd w:w="152" w:type="dxa"/>
          <w:tblLayout w:type="fixed"/>
          <w:tblCellMar>
            <w:top w:w="0" w:type="dxa"/>
            <w:left w:w="0" w:type="dxa"/>
            <w:bottom w:w="0" w:type="dxa"/>
            <w:right w:w="0" w:type="dxa"/>
          </w:tblCellMar>
          <w:tblLook w:val="01E0"/>
        </w:tblPrEx>
        <w:trPr>
          <w:trHeight w:val="647"/>
          <w:jc w:val="left"/>
        </w:trPr>
        <w:tc>
          <w:tcPr>
            <w:tcW w:w="699" w:type="dxa"/>
            <w:tcBorders>
              <w:bottom w:val="single" w:sz="4" w:space="0" w:color="000000"/>
              <w:right w:val="single" w:sz="4" w:space="0" w:color="000000"/>
            </w:tcBorders>
          </w:tcPr>
          <w:p>
            <w:pPr>
              <w:pStyle w:val="TableParagraph"/>
              <w:spacing w:before="1"/>
              <w:rPr>
                <w:sz w:val="16"/>
              </w:rPr>
            </w:pPr>
          </w:p>
          <w:p>
            <w:pPr>
              <w:pStyle w:val="TableParagraph"/>
              <w:ind w:left="197" w:right="86"/>
              <w:jc w:val="center"/>
              <w:rPr>
                <w:sz w:val="18"/>
              </w:rPr>
            </w:pPr>
            <w:r>
              <w:rPr>
                <w:sz w:val="18"/>
              </w:rPr>
              <w:t xml:space="preserve">1 </w:t>
            </w:r>
          </w:p>
        </w:tc>
        <w:tc>
          <w:tcPr>
            <w:tcW w:w="1277" w:type="dxa"/>
            <w:vMerge w:val="restart"/>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6"/>
              <w:rPr>
                <w:sz w:val="15"/>
              </w:rPr>
            </w:pPr>
          </w:p>
          <w:p>
            <w:pPr>
              <w:pStyle w:val="TableParagraph"/>
              <w:ind w:left="285"/>
              <w:rPr>
                <w:sz w:val="18"/>
              </w:rPr>
            </w:pPr>
            <w:r>
              <w:rPr>
                <w:sz w:val="18"/>
              </w:rPr>
              <w:t xml:space="preserve">操作规程 </w:t>
            </w:r>
          </w:p>
        </w:tc>
        <w:tc>
          <w:tcPr>
            <w:tcW w:w="3404" w:type="dxa"/>
            <w:tcBorders>
              <w:left w:val="single" w:sz="4" w:space="0" w:color="000000"/>
              <w:bottom w:val="single" w:sz="4" w:space="0" w:color="000000"/>
              <w:right w:val="single" w:sz="4" w:space="0" w:color="000000"/>
            </w:tcBorders>
          </w:tcPr>
          <w:p>
            <w:pPr>
              <w:pStyle w:val="TableParagraph"/>
              <w:spacing w:before="64"/>
              <w:ind w:left="198"/>
              <w:rPr>
                <w:sz w:val="18"/>
              </w:rPr>
            </w:pPr>
            <w:r>
              <w:rPr>
                <w:sz w:val="18"/>
              </w:rPr>
              <w:t>应根据设备运行特点等制定安全操作规</w:t>
            </w:r>
          </w:p>
          <w:p>
            <w:pPr>
              <w:pStyle w:val="TableParagraph"/>
              <w:spacing w:before="79"/>
              <w:ind w:left="21"/>
              <w:rPr>
                <w:sz w:val="18"/>
              </w:rPr>
            </w:pPr>
            <w:r>
              <w:rPr>
                <w:sz w:val="18"/>
              </w:rPr>
              <w:t xml:space="preserve">程 </w:t>
            </w:r>
          </w:p>
        </w:tc>
        <w:tc>
          <w:tcPr>
            <w:tcW w:w="991" w:type="dxa"/>
            <w:tcBorders>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4 </w:t>
            </w:r>
          </w:p>
        </w:tc>
        <w:tc>
          <w:tcPr>
            <w:tcW w:w="1277" w:type="dxa"/>
            <w:tcBorders>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Pr>
                <w:sz w:val="18"/>
              </w:rPr>
            </w:pPr>
            <w:r>
              <w:rPr>
                <w:sz w:val="18"/>
              </w:rPr>
              <w:t xml:space="preserve">不符合扣 4 分 </w:t>
            </w:r>
          </w:p>
        </w:tc>
        <w:tc>
          <w:tcPr>
            <w:tcW w:w="709" w:type="dxa"/>
            <w:tcBorders>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980" w:type="dxa"/>
            <w:tcBorders>
              <w:left w:val="single" w:sz="4" w:space="0" w:color="000000"/>
              <w:bottom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62"/>
          <w:jc w:val="left"/>
        </w:trPr>
        <w:tc>
          <w:tcPr>
            <w:tcW w:w="699"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34"/>
              <w:ind w:left="197" w:right="86"/>
              <w:jc w:val="center"/>
              <w:rPr>
                <w:sz w:val="18"/>
              </w:rPr>
            </w:pPr>
            <w:r>
              <w:rPr>
                <w:sz w:val="18"/>
              </w:rPr>
              <w:t xml:space="preserve">2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7" w:line="324" w:lineRule="auto"/>
              <w:ind w:left="21" w:right="-15" w:firstLine="177"/>
              <w:rPr>
                <w:sz w:val="18"/>
              </w:rPr>
            </w:pPr>
            <w:r>
              <w:rPr>
                <w:spacing w:val="-3"/>
                <w:sz w:val="18"/>
              </w:rPr>
              <w:t>安全操作规程中应包括设备的运行参数、</w:t>
            </w:r>
            <w:r>
              <w:rPr>
                <w:spacing w:val="-5"/>
                <w:sz w:val="18"/>
              </w:rPr>
              <w:t>操作程序和方法、维护保养要求、安全注意</w:t>
            </w:r>
          </w:p>
          <w:p>
            <w:pPr>
              <w:pStyle w:val="TableParagraph"/>
              <w:spacing w:line="230" w:lineRule="exact"/>
              <w:ind w:left="21"/>
              <w:rPr>
                <w:sz w:val="18"/>
              </w:rPr>
            </w:pPr>
            <w:r>
              <w:rPr>
                <w:sz w:val="18"/>
              </w:rPr>
              <w:t xml:space="preserve">事项、巡查要求、异常情况处置等规定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9"/>
              <w:ind w:left="124" w:right="30"/>
              <w:jc w:val="center"/>
              <w:rPr>
                <w:sz w:val="18"/>
              </w:rPr>
            </w:pPr>
            <w:r>
              <w:rPr>
                <w:sz w:val="18"/>
              </w:rPr>
              <w:t xml:space="preserve">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9"/>
              <w:ind w:left="18"/>
              <w:rPr>
                <w:sz w:val="18"/>
              </w:rPr>
            </w:pPr>
            <w:r>
              <w:rPr>
                <w:spacing w:val="-24"/>
                <w:sz w:val="18"/>
              </w:rPr>
              <w:t xml:space="preserve">缺 </w:t>
            </w:r>
            <w:r>
              <w:rPr>
                <w:sz w:val="18"/>
              </w:rPr>
              <w:t>1</w:t>
            </w:r>
            <w:r>
              <w:rPr>
                <w:spacing w:val="-25"/>
                <w:sz w:val="18"/>
              </w:rPr>
              <w:t xml:space="preserve"> 项扣 </w:t>
            </w:r>
            <w:r>
              <w:rPr>
                <w:sz w:val="18"/>
              </w:rPr>
              <w:t>1</w:t>
            </w:r>
            <w:r>
              <w:rPr>
                <w:spacing w:val="-26"/>
                <w:sz w:val="18"/>
              </w:rPr>
              <w:t xml:space="preserve"> 分</w:t>
            </w:r>
            <w:r>
              <w:rPr>
                <w:sz w:val="18"/>
              </w:rPr>
              <w:t xml:space="preserve">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4"/>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34"/>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50"/>
          <w:jc w:val="left"/>
        </w:trPr>
        <w:tc>
          <w:tcPr>
            <w:tcW w:w="699"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7" w:right="86"/>
              <w:jc w:val="center"/>
              <w:rPr>
                <w:sz w:val="18"/>
              </w:rPr>
            </w:pPr>
            <w:r>
              <w:rPr>
                <w:sz w:val="18"/>
              </w:rPr>
              <w:t xml:space="preserve">3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ight="-15"/>
              <w:rPr>
                <w:sz w:val="18"/>
              </w:rPr>
            </w:pPr>
            <w:r>
              <w:rPr>
                <w:spacing w:val="-5"/>
                <w:sz w:val="18"/>
              </w:rPr>
              <w:t>安全操作规程应上墙，或置于现场显著位</w:t>
            </w:r>
          </w:p>
          <w:p>
            <w:pPr>
              <w:pStyle w:val="TableParagraph"/>
              <w:spacing w:before="82"/>
              <w:ind w:left="21"/>
              <w:rPr>
                <w:sz w:val="18"/>
              </w:rPr>
            </w:pPr>
            <w:r>
              <w:rPr>
                <w:sz w:val="18"/>
              </w:rPr>
              <w:t xml:space="preserve">置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3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Pr>
                <w:sz w:val="18"/>
              </w:rPr>
            </w:pPr>
            <w:r>
              <w:rPr>
                <w:sz w:val="18"/>
              </w:rPr>
              <w:t xml:space="preserve">不符合扣 3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47"/>
          <w:jc w:val="left"/>
        </w:trPr>
        <w:tc>
          <w:tcPr>
            <w:tcW w:w="699"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7" w:right="86"/>
              <w:jc w:val="center"/>
              <w:rPr>
                <w:sz w:val="18"/>
              </w:rPr>
            </w:pPr>
            <w:r>
              <w:rPr>
                <w:sz w:val="18"/>
              </w:rPr>
              <w:t xml:space="preserve">4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Pr>
                <w:sz w:val="18"/>
              </w:rPr>
            </w:pPr>
            <w:r>
              <w:rPr>
                <w:sz w:val="18"/>
              </w:rPr>
              <w:t>作业人员应熟悉安全管理制度和安全操</w:t>
            </w:r>
          </w:p>
          <w:p>
            <w:pPr>
              <w:pStyle w:val="TableParagraph"/>
              <w:spacing w:before="79"/>
              <w:ind w:left="21"/>
              <w:rPr>
                <w:sz w:val="18"/>
              </w:rPr>
            </w:pPr>
            <w:r>
              <w:rPr>
                <w:sz w:val="18"/>
              </w:rPr>
              <w:t xml:space="preserve">作规程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3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8"/>
              <w:rPr>
                <w:sz w:val="18"/>
              </w:rPr>
            </w:pPr>
            <w:r>
              <w:rPr>
                <w:sz w:val="18"/>
              </w:rPr>
              <w:t xml:space="preserve">不熟悉扣 3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441"/>
          <w:jc w:val="left"/>
        </w:trPr>
        <w:tc>
          <w:tcPr>
            <w:tcW w:w="699" w:type="dxa"/>
            <w:tcBorders>
              <w:top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17"/>
              </w:rPr>
            </w:pPr>
          </w:p>
          <w:p>
            <w:pPr>
              <w:pStyle w:val="TableParagraph"/>
              <w:ind w:left="197" w:right="86"/>
              <w:jc w:val="center"/>
              <w:rPr>
                <w:sz w:val="18"/>
              </w:rPr>
            </w:pPr>
            <w:r>
              <w:rPr>
                <w:sz w:val="18"/>
              </w:rPr>
              <w:t xml:space="preserve">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17"/>
              </w:rPr>
            </w:pPr>
          </w:p>
          <w:p>
            <w:pPr>
              <w:pStyle w:val="TableParagraph"/>
              <w:ind w:left="126" w:right="13"/>
              <w:jc w:val="center"/>
              <w:rPr>
                <w:sz w:val="18"/>
              </w:rPr>
            </w:pPr>
            <w:r>
              <w:rPr>
                <w:sz w:val="18"/>
              </w:rPr>
              <w:t xml:space="preserve">作业人员 </w:t>
            </w:r>
          </w:p>
        </w:tc>
        <w:tc>
          <w:tcPr>
            <w:tcW w:w="3404"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9"/>
              <w:rPr>
                <w:sz w:val="17"/>
              </w:rPr>
            </w:pPr>
          </w:p>
          <w:p>
            <w:pPr>
              <w:pStyle w:val="TableParagraph"/>
              <w:spacing w:line="324" w:lineRule="auto"/>
              <w:ind w:left="21" w:right="-15" w:firstLine="177"/>
              <w:jc w:val="both"/>
              <w:rPr>
                <w:sz w:val="18"/>
              </w:rPr>
            </w:pPr>
            <w:r>
              <w:rPr>
                <w:spacing w:val="-5"/>
                <w:sz w:val="18"/>
              </w:rPr>
              <w:t>应根据设备数量、特性配备相应持证的作</w:t>
            </w:r>
            <w:r>
              <w:rPr>
                <w:spacing w:val="-3"/>
                <w:sz w:val="18"/>
              </w:rPr>
              <w:t xml:space="preserve">业人员，并保证每班有持证作业人员在岗， </w:t>
            </w:r>
            <w:r>
              <w:rPr>
                <w:spacing w:val="-8"/>
                <w:sz w:val="18"/>
              </w:rPr>
              <w:t xml:space="preserve">充装人员每班不少于 </w:t>
            </w:r>
            <w:r>
              <w:rPr>
                <w:sz w:val="18"/>
              </w:rPr>
              <w:t>2</w:t>
            </w:r>
            <w:r>
              <w:rPr>
                <w:spacing w:val="-10"/>
                <w:sz w:val="18"/>
              </w:rPr>
              <w:t xml:space="preserve"> 人，检查人员每班不</w:t>
            </w:r>
          </w:p>
          <w:p>
            <w:pPr>
              <w:pStyle w:val="TableParagraph"/>
              <w:ind w:left="21"/>
              <w:jc w:val="both"/>
              <w:rPr>
                <w:sz w:val="18"/>
              </w:rPr>
            </w:pPr>
            <w:r>
              <w:rPr>
                <w:sz w:val="18"/>
              </w:rPr>
              <w:t xml:space="preserve">少于 1 人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3"/>
              <w:rPr>
                <w:sz w:val="18"/>
              </w:rPr>
            </w:pPr>
          </w:p>
          <w:p>
            <w:pPr>
              <w:pStyle w:val="TableParagraph"/>
              <w:ind w:left="124" w:right="30"/>
              <w:jc w:val="center"/>
              <w:rPr>
                <w:sz w:val="18"/>
              </w:rPr>
            </w:pPr>
            <w:r>
              <w:rPr>
                <w:sz w:val="18"/>
              </w:rPr>
              <w:t xml:space="preserve">6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47" w:line="324" w:lineRule="auto"/>
              <w:ind w:left="9" w:right="-15"/>
              <w:jc w:val="both"/>
              <w:rPr>
                <w:sz w:val="18"/>
              </w:rPr>
            </w:pPr>
            <w:r>
              <w:rPr>
                <w:sz w:val="18"/>
              </w:rPr>
              <w:t>快开门式压力容器单位未配备持</w:t>
            </w:r>
            <w:r>
              <w:rPr>
                <w:spacing w:val="-7"/>
                <w:sz w:val="18"/>
              </w:rPr>
              <w:t xml:space="preserve">证作业人员扣 </w:t>
            </w:r>
            <w:r>
              <w:rPr>
                <w:sz w:val="18"/>
              </w:rPr>
              <w:t>6 分；配备持证人员小于设备数量或者不能适应生</w:t>
            </w:r>
            <w:r>
              <w:rPr>
                <w:spacing w:val="-9"/>
                <w:sz w:val="18"/>
              </w:rPr>
              <w:t xml:space="preserve">产要求扣 </w:t>
            </w:r>
            <w:r>
              <w:rPr>
                <w:sz w:val="18"/>
              </w:rPr>
              <w:t>4</w:t>
            </w:r>
            <w:r>
              <w:rPr>
                <w:spacing w:val="-15"/>
                <w:sz w:val="18"/>
              </w:rPr>
              <w:t xml:space="preserve"> 分； 充装人员每班少</w:t>
            </w:r>
            <w:r>
              <w:rPr>
                <w:spacing w:val="-30"/>
                <w:sz w:val="18"/>
              </w:rPr>
              <w:t xml:space="preserve">于 </w:t>
            </w:r>
            <w:r>
              <w:rPr>
                <w:sz w:val="18"/>
              </w:rPr>
              <w:t>2</w:t>
            </w:r>
            <w:r>
              <w:rPr>
                <w:spacing w:val="-9"/>
                <w:sz w:val="18"/>
              </w:rPr>
              <w:t xml:space="preserve"> 人、检查人</w:t>
            </w:r>
          </w:p>
          <w:p>
            <w:pPr>
              <w:pStyle w:val="TableParagraph"/>
              <w:spacing w:before="7"/>
              <w:ind w:left="9"/>
              <w:rPr>
                <w:sz w:val="18"/>
              </w:rPr>
            </w:pPr>
            <w:r>
              <w:rPr>
                <w:spacing w:val="-12"/>
                <w:sz w:val="18"/>
              </w:rPr>
              <w:t xml:space="preserve">员少于 </w:t>
            </w:r>
            <w:r>
              <w:rPr>
                <w:sz w:val="18"/>
              </w:rPr>
              <w:t>1</w:t>
            </w:r>
            <w:r>
              <w:rPr>
                <w:spacing w:val="-23"/>
                <w:sz w:val="18"/>
              </w:rPr>
              <w:t xml:space="preserve"> 人扣 </w:t>
            </w:r>
            <w:r>
              <w:rPr>
                <w:sz w:val="18"/>
              </w:rPr>
              <w:t>4</w:t>
            </w:r>
          </w:p>
          <w:p>
            <w:pPr>
              <w:pStyle w:val="TableParagraph"/>
              <w:spacing w:before="81"/>
              <w:ind w:left="9"/>
              <w:rPr>
                <w:sz w:val="18"/>
              </w:rPr>
            </w:pPr>
            <w:r>
              <w:rPr>
                <w:sz w:val="18"/>
              </w:rPr>
              <w:t xml:space="preserve">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17"/>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17"/>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59"/>
          <w:jc w:val="left"/>
        </w:trPr>
        <w:tc>
          <w:tcPr>
            <w:tcW w:w="699"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31"/>
              <w:ind w:left="197" w:right="86"/>
              <w:jc w:val="center"/>
              <w:rPr>
                <w:sz w:val="18"/>
              </w:rPr>
            </w:pPr>
            <w:r>
              <w:rPr>
                <w:sz w:val="18"/>
              </w:rPr>
              <w:t xml:space="preserve">6 </w:t>
            </w:r>
          </w:p>
        </w:tc>
        <w:tc>
          <w:tcPr>
            <w:tcW w:w="1277"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spacing w:before="7"/>
              <w:rPr>
                <w:sz w:val="13"/>
              </w:rPr>
            </w:pPr>
          </w:p>
          <w:p>
            <w:pPr>
              <w:pStyle w:val="TableParagraph"/>
              <w:spacing w:line="324" w:lineRule="auto"/>
              <w:ind w:left="554" w:right="-15" w:hanging="540"/>
              <w:rPr>
                <w:sz w:val="18"/>
              </w:rPr>
            </w:pPr>
            <w:r>
              <w:rPr>
                <w:sz w:val="18"/>
              </w:rPr>
              <w:t>使用（变更）</w:t>
            </w:r>
            <w:r>
              <w:rPr>
                <w:spacing w:val="-12"/>
                <w:sz w:val="18"/>
              </w:rPr>
              <w:t>登</w:t>
            </w:r>
            <w:r>
              <w:rPr>
                <w:sz w:val="18"/>
              </w:rPr>
              <w:t xml:space="preserve">记 </w:t>
            </w: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line="321" w:lineRule="auto"/>
              <w:ind w:left="21" w:right="-15" w:firstLine="177"/>
              <w:rPr>
                <w:sz w:val="18"/>
              </w:rPr>
            </w:pPr>
            <w:r>
              <w:rPr>
                <w:spacing w:val="-5"/>
                <w:sz w:val="18"/>
              </w:rPr>
              <w:t>应办理使用登记；改造、移装、使用单位变更或者更名、达到设计使用年限继续使用</w:t>
            </w:r>
          </w:p>
          <w:p>
            <w:pPr>
              <w:pStyle w:val="TableParagraph"/>
              <w:spacing w:before="4"/>
              <w:ind w:left="21"/>
              <w:rPr>
                <w:sz w:val="18"/>
              </w:rPr>
            </w:pPr>
            <w:r>
              <w:rPr>
                <w:sz w:val="18"/>
              </w:rPr>
              <w:t xml:space="preserve">的，应及时办理变更登记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6"/>
              <w:ind w:left="124" w:right="30"/>
              <w:jc w:val="center"/>
              <w:rPr>
                <w:sz w:val="18"/>
              </w:rPr>
            </w:pPr>
            <w:r>
              <w:rPr>
                <w:sz w:val="18"/>
              </w:rPr>
              <w:t xml:space="preserve">5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6"/>
              <w:ind w:left="9"/>
              <w:rPr>
                <w:sz w:val="18"/>
              </w:rPr>
            </w:pPr>
            <w:r>
              <w:rPr>
                <w:sz w:val="18"/>
              </w:rPr>
              <w:t xml:space="preserve">不符合扣 5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31"/>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50"/>
          <w:jc w:val="left"/>
        </w:trPr>
        <w:tc>
          <w:tcPr>
            <w:tcW w:w="699"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197" w:right="86"/>
              <w:jc w:val="center"/>
              <w:rPr>
                <w:sz w:val="18"/>
              </w:rPr>
            </w:pPr>
            <w:r>
              <w:rPr>
                <w:sz w:val="18"/>
              </w:rPr>
              <w:t xml:space="preserve">7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ight="-15"/>
              <w:rPr>
                <w:sz w:val="18"/>
              </w:rPr>
            </w:pPr>
            <w:r>
              <w:rPr>
                <w:spacing w:val="-5"/>
                <w:sz w:val="18"/>
              </w:rPr>
              <w:t>应将《特种设备使用标志》放置在设备或</w:t>
            </w:r>
          </w:p>
          <w:p>
            <w:pPr>
              <w:pStyle w:val="TableParagraph"/>
              <w:spacing w:before="82"/>
              <w:ind w:left="21"/>
              <w:rPr>
                <w:sz w:val="18"/>
              </w:rPr>
            </w:pPr>
            <w:r>
              <w:rPr>
                <w:sz w:val="18"/>
              </w:rPr>
              <w:t xml:space="preserve">现场显著位置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48"/>
          <w:jc w:val="left"/>
        </w:trPr>
        <w:tc>
          <w:tcPr>
            <w:tcW w:w="699"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7" w:right="86"/>
              <w:jc w:val="center"/>
              <w:rPr>
                <w:sz w:val="18"/>
              </w:rPr>
            </w:pPr>
            <w:r>
              <w:rPr>
                <w:sz w:val="18"/>
              </w:rPr>
              <w:t xml:space="preserve">8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Pr>
                <w:sz w:val="18"/>
              </w:rPr>
            </w:pPr>
            <w:r>
              <w:rPr>
                <w:sz w:val="18"/>
              </w:rPr>
              <w:t>气瓶充装单位应每年向气瓶使用登记机</w:t>
            </w:r>
          </w:p>
          <w:p>
            <w:pPr>
              <w:pStyle w:val="TableParagraph"/>
              <w:spacing w:before="80"/>
              <w:ind w:left="21"/>
              <w:rPr>
                <w:sz w:val="18"/>
              </w:rPr>
            </w:pPr>
            <w:r>
              <w:rPr>
                <w:sz w:val="18"/>
              </w:rPr>
              <w:t xml:space="preserve">关报送《气瓶基本信息汇总表》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3"/>
              <w:rPr>
                <w:sz w:val="17"/>
              </w:rPr>
            </w:pPr>
          </w:p>
          <w:p>
            <w:pPr>
              <w:pStyle w:val="TableParagraph"/>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6"/>
              <w:rPr>
                <w:sz w:val="16"/>
              </w:rPr>
            </w:pPr>
          </w:p>
          <w:p>
            <w:pPr>
              <w:pStyle w:val="TableParagraph"/>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50"/>
          <w:jc w:val="left"/>
        </w:trPr>
        <w:tc>
          <w:tcPr>
            <w:tcW w:w="699"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197" w:right="86"/>
              <w:jc w:val="center"/>
              <w:rPr>
                <w:sz w:val="18"/>
              </w:rPr>
            </w:pPr>
            <w:r>
              <w:rPr>
                <w:sz w:val="18"/>
              </w:rPr>
              <w:t xml:space="preserve">9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26" w:right="13"/>
              <w:jc w:val="center"/>
              <w:rPr>
                <w:sz w:val="18"/>
              </w:rPr>
            </w:pPr>
            <w:r>
              <w:rPr>
                <w:sz w:val="18"/>
              </w:rPr>
              <w:t xml:space="preserve">设备标识 </w:t>
            </w: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7"/>
              <w:ind w:left="198" w:right="-15"/>
              <w:rPr>
                <w:sz w:val="18"/>
              </w:rPr>
            </w:pPr>
            <w:r>
              <w:rPr>
                <w:spacing w:val="-5"/>
                <w:sz w:val="18"/>
              </w:rPr>
              <w:t>压力容器的铭牌、标志和标记应符合有关</w:t>
            </w:r>
          </w:p>
          <w:p>
            <w:pPr>
              <w:pStyle w:val="TableParagraph"/>
              <w:spacing w:before="79"/>
              <w:ind w:left="21"/>
              <w:rPr>
                <w:sz w:val="18"/>
              </w:rPr>
            </w:pPr>
            <w:r>
              <w:rPr>
                <w:sz w:val="18"/>
              </w:rPr>
              <w:t xml:space="preserve">规定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9"/>
              <w:rPr>
                <w:sz w:val="18"/>
              </w:rPr>
            </w:pPr>
            <w:r>
              <w:rPr>
                <w:sz w:val="18"/>
              </w:rPr>
              <w:t xml:space="preserve">缺一项扣 1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1568"/>
          <w:jc w:val="left"/>
        </w:trPr>
        <w:tc>
          <w:tcPr>
            <w:tcW w:w="699" w:type="dxa"/>
            <w:tcBorders>
              <w:top w:val="single" w:sz="4" w:space="0" w:color="000000"/>
              <w:right w:val="single" w:sz="4" w:space="0" w:color="000000"/>
            </w:tcBorders>
          </w:tcPr>
          <w:p>
            <w:pPr>
              <w:pStyle w:val="TableParagraph"/>
              <w:rPr>
                <w:sz w:val="18"/>
              </w:rPr>
            </w:pPr>
          </w:p>
          <w:p>
            <w:pPr>
              <w:pStyle w:val="TableParagraph"/>
              <w:rPr>
                <w:sz w:val="18"/>
              </w:rPr>
            </w:pPr>
          </w:p>
          <w:p>
            <w:pPr>
              <w:pStyle w:val="TableParagraph"/>
              <w:rPr>
                <w:sz w:val="16"/>
              </w:rPr>
            </w:pPr>
          </w:p>
          <w:p>
            <w:pPr>
              <w:pStyle w:val="TableParagraph"/>
              <w:ind w:left="197" w:right="83"/>
              <w:jc w:val="center"/>
              <w:rPr>
                <w:sz w:val="18"/>
              </w:rPr>
            </w:pPr>
            <w:r>
              <w:rPr>
                <w:sz w:val="18"/>
              </w:rPr>
              <w:t xml:space="preserve">10 </w:t>
            </w:r>
          </w:p>
        </w:tc>
        <w:tc>
          <w:tcPr>
            <w:tcW w:w="1277" w:type="dxa"/>
            <w:tcBorders>
              <w:top w:val="single" w:sz="4" w:space="0" w:color="000000"/>
              <w:left w:val="single" w:sz="4" w:space="0" w:color="000000"/>
              <w:right w:val="single" w:sz="4" w:space="0" w:color="000000"/>
            </w:tcBorders>
          </w:tcPr>
          <w:p>
            <w:pPr>
              <w:pStyle w:val="TableParagraph"/>
              <w:rPr>
                <w:sz w:val="18"/>
              </w:rPr>
            </w:pPr>
          </w:p>
          <w:p>
            <w:pPr>
              <w:pStyle w:val="TableParagraph"/>
              <w:rPr>
                <w:sz w:val="18"/>
              </w:rPr>
            </w:pPr>
          </w:p>
          <w:p>
            <w:pPr>
              <w:pStyle w:val="TableParagraph"/>
              <w:rPr>
                <w:sz w:val="16"/>
              </w:rPr>
            </w:pPr>
          </w:p>
          <w:p>
            <w:pPr>
              <w:pStyle w:val="TableParagraph"/>
              <w:ind w:left="126" w:right="13"/>
              <w:jc w:val="center"/>
              <w:rPr>
                <w:sz w:val="18"/>
              </w:rPr>
            </w:pPr>
            <w:r>
              <w:rPr>
                <w:sz w:val="18"/>
              </w:rPr>
              <w:t xml:space="preserve">定期检验 </w:t>
            </w:r>
          </w:p>
        </w:tc>
        <w:tc>
          <w:tcPr>
            <w:tcW w:w="3404" w:type="dxa"/>
            <w:tcBorders>
              <w:top w:val="single" w:sz="4" w:space="0" w:color="000000"/>
              <w:left w:val="single" w:sz="4" w:space="0" w:color="000000"/>
              <w:right w:val="single" w:sz="4" w:space="0" w:color="000000"/>
            </w:tcBorders>
          </w:tcPr>
          <w:p>
            <w:pPr>
              <w:pStyle w:val="TableParagraph"/>
              <w:rPr>
                <w:sz w:val="18"/>
              </w:rPr>
            </w:pPr>
          </w:p>
          <w:p>
            <w:pPr>
              <w:pStyle w:val="TableParagraph"/>
              <w:rPr>
                <w:sz w:val="23"/>
              </w:rPr>
            </w:pPr>
          </w:p>
          <w:p>
            <w:pPr>
              <w:pStyle w:val="TableParagraph"/>
              <w:spacing w:line="321" w:lineRule="auto"/>
              <w:ind w:left="21" w:right="109" w:firstLine="177"/>
              <w:rPr>
                <w:sz w:val="18"/>
              </w:rPr>
            </w:pPr>
            <w:r>
              <w:rPr>
                <w:sz w:val="18"/>
              </w:rPr>
              <w:t xml:space="preserve">应按照安全技术规范的要求及时申报检验，设备在检验有效期内 </w:t>
            </w:r>
          </w:p>
        </w:tc>
        <w:tc>
          <w:tcPr>
            <w:tcW w:w="991" w:type="dxa"/>
            <w:tcBorders>
              <w:top w:val="single" w:sz="4" w:space="0" w:color="000000"/>
              <w:left w:val="single" w:sz="4" w:space="0" w:color="000000"/>
              <w:right w:val="single" w:sz="4" w:space="0" w:color="000000"/>
            </w:tcBorders>
          </w:tcPr>
          <w:p>
            <w:pPr>
              <w:pStyle w:val="TableParagraph"/>
              <w:rPr>
                <w:sz w:val="18"/>
              </w:rPr>
            </w:pPr>
          </w:p>
          <w:p>
            <w:pPr>
              <w:pStyle w:val="TableParagraph"/>
              <w:rPr>
                <w:sz w:val="18"/>
              </w:rPr>
            </w:pPr>
          </w:p>
          <w:p>
            <w:pPr>
              <w:pStyle w:val="TableParagraph"/>
              <w:spacing w:before="2"/>
              <w:rPr>
                <w:sz w:val="17"/>
              </w:rPr>
            </w:pPr>
          </w:p>
          <w:p>
            <w:pPr>
              <w:pStyle w:val="TableParagraph"/>
              <w:ind w:left="124" w:right="30"/>
              <w:jc w:val="center"/>
              <w:rPr>
                <w:sz w:val="18"/>
              </w:rPr>
            </w:pPr>
            <w:r>
              <w:rPr>
                <w:sz w:val="18"/>
              </w:rPr>
              <w:t xml:space="preserve">6 </w:t>
            </w:r>
          </w:p>
        </w:tc>
        <w:tc>
          <w:tcPr>
            <w:tcW w:w="1277" w:type="dxa"/>
            <w:tcBorders>
              <w:top w:val="single" w:sz="4" w:space="0" w:color="000000"/>
              <w:left w:val="single" w:sz="4" w:space="0" w:color="000000"/>
              <w:right w:val="single" w:sz="4" w:space="0" w:color="000000"/>
            </w:tcBorders>
          </w:tcPr>
          <w:p>
            <w:pPr>
              <w:pStyle w:val="TableParagraph"/>
              <w:spacing w:before="48" w:line="324" w:lineRule="auto"/>
              <w:ind w:left="9" w:right="-15"/>
              <w:jc w:val="both"/>
              <w:rPr>
                <w:sz w:val="18"/>
              </w:rPr>
            </w:pPr>
            <w:r>
              <w:rPr>
                <w:sz w:val="18"/>
              </w:rPr>
              <w:t>未及时申报检验</w:t>
            </w:r>
            <w:r>
              <w:rPr>
                <w:spacing w:val="-23"/>
                <w:sz w:val="18"/>
              </w:rPr>
              <w:t xml:space="preserve">扣 </w:t>
            </w:r>
            <w:r>
              <w:rPr>
                <w:sz w:val="18"/>
              </w:rPr>
              <w:t>6</w:t>
            </w:r>
            <w:r>
              <w:rPr>
                <w:spacing w:val="-9"/>
                <w:sz w:val="18"/>
              </w:rPr>
              <w:t xml:space="preserve"> 分；及时申报但未及时安排检验、报告超期</w:t>
            </w:r>
          </w:p>
          <w:p>
            <w:pPr>
              <w:pStyle w:val="TableParagraph"/>
              <w:ind w:left="9"/>
              <w:jc w:val="both"/>
              <w:rPr>
                <w:sz w:val="18"/>
              </w:rPr>
            </w:pPr>
            <w:r>
              <w:rPr>
                <w:sz w:val="18"/>
              </w:rPr>
              <w:t xml:space="preserve">扣 4 分 </w:t>
            </w:r>
          </w:p>
        </w:tc>
        <w:tc>
          <w:tcPr>
            <w:tcW w:w="709" w:type="dxa"/>
            <w:tcBorders>
              <w:top w:val="single" w:sz="4" w:space="0" w:color="000000"/>
              <w:left w:val="single" w:sz="4" w:space="0" w:color="000000"/>
              <w:right w:val="single" w:sz="4" w:space="0" w:color="000000"/>
            </w:tcBorders>
          </w:tcPr>
          <w:p>
            <w:pPr>
              <w:pStyle w:val="TableParagraph"/>
              <w:rPr>
                <w:sz w:val="18"/>
              </w:rPr>
            </w:pPr>
          </w:p>
          <w:p>
            <w:pPr>
              <w:pStyle w:val="TableParagraph"/>
              <w:rPr>
                <w:sz w:val="18"/>
              </w:rPr>
            </w:pPr>
          </w:p>
          <w:p>
            <w:pPr>
              <w:pStyle w:val="TableParagraph"/>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tcBorders>
          </w:tcPr>
          <w:p>
            <w:pPr>
              <w:pStyle w:val="TableParagraph"/>
              <w:rPr>
                <w:sz w:val="18"/>
              </w:rPr>
            </w:pPr>
          </w:p>
          <w:p>
            <w:pPr>
              <w:pStyle w:val="TableParagraph"/>
              <w:rPr>
                <w:sz w:val="18"/>
              </w:rPr>
            </w:pPr>
          </w:p>
          <w:p>
            <w:pPr>
              <w:pStyle w:val="TableParagraph"/>
              <w:rPr>
                <w:sz w:val="16"/>
              </w:rPr>
            </w:pPr>
          </w:p>
          <w:p>
            <w:pPr>
              <w:pStyle w:val="TableParagraph"/>
              <w:ind w:left="112"/>
              <w:jc w:val="center"/>
              <w:rPr>
                <w:sz w:val="18"/>
              </w:rPr>
            </w:pPr>
            <w:r>
              <w:rPr>
                <w:sz w:val="18"/>
              </w:rPr>
              <w:t xml:space="preserve"> </w:t>
            </w:r>
          </w:p>
        </w:tc>
      </w:tr>
    </w:tbl>
    <w:p>
      <w:pPr>
        <w:spacing w:after="0"/>
        <w:jc w:val="center"/>
        <w:rPr>
          <w:sz w:val="18"/>
        </w:rPr>
        <w:sectPr>
          <w:headerReference w:type="even" r:id="rId49"/>
          <w:headerReference w:type="default" r:id="rId50"/>
          <w:footerReference w:type="even" r:id="rId51"/>
          <w:footerReference w:type="default" r:id="rId52"/>
          <w:pgSz w:w="11910" w:h="16840"/>
          <w:pgMar w:top="1640" w:right="720" w:bottom="1340" w:left="1000" w:header="1448" w:footer="1141"/>
          <w:pgNumType w:start="10"/>
          <w:cols w:space="708"/>
        </w:sectPr>
      </w:pPr>
    </w:p>
    <w:p>
      <w:pPr>
        <w:pStyle w:val="BodyText"/>
        <w:spacing w:before="1"/>
        <w:rPr>
          <w:sz w:val="17"/>
        </w:rPr>
      </w:pPr>
    </w:p>
    <w:p>
      <w:pPr>
        <w:pStyle w:val="BodyText"/>
        <w:spacing w:before="72"/>
        <w:ind w:left="8"/>
        <w:jc w:val="center"/>
      </w:pPr>
      <w:r>
        <w:rPr>
          <w:rFonts w:ascii="黑体" w:eastAsia="黑体" w:hint="eastAsia"/>
        </w:rPr>
        <w:t>表B.2 特种设备使用安全管理分种类评价表（压力容器[含气瓶]）</w:t>
      </w:r>
      <w:r>
        <w:t>（续）</w:t>
      </w:r>
    </w:p>
    <w:p>
      <w:pPr>
        <w:pStyle w:val="BodyText"/>
        <w:spacing w:before="9" w:after="1"/>
        <w:rPr>
          <w:sz w:val="13"/>
        </w:rPr>
      </w:pPr>
    </w:p>
    <w:tbl>
      <w:tblPr>
        <w:tblStyle w:val="TableNormal6"/>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98"/>
        <w:gridCol w:w="1276"/>
        <w:gridCol w:w="3403"/>
        <w:gridCol w:w="990"/>
        <w:gridCol w:w="1276"/>
        <w:gridCol w:w="707"/>
        <w:gridCol w:w="978"/>
      </w:tblGrid>
      <w:tr>
        <w:tblPrEx>
          <w:tblW w:w="0" w:type="auto"/>
          <w:jc w:val="left"/>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698" w:type="dxa"/>
            <w:tcBorders>
              <w:right w:val="single" w:sz="4" w:space="0" w:color="000000"/>
            </w:tcBorders>
          </w:tcPr>
          <w:p>
            <w:pPr>
              <w:pStyle w:val="TableParagraph"/>
              <w:spacing w:before="40"/>
              <w:ind w:left="195" w:right="88"/>
              <w:jc w:val="center"/>
              <w:rPr>
                <w:sz w:val="18"/>
              </w:rPr>
            </w:pPr>
            <w:r>
              <w:rPr>
                <w:sz w:val="18"/>
              </w:rPr>
              <w:t xml:space="preserve">序号 </w:t>
            </w:r>
          </w:p>
        </w:tc>
        <w:tc>
          <w:tcPr>
            <w:tcW w:w="1276" w:type="dxa"/>
            <w:tcBorders>
              <w:left w:val="single" w:sz="4" w:space="0" w:color="000000"/>
              <w:right w:val="single" w:sz="4" w:space="0" w:color="000000"/>
            </w:tcBorders>
          </w:tcPr>
          <w:p>
            <w:pPr>
              <w:pStyle w:val="TableParagraph"/>
              <w:spacing w:before="40"/>
              <w:ind w:left="463"/>
              <w:rPr>
                <w:sz w:val="18"/>
              </w:rPr>
            </w:pPr>
            <w:r>
              <w:rPr>
                <w:sz w:val="18"/>
              </w:rPr>
              <w:t xml:space="preserve">项目 </w:t>
            </w:r>
          </w:p>
        </w:tc>
        <w:tc>
          <w:tcPr>
            <w:tcW w:w="3403" w:type="dxa"/>
            <w:tcBorders>
              <w:left w:val="single" w:sz="4" w:space="0" w:color="000000"/>
              <w:right w:val="single" w:sz="4" w:space="0" w:color="000000"/>
            </w:tcBorders>
          </w:tcPr>
          <w:p>
            <w:pPr>
              <w:pStyle w:val="TableParagraph"/>
              <w:spacing w:before="40"/>
              <w:ind w:left="1370" w:right="1262"/>
              <w:jc w:val="center"/>
              <w:rPr>
                <w:sz w:val="18"/>
              </w:rPr>
            </w:pPr>
            <w:r>
              <w:rPr>
                <w:sz w:val="18"/>
              </w:rPr>
              <w:t xml:space="preserve">评价内容 </w:t>
            </w:r>
          </w:p>
        </w:tc>
        <w:tc>
          <w:tcPr>
            <w:tcW w:w="990" w:type="dxa"/>
            <w:tcBorders>
              <w:left w:val="single" w:sz="4" w:space="0" w:color="000000"/>
              <w:right w:val="single" w:sz="4" w:space="0" w:color="000000"/>
            </w:tcBorders>
          </w:tcPr>
          <w:p>
            <w:pPr>
              <w:pStyle w:val="TableParagraph"/>
              <w:spacing w:before="40"/>
              <w:ind w:left="346" w:right="234"/>
              <w:jc w:val="center"/>
              <w:rPr>
                <w:sz w:val="18"/>
              </w:rPr>
            </w:pPr>
            <w:r>
              <w:rPr>
                <w:sz w:val="18"/>
              </w:rPr>
              <w:t xml:space="preserve">分值 </w:t>
            </w:r>
          </w:p>
        </w:tc>
        <w:tc>
          <w:tcPr>
            <w:tcW w:w="1276" w:type="dxa"/>
            <w:tcBorders>
              <w:left w:val="single" w:sz="4" w:space="0" w:color="000000"/>
              <w:right w:val="single" w:sz="4" w:space="0" w:color="000000"/>
            </w:tcBorders>
          </w:tcPr>
          <w:p>
            <w:pPr>
              <w:pStyle w:val="TableParagraph"/>
              <w:spacing w:before="40"/>
              <w:ind w:left="286"/>
              <w:rPr>
                <w:sz w:val="18"/>
              </w:rPr>
            </w:pPr>
            <w:r>
              <w:rPr>
                <w:sz w:val="18"/>
              </w:rPr>
              <w:t xml:space="preserve">评分细则 </w:t>
            </w:r>
          </w:p>
        </w:tc>
        <w:tc>
          <w:tcPr>
            <w:tcW w:w="707" w:type="dxa"/>
            <w:tcBorders>
              <w:left w:val="single" w:sz="4" w:space="0" w:color="000000"/>
              <w:right w:val="single" w:sz="4" w:space="0" w:color="000000"/>
            </w:tcBorders>
          </w:tcPr>
          <w:p>
            <w:pPr>
              <w:pStyle w:val="TableParagraph"/>
              <w:spacing w:before="40"/>
              <w:ind w:left="203" w:right="91"/>
              <w:jc w:val="center"/>
              <w:rPr>
                <w:sz w:val="18"/>
              </w:rPr>
            </w:pPr>
            <w:r>
              <w:rPr>
                <w:sz w:val="18"/>
              </w:rPr>
              <w:t xml:space="preserve">扣分 </w:t>
            </w:r>
          </w:p>
        </w:tc>
        <w:tc>
          <w:tcPr>
            <w:tcW w:w="978" w:type="dxa"/>
            <w:tcBorders>
              <w:left w:val="single" w:sz="4" w:space="0" w:color="000000"/>
            </w:tcBorders>
          </w:tcPr>
          <w:p>
            <w:pPr>
              <w:pStyle w:val="TableParagraph"/>
              <w:spacing w:before="40"/>
              <w:ind w:left="161" w:right="39"/>
              <w:jc w:val="center"/>
              <w:rPr>
                <w:sz w:val="18"/>
              </w:rPr>
            </w:pPr>
            <w:r>
              <w:rPr>
                <w:sz w:val="18"/>
              </w:rPr>
              <w:t xml:space="preserve">存在问题 </w:t>
            </w:r>
          </w:p>
        </w:tc>
      </w:tr>
      <w:tr>
        <w:tblPrEx>
          <w:tblW w:w="0" w:type="auto"/>
          <w:jc w:val="left"/>
          <w:tblInd w:w="438" w:type="dxa"/>
          <w:tblLayout w:type="fixed"/>
          <w:tblCellMar>
            <w:top w:w="0" w:type="dxa"/>
            <w:left w:w="0" w:type="dxa"/>
            <w:bottom w:w="0" w:type="dxa"/>
            <w:right w:w="0" w:type="dxa"/>
          </w:tblCellMar>
          <w:tblLook w:val="01E0"/>
        </w:tblPrEx>
        <w:trPr>
          <w:trHeight w:val="959"/>
          <w:jc w:val="left"/>
        </w:trPr>
        <w:tc>
          <w:tcPr>
            <w:tcW w:w="698" w:type="dxa"/>
            <w:tcBorders>
              <w:bottom w:val="single" w:sz="4" w:space="0" w:color="000000"/>
              <w:right w:val="single" w:sz="4" w:space="0" w:color="000000"/>
            </w:tcBorders>
          </w:tcPr>
          <w:p>
            <w:pPr>
              <w:pStyle w:val="TableParagraph"/>
              <w:rPr>
                <w:sz w:val="18"/>
              </w:rPr>
            </w:pPr>
          </w:p>
          <w:p>
            <w:pPr>
              <w:pStyle w:val="TableParagraph"/>
              <w:spacing w:before="131"/>
              <w:ind w:left="195" w:right="86"/>
              <w:jc w:val="center"/>
              <w:rPr>
                <w:sz w:val="18"/>
              </w:rPr>
            </w:pPr>
            <w:r>
              <w:rPr>
                <w:sz w:val="18"/>
              </w:rPr>
              <w:t xml:space="preserve">11 </w:t>
            </w:r>
          </w:p>
        </w:tc>
        <w:tc>
          <w:tcPr>
            <w:tcW w:w="1276" w:type="dxa"/>
            <w:vMerge w:val="restart"/>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spacing w:before="7"/>
              <w:rPr>
                <w:sz w:val="13"/>
              </w:rPr>
            </w:pPr>
          </w:p>
          <w:p>
            <w:pPr>
              <w:pStyle w:val="TableParagraph"/>
              <w:ind w:left="283"/>
              <w:rPr>
                <w:sz w:val="18"/>
              </w:rPr>
            </w:pPr>
            <w:r>
              <w:rPr>
                <w:sz w:val="18"/>
              </w:rPr>
              <w:t xml:space="preserve">维护保养 </w:t>
            </w:r>
          </w:p>
        </w:tc>
        <w:tc>
          <w:tcPr>
            <w:tcW w:w="3403" w:type="dxa"/>
            <w:tcBorders>
              <w:left w:val="single" w:sz="4" w:space="0" w:color="000000"/>
              <w:bottom w:val="single" w:sz="4" w:space="0" w:color="000000"/>
              <w:right w:val="single" w:sz="4" w:space="0" w:color="000000"/>
            </w:tcBorders>
          </w:tcPr>
          <w:p>
            <w:pPr>
              <w:pStyle w:val="TableParagraph"/>
              <w:spacing w:before="64" w:line="321" w:lineRule="auto"/>
              <w:ind w:left="20" w:right="-15" w:firstLine="177"/>
              <w:rPr>
                <w:sz w:val="18"/>
              </w:rPr>
            </w:pPr>
            <w:r>
              <w:rPr>
                <w:spacing w:val="-3"/>
                <w:sz w:val="18"/>
              </w:rPr>
              <w:t xml:space="preserve">应对在用特种设备进行经常性维护保养， </w:t>
            </w:r>
            <w:r>
              <w:rPr>
                <w:spacing w:val="-5"/>
                <w:sz w:val="18"/>
              </w:rPr>
              <w:t>并有记录，气瓶充装单位应按原标志涂敷气</w:t>
            </w:r>
          </w:p>
          <w:p>
            <w:pPr>
              <w:pStyle w:val="TableParagraph"/>
              <w:spacing w:before="4"/>
              <w:ind w:left="20"/>
              <w:rPr>
                <w:sz w:val="18"/>
              </w:rPr>
            </w:pPr>
            <w:r>
              <w:rPr>
                <w:sz w:val="18"/>
              </w:rPr>
              <w:t xml:space="preserve">瓶颜色和充装站标志 </w:t>
            </w:r>
          </w:p>
        </w:tc>
        <w:tc>
          <w:tcPr>
            <w:tcW w:w="990" w:type="dxa"/>
            <w:tcBorders>
              <w:left w:val="single" w:sz="4" w:space="0" w:color="000000"/>
              <w:bottom w:val="single" w:sz="4" w:space="0" w:color="000000"/>
              <w:right w:val="single" w:sz="4" w:space="0" w:color="000000"/>
            </w:tcBorders>
          </w:tcPr>
          <w:p>
            <w:pPr>
              <w:pStyle w:val="TableParagraph"/>
              <w:rPr>
                <w:sz w:val="18"/>
              </w:rPr>
            </w:pPr>
          </w:p>
          <w:p>
            <w:pPr>
              <w:pStyle w:val="TableParagraph"/>
              <w:spacing w:before="138"/>
              <w:ind w:left="321" w:right="234"/>
              <w:jc w:val="center"/>
              <w:rPr>
                <w:sz w:val="13"/>
              </w:rPr>
            </w:pPr>
            <w:r>
              <w:rPr>
                <w:sz w:val="18"/>
              </w:rPr>
              <w:t>3</w:t>
            </w:r>
            <w:r>
              <w:rPr>
                <w:w w:val="99"/>
                <w:sz w:val="13"/>
              </w:rPr>
              <w:t xml:space="preserve"> </w:t>
            </w:r>
          </w:p>
        </w:tc>
        <w:tc>
          <w:tcPr>
            <w:tcW w:w="1276" w:type="dxa"/>
            <w:tcBorders>
              <w:left w:val="single" w:sz="4" w:space="0" w:color="000000"/>
              <w:bottom w:val="single" w:sz="4" w:space="0" w:color="000000"/>
              <w:right w:val="single" w:sz="4" w:space="0" w:color="000000"/>
            </w:tcBorders>
          </w:tcPr>
          <w:p>
            <w:pPr>
              <w:pStyle w:val="TableParagraph"/>
              <w:rPr>
                <w:sz w:val="18"/>
              </w:rPr>
            </w:pPr>
          </w:p>
          <w:p>
            <w:pPr>
              <w:pStyle w:val="TableParagraph"/>
              <w:spacing w:before="138"/>
              <w:ind w:left="12"/>
              <w:rPr>
                <w:sz w:val="18"/>
              </w:rPr>
            </w:pPr>
            <w:r>
              <w:rPr>
                <w:sz w:val="18"/>
              </w:rPr>
              <w:t xml:space="preserve">不符合扣 3 分 </w:t>
            </w:r>
          </w:p>
        </w:tc>
        <w:tc>
          <w:tcPr>
            <w:tcW w:w="707" w:type="dxa"/>
            <w:tcBorders>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12"/>
              <w:jc w:val="center"/>
              <w:rPr>
                <w:sz w:val="18"/>
              </w:rPr>
            </w:pPr>
            <w:r>
              <w:rPr>
                <w:sz w:val="18"/>
              </w:rPr>
              <w:t xml:space="preserve"> </w:t>
            </w:r>
          </w:p>
        </w:tc>
        <w:tc>
          <w:tcPr>
            <w:tcW w:w="978" w:type="dxa"/>
            <w:tcBorders>
              <w:left w:val="single" w:sz="4" w:space="0" w:color="000000"/>
              <w:bottom w:val="single" w:sz="4" w:space="0" w:color="000000"/>
            </w:tcBorders>
          </w:tcPr>
          <w:p>
            <w:pPr>
              <w:pStyle w:val="TableParagraph"/>
              <w:rPr>
                <w:sz w:val="18"/>
              </w:rPr>
            </w:pPr>
          </w:p>
          <w:p>
            <w:pPr>
              <w:pStyle w:val="TableParagraph"/>
              <w:spacing w:before="131"/>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7"/>
          <w:jc w:val="left"/>
        </w:trPr>
        <w:tc>
          <w:tcPr>
            <w:tcW w:w="698" w:type="dxa"/>
            <w:tcBorders>
              <w:top w:val="single" w:sz="4" w:space="0" w:color="000000"/>
              <w:bottom w:val="single" w:sz="4" w:space="0" w:color="000000"/>
              <w:right w:val="single" w:sz="4" w:space="0" w:color="000000"/>
            </w:tcBorders>
          </w:tcPr>
          <w:p>
            <w:pPr>
              <w:pStyle w:val="TableParagraph"/>
              <w:spacing w:before="52"/>
              <w:ind w:left="195" w:right="86"/>
              <w:jc w:val="center"/>
              <w:rPr>
                <w:sz w:val="18"/>
              </w:rPr>
            </w:pPr>
            <w:r>
              <w:rPr>
                <w:sz w:val="18"/>
              </w:rPr>
              <w:t xml:space="preserve">12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7"/>
              <w:ind w:left="197"/>
              <w:rPr>
                <w:sz w:val="18"/>
              </w:rPr>
            </w:pPr>
            <w:r>
              <w:rPr>
                <w:sz w:val="18"/>
              </w:rPr>
              <w:t xml:space="preserve">应进行定期自行检查（至少每月一次）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57"/>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7"/>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52"/>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52"/>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698"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5" w:right="86"/>
              <w:jc w:val="center"/>
              <w:rPr>
                <w:sz w:val="18"/>
              </w:rPr>
            </w:pPr>
            <w:r>
              <w:rPr>
                <w:sz w:val="18"/>
              </w:rPr>
              <w:t xml:space="preserve">13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ight="-15"/>
              <w:rPr>
                <w:sz w:val="18"/>
              </w:rPr>
            </w:pPr>
            <w:r>
              <w:rPr>
                <w:spacing w:val="-5"/>
                <w:sz w:val="18"/>
              </w:rPr>
              <w:t>每年应进行年度检查，并出具年度检查报</w:t>
            </w:r>
          </w:p>
          <w:p>
            <w:pPr>
              <w:pStyle w:val="TableParagraph"/>
              <w:spacing w:before="82"/>
              <w:ind w:left="20"/>
              <w:rPr>
                <w:sz w:val="18"/>
              </w:rPr>
            </w:pPr>
            <w:r>
              <w:rPr>
                <w:sz w:val="18"/>
              </w:rPr>
              <w:t xml:space="preserve">告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346" w:right="234"/>
              <w:jc w:val="center"/>
              <w:rPr>
                <w:sz w:val="18"/>
              </w:rPr>
            </w:pPr>
            <w:r>
              <w:rPr>
                <w:sz w:val="18"/>
              </w:rPr>
              <w:t xml:space="preserve">3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12"/>
              <w:rPr>
                <w:sz w:val="18"/>
              </w:rPr>
            </w:pPr>
            <w:r>
              <w:rPr>
                <w:sz w:val="18"/>
              </w:rPr>
              <w:t xml:space="preserve">不符合扣 3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960"/>
          <w:jc w:val="left"/>
        </w:trPr>
        <w:tc>
          <w:tcPr>
            <w:tcW w:w="698"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31"/>
              <w:ind w:left="195" w:right="86"/>
              <w:jc w:val="center"/>
              <w:rPr>
                <w:sz w:val="18"/>
              </w:rPr>
            </w:pPr>
            <w:r>
              <w:rPr>
                <w:sz w:val="18"/>
              </w:rPr>
              <w:t xml:space="preserve">14 </w:t>
            </w:r>
          </w:p>
        </w:tc>
        <w:tc>
          <w:tcPr>
            <w:tcW w:w="1276"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
              <w:rPr>
                <w:sz w:val="14"/>
              </w:rPr>
            </w:pPr>
          </w:p>
          <w:p>
            <w:pPr>
              <w:pStyle w:val="TableParagraph"/>
              <w:spacing w:line="324" w:lineRule="auto"/>
              <w:ind w:left="283" w:right="-15" w:hanging="272"/>
              <w:rPr>
                <w:sz w:val="18"/>
              </w:rPr>
            </w:pPr>
            <w:r>
              <w:rPr>
                <w:spacing w:val="-2"/>
                <w:sz w:val="18"/>
              </w:rPr>
              <w:t>安全附件和安全</w:t>
            </w:r>
            <w:r>
              <w:rPr>
                <w:sz w:val="18"/>
              </w:rPr>
              <w:t xml:space="preserve">保护装置 </w:t>
            </w: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line="321" w:lineRule="auto"/>
              <w:ind w:left="20" w:right="-15" w:firstLine="177"/>
              <w:rPr>
                <w:sz w:val="18"/>
              </w:rPr>
            </w:pPr>
            <w:r>
              <w:rPr>
                <w:spacing w:val="-5"/>
                <w:sz w:val="18"/>
              </w:rPr>
              <w:t>安全阀的铅封、校验标签应完好，应在校验有效期内使用；安全阀前设置截止阀的应</w:t>
            </w:r>
          </w:p>
          <w:p>
            <w:pPr>
              <w:pStyle w:val="TableParagraph"/>
              <w:spacing w:before="4"/>
              <w:ind w:left="20"/>
              <w:rPr>
                <w:sz w:val="18"/>
              </w:rPr>
            </w:pPr>
            <w:r>
              <w:rPr>
                <w:sz w:val="18"/>
              </w:rPr>
              <w:t xml:space="preserve">设置常开标志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6"/>
              <w:ind w:left="346" w:right="234"/>
              <w:jc w:val="center"/>
              <w:rPr>
                <w:sz w:val="18"/>
              </w:rPr>
            </w:pPr>
            <w:r>
              <w:rPr>
                <w:sz w:val="18"/>
              </w:rPr>
              <w:t xml:space="preserve">3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6"/>
              <w:ind w:left="12"/>
              <w:rPr>
                <w:sz w:val="18"/>
              </w:rPr>
            </w:pPr>
            <w:r>
              <w:rPr>
                <w:sz w:val="18"/>
              </w:rPr>
              <w:t xml:space="preserve">不符合扣 3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31"/>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698"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195" w:right="86"/>
              <w:jc w:val="center"/>
              <w:rPr>
                <w:sz w:val="18"/>
              </w:rPr>
            </w:pPr>
            <w:r>
              <w:rPr>
                <w:sz w:val="18"/>
              </w:rPr>
              <w:t xml:space="preserve">15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Pr>
                <w:sz w:val="18"/>
              </w:rPr>
            </w:pPr>
            <w:r>
              <w:rPr>
                <w:sz w:val="18"/>
              </w:rPr>
              <w:t>易燃有毒介质的安全阀排气管应引到安</w:t>
            </w:r>
          </w:p>
          <w:p>
            <w:pPr>
              <w:pStyle w:val="TableParagraph"/>
              <w:spacing w:before="82"/>
              <w:ind w:left="20"/>
              <w:rPr>
                <w:sz w:val="18"/>
              </w:rPr>
            </w:pPr>
            <w:r>
              <w:rPr>
                <w:sz w:val="18"/>
              </w:rPr>
              <w:t xml:space="preserve">全地点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5"/>
          <w:jc w:val="left"/>
        </w:trPr>
        <w:tc>
          <w:tcPr>
            <w:tcW w:w="698" w:type="dxa"/>
            <w:tcBorders>
              <w:top w:val="single" w:sz="4" w:space="0" w:color="000000"/>
              <w:bottom w:val="single" w:sz="4" w:space="0" w:color="000000"/>
              <w:right w:val="single" w:sz="4" w:space="0" w:color="000000"/>
            </w:tcBorders>
          </w:tcPr>
          <w:p>
            <w:pPr>
              <w:pStyle w:val="TableParagraph"/>
              <w:spacing w:before="50"/>
              <w:ind w:left="195" w:right="86"/>
              <w:jc w:val="center"/>
              <w:rPr>
                <w:sz w:val="18"/>
              </w:rPr>
            </w:pPr>
            <w:r>
              <w:rPr>
                <w:sz w:val="18"/>
              </w:rPr>
              <w:t xml:space="preserve">16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Pr>
                <w:sz w:val="18"/>
              </w:rPr>
            </w:pPr>
            <w:r>
              <w:rPr>
                <w:sz w:val="18"/>
              </w:rPr>
              <w:t xml:space="preserve">液位表上应有最高安全液位的明显标志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55"/>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5"/>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50"/>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50"/>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698"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195" w:right="86"/>
              <w:jc w:val="center"/>
              <w:rPr>
                <w:sz w:val="18"/>
              </w:rPr>
            </w:pPr>
            <w:r>
              <w:rPr>
                <w:sz w:val="18"/>
              </w:rPr>
              <w:t xml:space="preserve">17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ight="-15"/>
              <w:rPr>
                <w:sz w:val="18"/>
              </w:rPr>
            </w:pPr>
            <w:r>
              <w:rPr>
                <w:spacing w:val="-3"/>
                <w:sz w:val="18"/>
              </w:rPr>
              <w:t>爆破片装置应完好无泄漏，应定期更换，</w:t>
            </w:r>
          </w:p>
          <w:p>
            <w:pPr>
              <w:pStyle w:val="TableParagraph"/>
              <w:spacing w:before="82"/>
              <w:ind w:left="20"/>
              <w:rPr>
                <w:sz w:val="18"/>
              </w:rPr>
            </w:pPr>
            <w:r>
              <w:rPr>
                <w:sz w:val="18"/>
              </w:rPr>
              <w:t xml:space="preserve">有效期内使用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47"/>
          <w:jc w:val="left"/>
        </w:trPr>
        <w:tc>
          <w:tcPr>
            <w:tcW w:w="698"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5" w:right="86"/>
              <w:jc w:val="center"/>
              <w:rPr>
                <w:sz w:val="18"/>
              </w:rPr>
            </w:pPr>
            <w:r>
              <w:rPr>
                <w:sz w:val="18"/>
              </w:rPr>
              <w:t xml:space="preserve">18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ight="-15"/>
              <w:rPr>
                <w:sz w:val="18"/>
              </w:rPr>
            </w:pPr>
            <w:r>
              <w:rPr>
                <w:spacing w:val="-4"/>
                <w:sz w:val="18"/>
              </w:rPr>
              <w:t>紧急切断装置应定期调试</w:t>
            </w:r>
            <w:r>
              <w:rPr>
                <w:spacing w:val="-3"/>
                <w:sz w:val="18"/>
              </w:rPr>
              <w:t>（</w:t>
            </w:r>
            <w:r>
              <w:rPr>
                <w:spacing w:val="-2"/>
                <w:sz w:val="18"/>
              </w:rPr>
              <w:t>有记录</w:t>
            </w:r>
            <w:r>
              <w:rPr>
                <w:spacing w:val="-7"/>
                <w:sz w:val="18"/>
              </w:rPr>
              <w:t>）</w:t>
            </w:r>
            <w:r>
              <w:rPr>
                <w:spacing w:val="-4"/>
                <w:sz w:val="18"/>
              </w:rPr>
              <w:t>，功</w:t>
            </w:r>
          </w:p>
          <w:p>
            <w:pPr>
              <w:pStyle w:val="TableParagraph"/>
              <w:spacing w:before="79"/>
              <w:ind w:left="20"/>
              <w:rPr>
                <w:sz w:val="18"/>
              </w:rPr>
            </w:pPr>
            <w:r>
              <w:rPr>
                <w:sz w:val="18"/>
              </w:rPr>
              <w:t xml:space="preserve">能有效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698"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195" w:right="86"/>
              <w:jc w:val="center"/>
              <w:rPr>
                <w:sz w:val="18"/>
              </w:rPr>
            </w:pPr>
            <w:r>
              <w:rPr>
                <w:sz w:val="18"/>
              </w:rPr>
              <w:t xml:space="preserve">19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7"/>
              <w:ind w:left="197"/>
              <w:rPr>
                <w:sz w:val="18"/>
              </w:rPr>
            </w:pPr>
            <w:r>
              <w:rPr>
                <w:sz w:val="18"/>
              </w:rPr>
              <w:t>快开门式压力容器的安全联锁装置应完</w:t>
            </w:r>
          </w:p>
          <w:p>
            <w:pPr>
              <w:pStyle w:val="TableParagraph"/>
              <w:spacing w:before="79"/>
              <w:ind w:left="20"/>
              <w:rPr>
                <w:sz w:val="18"/>
              </w:rPr>
            </w:pPr>
            <w:r>
              <w:rPr>
                <w:sz w:val="18"/>
              </w:rPr>
              <w:t xml:space="preserve">好，功能应符合要求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346" w:right="234"/>
              <w:jc w:val="center"/>
              <w:rPr>
                <w:sz w:val="18"/>
              </w:rPr>
            </w:pPr>
            <w:r>
              <w:rPr>
                <w:sz w:val="18"/>
              </w:rPr>
              <w:t xml:space="preserve">3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12"/>
              <w:rPr>
                <w:sz w:val="18"/>
              </w:rPr>
            </w:pPr>
            <w:r>
              <w:rPr>
                <w:sz w:val="18"/>
              </w:rPr>
              <w:t xml:space="preserve">不符合扣 3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50"/>
          <w:jc w:val="left"/>
        </w:trPr>
        <w:tc>
          <w:tcPr>
            <w:tcW w:w="698"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5" w:right="86"/>
              <w:jc w:val="center"/>
              <w:rPr>
                <w:sz w:val="18"/>
              </w:rPr>
            </w:pPr>
            <w:r>
              <w:rPr>
                <w:sz w:val="18"/>
              </w:rPr>
              <w:t xml:space="preserve">20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5"/>
              <w:ind w:left="197"/>
              <w:rPr>
                <w:sz w:val="18"/>
              </w:rPr>
            </w:pPr>
            <w:r>
              <w:rPr>
                <w:spacing w:val="-4"/>
                <w:sz w:val="18"/>
              </w:rPr>
              <w:t>压力表应在检定有效期内，表盘应有最高</w:t>
            </w:r>
          </w:p>
          <w:p>
            <w:pPr>
              <w:pStyle w:val="TableParagraph"/>
              <w:spacing w:before="81"/>
              <w:ind w:left="20"/>
              <w:rPr>
                <w:sz w:val="18"/>
              </w:rPr>
            </w:pPr>
            <w:r>
              <w:rPr>
                <w:sz w:val="18"/>
              </w:rPr>
              <w:t xml:space="preserve">压力指示红线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spacing w:before="1"/>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spacing w:before="1"/>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5"/>
          <w:jc w:val="left"/>
        </w:trPr>
        <w:tc>
          <w:tcPr>
            <w:tcW w:w="698" w:type="dxa"/>
            <w:tcBorders>
              <w:top w:val="single" w:sz="4" w:space="0" w:color="000000"/>
              <w:bottom w:val="single" w:sz="4" w:space="0" w:color="000000"/>
              <w:right w:val="single" w:sz="4" w:space="0" w:color="000000"/>
            </w:tcBorders>
          </w:tcPr>
          <w:p>
            <w:pPr>
              <w:pStyle w:val="TableParagraph"/>
              <w:spacing w:before="50"/>
              <w:ind w:left="195" w:right="86"/>
              <w:jc w:val="center"/>
              <w:rPr>
                <w:sz w:val="18"/>
              </w:rPr>
            </w:pPr>
            <w:r>
              <w:rPr>
                <w:sz w:val="18"/>
              </w:rPr>
              <w:t xml:space="preserve">21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Pr>
                <w:sz w:val="18"/>
              </w:rPr>
            </w:pPr>
            <w:r>
              <w:rPr>
                <w:sz w:val="18"/>
              </w:rPr>
              <w:t xml:space="preserve">测温仪表应在检定有效期内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55"/>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5"/>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50"/>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50"/>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7"/>
          <w:jc w:val="left"/>
        </w:trPr>
        <w:tc>
          <w:tcPr>
            <w:tcW w:w="698" w:type="dxa"/>
            <w:tcBorders>
              <w:top w:val="single" w:sz="4" w:space="0" w:color="000000"/>
              <w:bottom w:val="single" w:sz="4" w:space="0" w:color="000000"/>
              <w:right w:val="single" w:sz="4" w:space="0" w:color="000000"/>
            </w:tcBorders>
          </w:tcPr>
          <w:p>
            <w:pPr>
              <w:pStyle w:val="TableParagraph"/>
              <w:spacing w:before="52"/>
              <w:ind w:left="195" w:right="86"/>
              <w:jc w:val="center"/>
              <w:rPr>
                <w:sz w:val="18"/>
              </w:rPr>
            </w:pPr>
            <w:r>
              <w:rPr>
                <w:sz w:val="18"/>
              </w:rPr>
              <w:t xml:space="preserve">22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Pr>
                <w:sz w:val="18"/>
              </w:rPr>
            </w:pPr>
            <w:r>
              <w:rPr>
                <w:sz w:val="18"/>
              </w:rPr>
              <w:t xml:space="preserve">气瓶瓶阀选型应正确，应完好，无泄漏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57"/>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7"/>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52"/>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52"/>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5"/>
          <w:jc w:val="left"/>
        </w:trPr>
        <w:tc>
          <w:tcPr>
            <w:tcW w:w="698" w:type="dxa"/>
            <w:tcBorders>
              <w:top w:val="single" w:sz="4" w:space="0" w:color="000000"/>
              <w:bottom w:val="single" w:sz="4" w:space="0" w:color="000000"/>
              <w:right w:val="single" w:sz="4" w:space="0" w:color="000000"/>
            </w:tcBorders>
          </w:tcPr>
          <w:p>
            <w:pPr>
              <w:pStyle w:val="TableParagraph"/>
              <w:spacing w:before="50"/>
              <w:ind w:left="195" w:right="86"/>
              <w:jc w:val="center"/>
              <w:rPr>
                <w:sz w:val="18"/>
              </w:rPr>
            </w:pPr>
            <w:r>
              <w:rPr>
                <w:sz w:val="18"/>
              </w:rPr>
              <w:t xml:space="preserve">23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Pr>
                <w:sz w:val="18"/>
              </w:rPr>
            </w:pPr>
            <w:r>
              <w:rPr>
                <w:sz w:val="18"/>
              </w:rPr>
              <w:t xml:space="preserve">气瓶瓶帽、保护罩、底座应齐全完好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57"/>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7"/>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50"/>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50"/>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7"/>
          <w:jc w:val="left"/>
        </w:trPr>
        <w:tc>
          <w:tcPr>
            <w:tcW w:w="698" w:type="dxa"/>
            <w:tcBorders>
              <w:top w:val="single" w:sz="4" w:space="0" w:color="000000"/>
              <w:bottom w:val="single" w:sz="4" w:space="0" w:color="000000"/>
              <w:right w:val="single" w:sz="4" w:space="0" w:color="000000"/>
            </w:tcBorders>
          </w:tcPr>
          <w:p>
            <w:pPr>
              <w:pStyle w:val="TableParagraph"/>
              <w:spacing w:before="52"/>
              <w:ind w:left="195" w:right="86"/>
              <w:jc w:val="center"/>
              <w:rPr>
                <w:sz w:val="18"/>
              </w:rPr>
            </w:pPr>
            <w:r>
              <w:rPr>
                <w:sz w:val="18"/>
              </w:rPr>
              <w:t xml:space="preserve">24 </w:t>
            </w:r>
          </w:p>
        </w:tc>
        <w:tc>
          <w:tcPr>
            <w:tcW w:w="1276" w:type="dxa"/>
            <w:vMerge/>
            <w:tcBorders>
              <w:top w:val="nil"/>
              <w:left w:val="single" w:sz="4" w:space="0" w:color="000000"/>
              <w:bottom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7"/>
              <w:ind w:left="197"/>
              <w:rPr>
                <w:sz w:val="18"/>
              </w:rPr>
            </w:pPr>
            <w:r>
              <w:rPr>
                <w:sz w:val="18"/>
              </w:rPr>
              <w:t xml:space="preserve">气瓶易熔合金塞装置应完好，无泄漏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57"/>
              <w:ind w:left="346"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7"/>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52"/>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52"/>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3"/>
          <w:jc w:val="left"/>
        </w:trPr>
        <w:tc>
          <w:tcPr>
            <w:tcW w:w="698" w:type="dxa"/>
            <w:tcBorders>
              <w:top w:val="single" w:sz="4" w:space="0" w:color="000000"/>
              <w:bottom w:val="single" w:sz="4" w:space="0" w:color="000000"/>
              <w:right w:val="single" w:sz="4" w:space="0" w:color="000000"/>
            </w:tcBorders>
          </w:tcPr>
          <w:p>
            <w:pPr>
              <w:pStyle w:val="TableParagraph"/>
              <w:spacing w:before="50"/>
              <w:ind w:left="195" w:right="86"/>
              <w:jc w:val="center"/>
              <w:rPr>
                <w:sz w:val="18"/>
              </w:rPr>
            </w:pPr>
            <w:r>
              <w:rPr>
                <w:sz w:val="18"/>
              </w:rPr>
              <w:t xml:space="preserve">25 </w:t>
            </w:r>
          </w:p>
        </w:tc>
        <w:tc>
          <w:tcPr>
            <w:tcW w:w="1276" w:type="dxa"/>
            <w:vMerge w:val="restart"/>
            <w:tcBorders>
              <w:top w:val="single" w:sz="4" w:space="0" w:color="000000"/>
              <w:left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9"/>
              <w:rPr>
                <w:sz w:val="22"/>
              </w:rPr>
            </w:pPr>
          </w:p>
          <w:p>
            <w:pPr>
              <w:pStyle w:val="TableParagraph"/>
              <w:spacing w:before="1"/>
              <w:ind w:left="283"/>
              <w:rPr>
                <w:sz w:val="18"/>
              </w:rPr>
            </w:pPr>
            <w:r>
              <w:rPr>
                <w:sz w:val="18"/>
              </w:rPr>
              <w:t xml:space="preserve">现场管理 </w:t>
            </w: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64"/>
              <w:ind w:left="197"/>
              <w:rPr>
                <w:sz w:val="18"/>
              </w:rPr>
            </w:pPr>
            <w:r>
              <w:rPr>
                <w:sz w:val="18"/>
              </w:rPr>
              <w:t xml:space="preserve">应有运行记录、值班记录和交接班记录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64"/>
              <w:ind w:left="334"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7"/>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50"/>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50"/>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949"/>
          <w:jc w:val="left"/>
        </w:trPr>
        <w:tc>
          <w:tcPr>
            <w:tcW w:w="698"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26"/>
              <w:ind w:left="195" w:right="86"/>
              <w:jc w:val="center"/>
              <w:rPr>
                <w:sz w:val="18"/>
              </w:rPr>
            </w:pPr>
            <w:r>
              <w:rPr>
                <w:sz w:val="18"/>
              </w:rPr>
              <w:t xml:space="preserve">26 </w:t>
            </w:r>
          </w:p>
        </w:tc>
        <w:tc>
          <w:tcPr>
            <w:tcW w:w="1276" w:type="dxa"/>
            <w:vMerge/>
            <w:tcBorders>
              <w:top w:val="nil"/>
              <w:left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59" w:line="321" w:lineRule="auto"/>
              <w:ind w:left="20" w:right="108" w:firstLine="177"/>
              <w:rPr>
                <w:sz w:val="18"/>
              </w:rPr>
            </w:pPr>
            <w:r>
              <w:rPr>
                <w:sz w:val="18"/>
              </w:rPr>
              <w:t>以水为介质产生蒸汽的压力容器的使用单位应做好压力容器水质的处理和监测工</w:t>
            </w:r>
          </w:p>
          <w:p>
            <w:pPr>
              <w:pStyle w:val="TableParagraph"/>
              <w:spacing w:before="4"/>
              <w:ind w:left="20"/>
              <w:rPr>
                <w:sz w:val="18"/>
              </w:rPr>
            </w:pPr>
            <w:r>
              <w:rPr>
                <w:sz w:val="18"/>
              </w:rPr>
              <w:t xml:space="preserve">作，保证水质质量符合相关要求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1"/>
              <w:ind w:left="334"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26"/>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26"/>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640"/>
          <w:jc w:val="left"/>
        </w:trPr>
        <w:tc>
          <w:tcPr>
            <w:tcW w:w="698" w:type="dxa"/>
            <w:tcBorders>
              <w:top w:val="single" w:sz="4" w:space="0" w:color="000000"/>
              <w:bottom w:val="single" w:sz="4" w:space="0" w:color="000000"/>
              <w:right w:val="single" w:sz="4" w:space="0" w:color="000000"/>
            </w:tcBorders>
          </w:tcPr>
          <w:p>
            <w:pPr>
              <w:pStyle w:val="TableParagraph"/>
              <w:spacing w:before="11"/>
              <w:rPr>
                <w:sz w:val="15"/>
              </w:rPr>
            </w:pPr>
          </w:p>
          <w:p>
            <w:pPr>
              <w:pStyle w:val="TableParagraph"/>
              <w:ind w:left="195" w:right="86"/>
              <w:jc w:val="center"/>
              <w:rPr>
                <w:sz w:val="18"/>
              </w:rPr>
            </w:pPr>
            <w:r>
              <w:rPr>
                <w:sz w:val="18"/>
              </w:rPr>
              <w:t xml:space="preserve">27 </w:t>
            </w:r>
          </w:p>
        </w:tc>
        <w:tc>
          <w:tcPr>
            <w:tcW w:w="1276" w:type="dxa"/>
            <w:vMerge/>
            <w:tcBorders>
              <w:top w:val="nil"/>
              <w:left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59"/>
              <w:ind w:left="197"/>
              <w:rPr>
                <w:sz w:val="18"/>
              </w:rPr>
            </w:pPr>
            <w:r>
              <w:rPr>
                <w:spacing w:val="-6"/>
                <w:sz w:val="18"/>
              </w:rPr>
              <w:t>压力容器本体、接口、焊缝应无裂纹、过</w:t>
            </w:r>
          </w:p>
          <w:p>
            <w:pPr>
              <w:pStyle w:val="TableParagraph"/>
              <w:spacing w:before="82"/>
              <w:ind w:left="20"/>
              <w:rPr>
                <w:sz w:val="18"/>
              </w:rPr>
            </w:pPr>
            <w:r>
              <w:rPr>
                <w:sz w:val="18"/>
              </w:rPr>
              <w:t xml:space="preserve">热、变形、泄漏、损伤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10"/>
              <w:rPr>
                <w:sz w:val="16"/>
              </w:rPr>
            </w:pPr>
          </w:p>
          <w:p>
            <w:pPr>
              <w:pStyle w:val="TableParagraph"/>
              <w:ind w:left="334"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1"/>
              <w:rPr>
                <w:sz w:val="15"/>
              </w:rPr>
            </w:pPr>
          </w:p>
          <w:p>
            <w:pPr>
              <w:pStyle w:val="TableParagraph"/>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11"/>
              <w:rPr>
                <w:sz w:val="15"/>
              </w:rPr>
            </w:pPr>
          </w:p>
          <w:p>
            <w:pPr>
              <w:pStyle w:val="TableParagraph"/>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25"/>
          <w:jc w:val="left"/>
        </w:trPr>
        <w:tc>
          <w:tcPr>
            <w:tcW w:w="698" w:type="dxa"/>
            <w:tcBorders>
              <w:top w:val="single" w:sz="4" w:space="0" w:color="000000"/>
              <w:bottom w:val="single" w:sz="4" w:space="0" w:color="000000"/>
              <w:right w:val="single" w:sz="4" w:space="0" w:color="000000"/>
            </w:tcBorders>
          </w:tcPr>
          <w:p>
            <w:pPr>
              <w:pStyle w:val="TableParagraph"/>
              <w:spacing w:before="45"/>
              <w:ind w:left="195" w:right="86"/>
              <w:jc w:val="center"/>
              <w:rPr>
                <w:sz w:val="18"/>
              </w:rPr>
            </w:pPr>
            <w:r>
              <w:rPr>
                <w:sz w:val="18"/>
              </w:rPr>
              <w:t xml:space="preserve">28 </w:t>
            </w:r>
          </w:p>
        </w:tc>
        <w:tc>
          <w:tcPr>
            <w:tcW w:w="1276" w:type="dxa"/>
            <w:vMerge/>
            <w:tcBorders>
              <w:top w:val="nil"/>
              <w:left w:val="single" w:sz="4" w:space="0" w:color="000000"/>
              <w:right w:val="single" w:sz="4" w:space="0" w:color="000000"/>
            </w:tcBorders>
          </w:tcPr>
          <w:p>
            <w:pPr>
              <w:rPr>
                <w:sz w:val="2"/>
                <w:szCs w:val="2"/>
              </w:rPr>
            </w:pPr>
          </w:p>
        </w:tc>
        <w:tc>
          <w:tcPr>
            <w:tcW w:w="3403" w:type="dxa"/>
            <w:tcBorders>
              <w:top w:val="single" w:sz="4" w:space="0" w:color="000000"/>
              <w:left w:val="single" w:sz="4" w:space="0" w:color="000000"/>
              <w:bottom w:val="single" w:sz="4" w:space="0" w:color="000000"/>
              <w:right w:val="single" w:sz="4" w:space="0" w:color="000000"/>
            </w:tcBorders>
          </w:tcPr>
          <w:p>
            <w:pPr>
              <w:pStyle w:val="TableParagraph"/>
              <w:spacing w:before="59"/>
              <w:ind w:left="197"/>
              <w:rPr>
                <w:sz w:val="18"/>
              </w:rPr>
            </w:pPr>
            <w:r>
              <w:rPr>
                <w:sz w:val="18"/>
              </w:rPr>
              <w:t xml:space="preserve">外表面应无腐蚀，无异常结霜、结露等 </w:t>
            </w:r>
          </w:p>
        </w:tc>
        <w:tc>
          <w:tcPr>
            <w:tcW w:w="990" w:type="dxa"/>
            <w:tcBorders>
              <w:top w:val="single" w:sz="4" w:space="0" w:color="000000"/>
              <w:left w:val="single" w:sz="4" w:space="0" w:color="000000"/>
              <w:bottom w:val="single" w:sz="4" w:space="0" w:color="000000"/>
              <w:right w:val="single" w:sz="4" w:space="0" w:color="000000"/>
            </w:tcBorders>
          </w:tcPr>
          <w:p>
            <w:pPr>
              <w:pStyle w:val="TableParagraph"/>
              <w:spacing w:before="59"/>
              <w:ind w:left="334" w:right="234"/>
              <w:jc w:val="center"/>
              <w:rPr>
                <w:sz w:val="18"/>
              </w:rPr>
            </w:pPr>
            <w:r>
              <w:rPr>
                <w:sz w:val="18"/>
              </w:rPr>
              <w:t xml:space="preserve">2 </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50"/>
              <w:ind w:left="12"/>
              <w:rPr>
                <w:sz w:val="18"/>
              </w:rPr>
            </w:pPr>
            <w:r>
              <w:rPr>
                <w:sz w:val="18"/>
              </w:rPr>
              <w:t xml:space="preserve">不符合扣 2 分 </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45"/>
              <w:ind w:left="112"/>
              <w:jc w:val="center"/>
              <w:rPr>
                <w:sz w:val="18"/>
              </w:rPr>
            </w:pPr>
            <w:r>
              <w:rPr>
                <w:sz w:val="18"/>
              </w:rPr>
              <w:t xml:space="preserve"> </w:t>
            </w:r>
          </w:p>
        </w:tc>
        <w:tc>
          <w:tcPr>
            <w:tcW w:w="978" w:type="dxa"/>
            <w:tcBorders>
              <w:top w:val="single" w:sz="4" w:space="0" w:color="000000"/>
              <w:left w:val="single" w:sz="4" w:space="0" w:color="000000"/>
              <w:bottom w:val="single" w:sz="4" w:space="0" w:color="000000"/>
            </w:tcBorders>
          </w:tcPr>
          <w:p>
            <w:pPr>
              <w:pStyle w:val="TableParagraph"/>
              <w:spacing w:before="45"/>
              <w:ind w:left="122"/>
              <w:jc w:val="center"/>
              <w:rPr>
                <w:sz w:val="18"/>
              </w:rPr>
            </w:pPr>
            <w:r>
              <w:rPr>
                <w:sz w:val="18"/>
              </w:rPr>
              <w:t xml:space="preserve"> </w:t>
            </w:r>
          </w:p>
        </w:tc>
      </w:tr>
      <w:tr>
        <w:tblPrEx>
          <w:tblW w:w="0" w:type="auto"/>
          <w:jc w:val="left"/>
          <w:tblInd w:w="438" w:type="dxa"/>
          <w:tblLayout w:type="fixed"/>
          <w:tblCellMar>
            <w:top w:w="0" w:type="dxa"/>
            <w:left w:w="0" w:type="dxa"/>
            <w:bottom w:w="0" w:type="dxa"/>
            <w:right w:w="0" w:type="dxa"/>
          </w:tblCellMar>
          <w:tblLook w:val="01E0"/>
        </w:tblPrEx>
        <w:trPr>
          <w:trHeight w:val="332"/>
          <w:jc w:val="left"/>
        </w:trPr>
        <w:tc>
          <w:tcPr>
            <w:tcW w:w="698" w:type="dxa"/>
            <w:tcBorders>
              <w:top w:val="single" w:sz="4" w:space="0" w:color="000000"/>
              <w:right w:val="single" w:sz="4" w:space="0" w:color="000000"/>
            </w:tcBorders>
          </w:tcPr>
          <w:p>
            <w:pPr>
              <w:pStyle w:val="TableParagraph"/>
              <w:spacing w:before="47"/>
              <w:ind w:left="195" w:right="86"/>
              <w:jc w:val="center"/>
              <w:rPr>
                <w:sz w:val="18"/>
              </w:rPr>
            </w:pPr>
            <w:r>
              <w:rPr>
                <w:sz w:val="18"/>
              </w:rPr>
              <w:t xml:space="preserve">29 </w:t>
            </w:r>
          </w:p>
        </w:tc>
        <w:tc>
          <w:tcPr>
            <w:tcW w:w="1276" w:type="dxa"/>
            <w:vMerge/>
            <w:tcBorders>
              <w:top w:val="nil"/>
              <w:left w:val="single" w:sz="4" w:space="0" w:color="000000"/>
              <w:right w:val="single" w:sz="4" w:space="0" w:color="000000"/>
            </w:tcBorders>
          </w:tcPr>
          <w:p>
            <w:pPr>
              <w:rPr>
                <w:sz w:val="2"/>
                <w:szCs w:val="2"/>
              </w:rPr>
            </w:pPr>
          </w:p>
        </w:tc>
        <w:tc>
          <w:tcPr>
            <w:tcW w:w="3403" w:type="dxa"/>
            <w:tcBorders>
              <w:top w:val="single" w:sz="4" w:space="0" w:color="000000"/>
              <w:left w:val="single" w:sz="4" w:space="0" w:color="000000"/>
              <w:right w:val="single" w:sz="4" w:space="0" w:color="000000"/>
            </w:tcBorders>
          </w:tcPr>
          <w:p>
            <w:pPr>
              <w:pStyle w:val="TableParagraph"/>
              <w:spacing w:before="59"/>
              <w:ind w:left="197"/>
              <w:rPr>
                <w:sz w:val="18"/>
              </w:rPr>
            </w:pPr>
            <w:r>
              <w:rPr>
                <w:sz w:val="18"/>
              </w:rPr>
              <w:t xml:space="preserve">隔热层应无破损、脱落、潮湿、跑冷 </w:t>
            </w:r>
          </w:p>
        </w:tc>
        <w:tc>
          <w:tcPr>
            <w:tcW w:w="990" w:type="dxa"/>
            <w:tcBorders>
              <w:top w:val="single" w:sz="4" w:space="0" w:color="000000"/>
              <w:left w:val="single" w:sz="4" w:space="0" w:color="000000"/>
              <w:right w:val="single" w:sz="4" w:space="0" w:color="000000"/>
            </w:tcBorders>
          </w:tcPr>
          <w:p>
            <w:pPr>
              <w:pStyle w:val="TableParagraph"/>
              <w:spacing w:before="59"/>
              <w:ind w:left="334" w:right="234"/>
              <w:jc w:val="center"/>
              <w:rPr>
                <w:sz w:val="18"/>
              </w:rPr>
            </w:pPr>
            <w:r>
              <w:rPr>
                <w:sz w:val="18"/>
              </w:rPr>
              <w:t xml:space="preserve">2 </w:t>
            </w:r>
          </w:p>
        </w:tc>
        <w:tc>
          <w:tcPr>
            <w:tcW w:w="1276" w:type="dxa"/>
            <w:tcBorders>
              <w:top w:val="single" w:sz="4" w:space="0" w:color="000000"/>
              <w:left w:val="single" w:sz="4" w:space="0" w:color="000000"/>
              <w:right w:val="single" w:sz="4" w:space="0" w:color="000000"/>
            </w:tcBorders>
          </w:tcPr>
          <w:p>
            <w:pPr>
              <w:pStyle w:val="TableParagraph"/>
              <w:spacing w:before="52"/>
              <w:ind w:left="12"/>
              <w:rPr>
                <w:sz w:val="18"/>
              </w:rPr>
            </w:pPr>
            <w:r>
              <w:rPr>
                <w:sz w:val="18"/>
              </w:rPr>
              <w:t xml:space="preserve">不符合扣 2 分 </w:t>
            </w:r>
          </w:p>
        </w:tc>
        <w:tc>
          <w:tcPr>
            <w:tcW w:w="707" w:type="dxa"/>
            <w:tcBorders>
              <w:top w:val="single" w:sz="4" w:space="0" w:color="000000"/>
              <w:left w:val="single" w:sz="4" w:space="0" w:color="000000"/>
              <w:right w:val="single" w:sz="4" w:space="0" w:color="000000"/>
            </w:tcBorders>
          </w:tcPr>
          <w:p>
            <w:pPr>
              <w:pStyle w:val="TableParagraph"/>
              <w:spacing w:before="47"/>
              <w:ind w:left="112"/>
              <w:jc w:val="center"/>
              <w:rPr>
                <w:sz w:val="18"/>
              </w:rPr>
            </w:pPr>
            <w:r>
              <w:rPr>
                <w:sz w:val="18"/>
              </w:rPr>
              <w:t xml:space="preserve"> </w:t>
            </w:r>
          </w:p>
        </w:tc>
        <w:tc>
          <w:tcPr>
            <w:tcW w:w="978" w:type="dxa"/>
            <w:tcBorders>
              <w:top w:val="single" w:sz="4" w:space="0" w:color="000000"/>
              <w:left w:val="single" w:sz="4" w:space="0" w:color="000000"/>
            </w:tcBorders>
          </w:tcPr>
          <w:p>
            <w:pPr>
              <w:pStyle w:val="TableParagraph"/>
              <w:spacing w:before="47"/>
              <w:ind w:left="122"/>
              <w:jc w:val="center"/>
              <w:rPr>
                <w:sz w:val="18"/>
              </w:rPr>
            </w:pPr>
            <w:r>
              <w:rPr>
                <w:sz w:val="18"/>
              </w:rPr>
              <w:t xml:space="preserve"> </w:t>
            </w:r>
          </w:p>
        </w:tc>
      </w:tr>
    </w:tbl>
    <w:p>
      <w:pPr>
        <w:spacing w:after="0"/>
        <w:jc w:val="center"/>
        <w:rPr>
          <w:sz w:val="18"/>
        </w:rPr>
        <w:sectPr>
          <w:headerReference w:type="even" r:id="rId53"/>
          <w:headerReference w:type="default" r:id="rId54"/>
          <w:footerReference w:type="even" r:id="rId55"/>
          <w:footerReference w:type="default" r:id="rId56"/>
          <w:pgSz w:w="11910" w:h="16840"/>
          <w:pgMar w:top="1640" w:right="720" w:bottom="1340" w:left="1000" w:header="1448" w:footer="1141"/>
          <w:pgNumType w:start="11"/>
          <w:cols w:space="708"/>
        </w:sectPr>
      </w:pPr>
    </w:p>
    <w:p>
      <w:pPr>
        <w:pStyle w:val="BodyText"/>
        <w:spacing w:before="1"/>
        <w:rPr>
          <w:sz w:val="17"/>
        </w:rPr>
      </w:pPr>
    </w:p>
    <w:p>
      <w:pPr>
        <w:pStyle w:val="BodyText"/>
        <w:spacing w:before="72"/>
        <w:ind w:left="1448"/>
      </w:pPr>
      <w:r>
        <w:rPr>
          <w:rFonts w:ascii="黑体" w:eastAsia="黑体" w:hint="eastAsia"/>
        </w:rPr>
        <w:t>表B.2 特种设备使用安全管理分种类评价表（压力容器[含气瓶]）</w:t>
      </w:r>
      <w:r>
        <w:t>（续）</w:t>
      </w:r>
    </w:p>
    <w:p>
      <w:pPr>
        <w:pStyle w:val="BodyText"/>
        <w:spacing w:before="9" w:after="1"/>
        <w:rPr>
          <w:sz w:val="13"/>
        </w:rPr>
      </w:pPr>
    </w:p>
    <w:tbl>
      <w:tblPr>
        <w:tblStyle w:val="TableNormal7"/>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99"/>
        <w:gridCol w:w="1277"/>
        <w:gridCol w:w="3404"/>
        <w:gridCol w:w="991"/>
        <w:gridCol w:w="1277"/>
        <w:gridCol w:w="709"/>
        <w:gridCol w:w="980"/>
      </w:tblGrid>
      <w:tr>
        <w:tblPrEx>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699" w:type="dxa"/>
            <w:tcBorders>
              <w:right w:val="single" w:sz="4" w:space="0" w:color="000000"/>
            </w:tcBorders>
          </w:tcPr>
          <w:p>
            <w:pPr>
              <w:pStyle w:val="TableParagraph"/>
              <w:spacing w:before="40"/>
              <w:ind w:left="197" w:right="86"/>
              <w:jc w:val="center"/>
              <w:rPr>
                <w:sz w:val="18"/>
              </w:rPr>
            </w:pPr>
            <w:r>
              <w:rPr>
                <w:sz w:val="18"/>
              </w:rPr>
              <w:t xml:space="preserve">序号 </w:t>
            </w:r>
          </w:p>
        </w:tc>
        <w:tc>
          <w:tcPr>
            <w:tcW w:w="1277" w:type="dxa"/>
            <w:tcBorders>
              <w:left w:val="single" w:sz="4" w:space="0" w:color="000000"/>
              <w:right w:val="single" w:sz="4" w:space="0" w:color="000000"/>
            </w:tcBorders>
          </w:tcPr>
          <w:p>
            <w:pPr>
              <w:pStyle w:val="TableParagraph"/>
              <w:spacing w:before="40"/>
              <w:ind w:left="465"/>
              <w:rPr>
                <w:sz w:val="18"/>
              </w:rPr>
            </w:pPr>
            <w:r>
              <w:rPr>
                <w:sz w:val="18"/>
              </w:rPr>
              <w:t xml:space="preserve">项目 </w:t>
            </w:r>
          </w:p>
        </w:tc>
        <w:tc>
          <w:tcPr>
            <w:tcW w:w="3404" w:type="dxa"/>
            <w:tcBorders>
              <w:left w:val="single" w:sz="4" w:space="0" w:color="000000"/>
              <w:right w:val="single" w:sz="4" w:space="0" w:color="000000"/>
            </w:tcBorders>
          </w:tcPr>
          <w:p>
            <w:pPr>
              <w:pStyle w:val="TableParagraph"/>
              <w:spacing w:before="40"/>
              <w:ind w:left="1371" w:right="1263"/>
              <w:jc w:val="center"/>
              <w:rPr>
                <w:sz w:val="18"/>
              </w:rPr>
            </w:pPr>
            <w:r>
              <w:rPr>
                <w:sz w:val="18"/>
              </w:rPr>
              <w:t xml:space="preserve">评价内容 </w:t>
            </w:r>
          </w:p>
        </w:tc>
        <w:tc>
          <w:tcPr>
            <w:tcW w:w="991" w:type="dxa"/>
            <w:tcBorders>
              <w:left w:val="single" w:sz="4" w:space="0" w:color="000000"/>
              <w:right w:val="single" w:sz="4" w:space="0" w:color="000000"/>
            </w:tcBorders>
          </w:tcPr>
          <w:p>
            <w:pPr>
              <w:pStyle w:val="TableParagraph"/>
              <w:spacing w:before="40"/>
              <w:ind w:left="136" w:right="30"/>
              <w:jc w:val="center"/>
              <w:rPr>
                <w:sz w:val="18"/>
              </w:rPr>
            </w:pPr>
            <w:r>
              <w:rPr>
                <w:sz w:val="18"/>
              </w:rPr>
              <w:t xml:space="preserve">分值 </w:t>
            </w:r>
          </w:p>
        </w:tc>
        <w:tc>
          <w:tcPr>
            <w:tcW w:w="1277" w:type="dxa"/>
            <w:tcBorders>
              <w:left w:val="single" w:sz="4" w:space="0" w:color="000000"/>
              <w:right w:val="single" w:sz="4" w:space="0" w:color="000000"/>
            </w:tcBorders>
          </w:tcPr>
          <w:p>
            <w:pPr>
              <w:pStyle w:val="TableParagraph"/>
              <w:spacing w:before="40"/>
              <w:ind w:left="282"/>
              <w:rPr>
                <w:sz w:val="18"/>
              </w:rPr>
            </w:pPr>
            <w:r>
              <w:rPr>
                <w:sz w:val="18"/>
              </w:rPr>
              <w:t xml:space="preserve">评分细则 </w:t>
            </w:r>
          </w:p>
        </w:tc>
        <w:tc>
          <w:tcPr>
            <w:tcW w:w="709" w:type="dxa"/>
            <w:tcBorders>
              <w:left w:val="single" w:sz="4" w:space="0" w:color="000000"/>
              <w:right w:val="single" w:sz="4" w:space="0" w:color="000000"/>
            </w:tcBorders>
          </w:tcPr>
          <w:p>
            <w:pPr>
              <w:pStyle w:val="TableParagraph"/>
              <w:spacing w:before="40"/>
              <w:ind w:left="199" w:right="93"/>
              <w:jc w:val="center"/>
              <w:rPr>
                <w:sz w:val="18"/>
              </w:rPr>
            </w:pPr>
            <w:r>
              <w:rPr>
                <w:sz w:val="18"/>
              </w:rPr>
              <w:t xml:space="preserve">扣分 </w:t>
            </w:r>
          </w:p>
        </w:tc>
        <w:tc>
          <w:tcPr>
            <w:tcW w:w="980" w:type="dxa"/>
            <w:tcBorders>
              <w:left w:val="single" w:sz="4" w:space="0" w:color="000000"/>
            </w:tcBorders>
          </w:tcPr>
          <w:p>
            <w:pPr>
              <w:pStyle w:val="TableParagraph"/>
              <w:spacing w:before="40"/>
              <w:ind w:left="158" w:right="46"/>
              <w:jc w:val="center"/>
              <w:rPr>
                <w:sz w:val="18"/>
              </w:rPr>
            </w:pPr>
            <w:r>
              <w:rPr>
                <w:sz w:val="18"/>
              </w:rPr>
              <w:t xml:space="preserve">存在问题 </w:t>
            </w:r>
          </w:p>
        </w:tc>
      </w:tr>
      <w:tr>
        <w:tblPrEx>
          <w:tblW w:w="0" w:type="auto"/>
          <w:jc w:val="left"/>
          <w:tblInd w:w="152" w:type="dxa"/>
          <w:tblLayout w:type="fixed"/>
          <w:tblCellMar>
            <w:top w:w="0" w:type="dxa"/>
            <w:left w:w="0" w:type="dxa"/>
            <w:bottom w:w="0" w:type="dxa"/>
            <w:right w:w="0" w:type="dxa"/>
          </w:tblCellMar>
          <w:tblLook w:val="01E0"/>
        </w:tblPrEx>
        <w:trPr>
          <w:trHeight w:val="647"/>
          <w:jc w:val="left"/>
        </w:trPr>
        <w:tc>
          <w:tcPr>
            <w:tcW w:w="699" w:type="dxa"/>
            <w:tcBorders>
              <w:bottom w:val="single" w:sz="4" w:space="0" w:color="000000"/>
              <w:right w:val="single" w:sz="4" w:space="0" w:color="000000"/>
            </w:tcBorders>
          </w:tcPr>
          <w:p>
            <w:pPr>
              <w:pStyle w:val="TableParagraph"/>
              <w:spacing w:before="1"/>
              <w:rPr>
                <w:sz w:val="16"/>
              </w:rPr>
            </w:pPr>
          </w:p>
          <w:p>
            <w:pPr>
              <w:pStyle w:val="TableParagraph"/>
              <w:ind w:left="197" w:right="83"/>
              <w:jc w:val="center"/>
              <w:rPr>
                <w:sz w:val="18"/>
              </w:rPr>
            </w:pPr>
            <w:r>
              <w:rPr>
                <w:sz w:val="18"/>
              </w:rPr>
              <w:t xml:space="preserve">30 </w:t>
            </w:r>
          </w:p>
        </w:tc>
        <w:tc>
          <w:tcPr>
            <w:tcW w:w="1277" w:type="dxa"/>
            <w:vMerge w:val="restart"/>
            <w:tcBorders>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3"/>
              <w:ind w:left="285"/>
              <w:rPr>
                <w:sz w:val="18"/>
              </w:rPr>
            </w:pPr>
            <w:r>
              <w:rPr>
                <w:sz w:val="18"/>
              </w:rPr>
              <w:t xml:space="preserve">现场管理 </w:t>
            </w:r>
          </w:p>
        </w:tc>
        <w:tc>
          <w:tcPr>
            <w:tcW w:w="3404" w:type="dxa"/>
            <w:tcBorders>
              <w:left w:val="single" w:sz="4" w:space="0" w:color="000000"/>
              <w:bottom w:val="single" w:sz="4" w:space="0" w:color="000000"/>
              <w:right w:val="single" w:sz="4" w:space="0" w:color="000000"/>
            </w:tcBorders>
          </w:tcPr>
          <w:p>
            <w:pPr>
              <w:pStyle w:val="TableParagraph"/>
              <w:spacing w:before="64"/>
              <w:ind w:left="198"/>
              <w:rPr>
                <w:sz w:val="18"/>
              </w:rPr>
            </w:pPr>
            <w:r>
              <w:rPr>
                <w:spacing w:val="-7"/>
                <w:sz w:val="18"/>
              </w:rPr>
              <w:t>检漏孔、信号孔应无漏液、漏气，检漏孔</w:t>
            </w:r>
          </w:p>
          <w:p>
            <w:pPr>
              <w:pStyle w:val="TableParagraph"/>
              <w:spacing w:before="79"/>
              <w:ind w:left="21"/>
              <w:rPr>
                <w:sz w:val="18"/>
              </w:rPr>
            </w:pPr>
            <w:r>
              <w:rPr>
                <w:sz w:val="18"/>
              </w:rPr>
              <w:t xml:space="preserve">应通畅 </w:t>
            </w:r>
          </w:p>
        </w:tc>
        <w:tc>
          <w:tcPr>
            <w:tcW w:w="991" w:type="dxa"/>
            <w:tcBorders>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1 </w:t>
            </w:r>
          </w:p>
        </w:tc>
        <w:tc>
          <w:tcPr>
            <w:tcW w:w="1277" w:type="dxa"/>
            <w:tcBorders>
              <w:left w:val="single" w:sz="4" w:space="0" w:color="000000"/>
              <w:bottom w:val="single" w:sz="4" w:space="0" w:color="000000"/>
              <w:right w:val="single" w:sz="4" w:space="0" w:color="000000"/>
            </w:tcBorders>
          </w:tcPr>
          <w:p>
            <w:pPr>
              <w:pStyle w:val="TableParagraph"/>
              <w:spacing w:before="8"/>
              <w:rPr>
                <w:sz w:val="16"/>
              </w:rPr>
            </w:pPr>
          </w:p>
          <w:p>
            <w:pPr>
              <w:pStyle w:val="TableParagraph"/>
              <w:ind w:left="9"/>
              <w:rPr>
                <w:sz w:val="18"/>
              </w:rPr>
            </w:pPr>
            <w:r>
              <w:rPr>
                <w:sz w:val="18"/>
              </w:rPr>
              <w:t xml:space="preserve">不符合扣 1 分 </w:t>
            </w:r>
          </w:p>
        </w:tc>
        <w:tc>
          <w:tcPr>
            <w:tcW w:w="709" w:type="dxa"/>
            <w:tcBorders>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980" w:type="dxa"/>
            <w:tcBorders>
              <w:left w:val="single" w:sz="4" w:space="0" w:color="000000"/>
              <w:bottom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50"/>
          <w:jc w:val="left"/>
        </w:trPr>
        <w:tc>
          <w:tcPr>
            <w:tcW w:w="699"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197" w:right="83"/>
              <w:jc w:val="center"/>
              <w:rPr>
                <w:sz w:val="18"/>
              </w:rPr>
            </w:pPr>
            <w:r>
              <w:rPr>
                <w:sz w:val="18"/>
              </w:rPr>
              <w:t xml:space="preserve">31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7"/>
              <w:ind w:left="198"/>
              <w:rPr>
                <w:sz w:val="18"/>
              </w:rPr>
            </w:pPr>
            <w:r>
              <w:rPr>
                <w:sz w:val="18"/>
              </w:rPr>
              <w:t>压力容器与相邻管道或者构件应无异常</w:t>
            </w:r>
          </w:p>
          <w:p>
            <w:pPr>
              <w:pStyle w:val="TableParagraph"/>
              <w:spacing w:before="79"/>
              <w:ind w:left="21"/>
              <w:rPr>
                <w:sz w:val="18"/>
              </w:rPr>
            </w:pPr>
            <w:r>
              <w:rPr>
                <w:sz w:val="18"/>
              </w:rPr>
              <w:t xml:space="preserve">振动、响声或者相互摩擦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5"/>
              <w:rPr>
                <w:sz w:val="17"/>
              </w:rPr>
            </w:pPr>
          </w:p>
          <w:p>
            <w:pPr>
              <w:pStyle w:val="TableParagraph"/>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50"/>
          <w:jc w:val="left"/>
        </w:trPr>
        <w:tc>
          <w:tcPr>
            <w:tcW w:w="699"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7" w:right="83"/>
              <w:jc w:val="center"/>
              <w:rPr>
                <w:sz w:val="18"/>
              </w:rPr>
            </w:pPr>
            <w:r>
              <w:rPr>
                <w:sz w:val="18"/>
              </w:rPr>
              <w:t xml:space="preserve">32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ight="-15"/>
              <w:rPr>
                <w:sz w:val="18"/>
              </w:rPr>
            </w:pPr>
            <w:r>
              <w:rPr>
                <w:spacing w:val="-3"/>
                <w:sz w:val="18"/>
              </w:rPr>
              <w:t>支承或者支座应无损坏、基础应无下沉、</w:t>
            </w:r>
          </w:p>
          <w:p>
            <w:pPr>
              <w:pStyle w:val="TableParagraph"/>
              <w:spacing w:before="82"/>
              <w:ind w:left="21"/>
              <w:rPr>
                <w:sz w:val="18"/>
              </w:rPr>
            </w:pPr>
            <w:r>
              <w:rPr>
                <w:sz w:val="18"/>
              </w:rPr>
              <w:t xml:space="preserve">倾斜、开裂，紧固螺栓应齐全、完好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35"/>
          <w:jc w:val="left"/>
        </w:trPr>
        <w:tc>
          <w:tcPr>
            <w:tcW w:w="699" w:type="dxa"/>
            <w:tcBorders>
              <w:top w:val="single" w:sz="4" w:space="0" w:color="000000"/>
              <w:bottom w:val="single" w:sz="4" w:space="0" w:color="000000"/>
              <w:right w:val="single" w:sz="4" w:space="0" w:color="000000"/>
            </w:tcBorders>
          </w:tcPr>
          <w:p>
            <w:pPr>
              <w:pStyle w:val="TableParagraph"/>
              <w:spacing w:before="50"/>
              <w:ind w:left="197" w:right="83"/>
              <w:jc w:val="center"/>
              <w:rPr>
                <w:sz w:val="18"/>
              </w:rPr>
            </w:pPr>
            <w:r>
              <w:rPr>
                <w:sz w:val="18"/>
              </w:rPr>
              <w:t xml:space="preserve">33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Pr>
                <w:sz w:val="18"/>
              </w:rPr>
            </w:pPr>
            <w:r>
              <w:rPr>
                <w:sz w:val="18"/>
              </w:rPr>
              <w:t xml:space="preserve">排放（疏水、排污）装置应完好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64"/>
              <w:ind w:left="124" w:right="30"/>
              <w:jc w:val="center"/>
              <w:rPr>
                <w:sz w:val="18"/>
              </w:rPr>
            </w:pPr>
            <w:r>
              <w:rPr>
                <w:sz w:val="18"/>
              </w:rPr>
              <w:t xml:space="preserve">1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55"/>
              <w:ind w:left="9"/>
              <w:rPr>
                <w:sz w:val="18"/>
              </w:rPr>
            </w:pPr>
            <w:r>
              <w:rPr>
                <w:sz w:val="18"/>
              </w:rPr>
              <w:t xml:space="preserve">不符合扣 1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50"/>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50"/>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38"/>
          <w:jc w:val="left"/>
        </w:trPr>
        <w:tc>
          <w:tcPr>
            <w:tcW w:w="699" w:type="dxa"/>
            <w:tcBorders>
              <w:top w:val="single" w:sz="4" w:space="0" w:color="000000"/>
              <w:bottom w:val="single" w:sz="4" w:space="0" w:color="000000"/>
              <w:right w:val="single" w:sz="4" w:space="0" w:color="000000"/>
            </w:tcBorders>
          </w:tcPr>
          <w:p>
            <w:pPr>
              <w:pStyle w:val="TableParagraph"/>
              <w:spacing w:before="52"/>
              <w:ind w:left="197" w:right="83"/>
              <w:jc w:val="center"/>
              <w:rPr>
                <w:sz w:val="18"/>
              </w:rPr>
            </w:pPr>
            <w:r>
              <w:rPr>
                <w:sz w:val="18"/>
              </w:rPr>
              <w:t xml:space="preserve">34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Pr>
                <w:sz w:val="18"/>
              </w:rPr>
            </w:pPr>
            <w:r>
              <w:rPr>
                <w:sz w:val="18"/>
              </w:rPr>
              <w:t xml:space="preserve">运行期间应无超压、超温、超量等现象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64"/>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57"/>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52"/>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52"/>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35"/>
          <w:jc w:val="left"/>
        </w:trPr>
        <w:tc>
          <w:tcPr>
            <w:tcW w:w="699" w:type="dxa"/>
            <w:tcBorders>
              <w:top w:val="single" w:sz="4" w:space="0" w:color="000000"/>
              <w:bottom w:val="single" w:sz="4" w:space="0" w:color="000000"/>
              <w:right w:val="single" w:sz="4" w:space="0" w:color="000000"/>
            </w:tcBorders>
          </w:tcPr>
          <w:p>
            <w:pPr>
              <w:pStyle w:val="TableParagraph"/>
              <w:spacing w:before="50"/>
              <w:ind w:left="197" w:right="83"/>
              <w:jc w:val="center"/>
              <w:rPr>
                <w:sz w:val="18"/>
              </w:rPr>
            </w:pPr>
            <w:r>
              <w:rPr>
                <w:sz w:val="18"/>
              </w:rPr>
              <w:t xml:space="preserve">35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Pr>
                <w:sz w:val="18"/>
              </w:rPr>
            </w:pPr>
            <w:r>
              <w:rPr>
                <w:spacing w:val="-5"/>
                <w:sz w:val="18"/>
              </w:rPr>
              <w:t>罐体有接地装置的，接地装置应符合要求</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64"/>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55"/>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50"/>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50"/>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50"/>
          <w:jc w:val="left"/>
        </w:trPr>
        <w:tc>
          <w:tcPr>
            <w:tcW w:w="699" w:type="dxa"/>
            <w:tcBorders>
              <w:top w:val="single" w:sz="4" w:space="0" w:color="000000"/>
              <w:bottom w:val="single" w:sz="4" w:space="0" w:color="000000"/>
              <w:right w:val="single" w:sz="4" w:space="0" w:color="000000"/>
            </w:tcBorders>
          </w:tcPr>
          <w:p>
            <w:pPr>
              <w:pStyle w:val="TableParagraph"/>
              <w:spacing w:before="3"/>
              <w:rPr>
                <w:sz w:val="16"/>
              </w:rPr>
            </w:pPr>
          </w:p>
          <w:p>
            <w:pPr>
              <w:pStyle w:val="TableParagraph"/>
              <w:ind w:left="197" w:right="83"/>
              <w:jc w:val="center"/>
              <w:rPr>
                <w:sz w:val="18"/>
              </w:rPr>
            </w:pPr>
            <w:r>
              <w:rPr>
                <w:sz w:val="18"/>
              </w:rPr>
              <w:t xml:space="preserve">36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Pr>
                <w:sz w:val="18"/>
              </w:rPr>
            </w:pPr>
            <w:r>
              <w:rPr>
                <w:spacing w:val="-5"/>
                <w:sz w:val="18"/>
              </w:rPr>
              <w:t>监控使用的压力容器，监控措施应有效实</w:t>
            </w:r>
          </w:p>
          <w:p>
            <w:pPr>
              <w:pStyle w:val="TableParagraph"/>
              <w:spacing w:before="82"/>
              <w:ind w:left="21"/>
              <w:rPr>
                <w:sz w:val="18"/>
              </w:rPr>
            </w:pPr>
            <w:r>
              <w:rPr>
                <w:sz w:val="18"/>
              </w:rPr>
              <w:t xml:space="preserve">施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3"/>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3"/>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647"/>
          <w:jc w:val="left"/>
        </w:trPr>
        <w:tc>
          <w:tcPr>
            <w:tcW w:w="699" w:type="dxa"/>
            <w:tcBorders>
              <w:top w:val="single" w:sz="4" w:space="0" w:color="000000"/>
              <w:bottom w:val="single" w:sz="4" w:space="0" w:color="000000"/>
              <w:right w:val="single" w:sz="4" w:space="0" w:color="000000"/>
            </w:tcBorders>
          </w:tcPr>
          <w:p>
            <w:pPr>
              <w:pStyle w:val="TableParagraph"/>
              <w:spacing w:before="1"/>
              <w:rPr>
                <w:sz w:val="16"/>
              </w:rPr>
            </w:pPr>
          </w:p>
          <w:p>
            <w:pPr>
              <w:pStyle w:val="TableParagraph"/>
              <w:ind w:left="197" w:right="83"/>
              <w:jc w:val="center"/>
              <w:rPr>
                <w:sz w:val="18"/>
              </w:rPr>
            </w:pPr>
            <w:r>
              <w:rPr>
                <w:sz w:val="18"/>
              </w:rPr>
              <w:t xml:space="preserve">37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ind w:left="198"/>
              <w:rPr>
                <w:sz w:val="18"/>
              </w:rPr>
            </w:pPr>
            <w:r>
              <w:rPr>
                <w:sz w:val="18"/>
              </w:rPr>
              <w:t>搪玻璃压力容器及其他有衬里层的压力</w:t>
            </w:r>
          </w:p>
          <w:p>
            <w:pPr>
              <w:pStyle w:val="TableParagraph"/>
              <w:spacing w:before="79"/>
              <w:ind w:left="21"/>
              <w:rPr>
                <w:sz w:val="18"/>
              </w:rPr>
            </w:pPr>
            <w:r>
              <w:rPr>
                <w:sz w:val="18"/>
              </w:rPr>
              <w:t xml:space="preserve">容器衬里层应完好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2"/>
              <w:rPr>
                <w:sz w:val="17"/>
              </w:rPr>
            </w:pPr>
          </w:p>
          <w:p>
            <w:pPr>
              <w:pStyle w:val="TableParagraph"/>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8"/>
              <w:rPr>
                <w:sz w:val="16"/>
              </w:rPr>
            </w:pPr>
          </w:p>
          <w:p>
            <w:pPr>
              <w:pStyle w:val="TableParagraph"/>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1"/>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1"/>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1586"/>
          <w:jc w:val="left"/>
        </w:trPr>
        <w:tc>
          <w:tcPr>
            <w:tcW w:w="699" w:type="dxa"/>
            <w:tcBorders>
              <w:top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spacing w:before="10"/>
              <w:rPr>
                <w:sz w:val="16"/>
              </w:rPr>
            </w:pPr>
          </w:p>
          <w:p>
            <w:pPr>
              <w:pStyle w:val="TableParagraph"/>
              <w:ind w:left="197" w:right="83"/>
              <w:jc w:val="center"/>
              <w:rPr>
                <w:sz w:val="18"/>
              </w:rPr>
            </w:pPr>
            <w:r>
              <w:rPr>
                <w:sz w:val="18"/>
              </w:rPr>
              <w:t xml:space="preserve">38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7" w:line="324" w:lineRule="auto"/>
              <w:ind w:left="21" w:right="-15" w:firstLine="177"/>
              <w:rPr>
                <w:sz w:val="18"/>
              </w:rPr>
            </w:pPr>
            <w:r>
              <w:rPr>
                <w:spacing w:val="-3"/>
                <w:sz w:val="18"/>
              </w:rPr>
              <w:t xml:space="preserve">气瓶充装单位应建立和使用气瓶充装质 </w:t>
            </w:r>
            <w:r>
              <w:rPr>
                <w:spacing w:val="-5"/>
                <w:sz w:val="18"/>
              </w:rPr>
              <w:t>量追溯信息系统，具有自动采集、保存充装</w:t>
            </w:r>
            <w:r>
              <w:rPr>
                <w:spacing w:val="-3"/>
                <w:sz w:val="18"/>
              </w:rPr>
              <w:t>记录的信息化平台（仅限易燃有毒气体充 装</w:t>
            </w:r>
            <w:r>
              <w:rPr>
                <w:spacing w:val="-8"/>
                <w:sz w:val="18"/>
              </w:rPr>
              <w:t>），</w:t>
            </w:r>
            <w:r>
              <w:rPr>
                <w:spacing w:val="-3"/>
                <w:sz w:val="18"/>
              </w:rPr>
              <w:t>采用信息化技术对气瓶充装过程进行</w:t>
            </w:r>
          </w:p>
          <w:p>
            <w:pPr>
              <w:pStyle w:val="TableParagraph"/>
              <w:ind w:left="21"/>
              <w:rPr>
                <w:sz w:val="18"/>
              </w:rPr>
            </w:pPr>
            <w:r>
              <w:rPr>
                <w:sz w:val="18"/>
              </w:rPr>
              <w:t xml:space="preserve">管理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spacing w:before="11"/>
              <w:rPr>
                <w:sz w:val="17"/>
              </w:rPr>
            </w:pPr>
          </w:p>
          <w:p>
            <w:pPr>
              <w:pStyle w:val="TableParagraph"/>
              <w:spacing w:before="1"/>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spacing w:before="2"/>
              <w:rPr>
                <w:sz w:val="17"/>
              </w:rPr>
            </w:pPr>
          </w:p>
          <w:p>
            <w:pPr>
              <w:pStyle w:val="TableParagraph"/>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rPr>
                <w:sz w:val="18"/>
              </w:rPr>
            </w:pPr>
          </w:p>
          <w:p>
            <w:pPr>
              <w:pStyle w:val="TableParagraph"/>
              <w:spacing w:before="10"/>
              <w:rPr>
                <w:sz w:val="16"/>
              </w:rPr>
            </w:pPr>
          </w:p>
          <w:p>
            <w:pPr>
              <w:pStyle w:val="TableParagraph"/>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rPr>
                <w:sz w:val="18"/>
              </w:rPr>
            </w:pPr>
          </w:p>
          <w:p>
            <w:pPr>
              <w:pStyle w:val="TableParagraph"/>
              <w:rPr>
                <w:sz w:val="18"/>
              </w:rPr>
            </w:pPr>
          </w:p>
          <w:p>
            <w:pPr>
              <w:pStyle w:val="TableParagraph"/>
              <w:spacing w:before="10"/>
              <w:rPr>
                <w:sz w:val="16"/>
              </w:rPr>
            </w:pPr>
          </w:p>
          <w:p>
            <w:pPr>
              <w:pStyle w:val="TableParagraph"/>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62"/>
          <w:jc w:val="left"/>
        </w:trPr>
        <w:tc>
          <w:tcPr>
            <w:tcW w:w="699"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32"/>
              <w:ind w:left="197" w:right="83"/>
              <w:jc w:val="center"/>
              <w:rPr>
                <w:sz w:val="18"/>
              </w:rPr>
            </w:pPr>
            <w:r>
              <w:rPr>
                <w:sz w:val="18"/>
              </w:rPr>
              <w:t xml:space="preserve">39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5" w:line="324" w:lineRule="auto"/>
              <w:ind w:left="21" w:right="-15" w:firstLine="177"/>
              <w:rPr>
                <w:sz w:val="18"/>
              </w:rPr>
            </w:pPr>
            <w:r>
              <w:rPr>
                <w:spacing w:val="-3"/>
                <w:sz w:val="18"/>
              </w:rPr>
              <w:t xml:space="preserve">移动式压力容器应有充装检查或装卸记 </w:t>
            </w:r>
            <w:r>
              <w:rPr>
                <w:spacing w:val="-5"/>
                <w:sz w:val="18"/>
              </w:rPr>
              <w:t>录；气瓶应有充装前、后检查记录</w:t>
            </w:r>
            <w:r>
              <w:rPr>
                <w:spacing w:val="-3"/>
                <w:sz w:val="18"/>
              </w:rPr>
              <w:t>（</w:t>
            </w:r>
            <w:r>
              <w:rPr>
                <w:spacing w:val="-2"/>
                <w:sz w:val="18"/>
              </w:rPr>
              <w:t>可以采</w:t>
            </w:r>
          </w:p>
          <w:p>
            <w:pPr>
              <w:pStyle w:val="TableParagraph"/>
              <w:spacing w:before="1"/>
              <w:ind w:left="21"/>
              <w:rPr>
                <w:sz w:val="18"/>
              </w:rPr>
            </w:pPr>
            <w:r>
              <w:rPr>
                <w:sz w:val="18"/>
              </w:rPr>
              <w:t xml:space="preserve">用电子记录方式）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6"/>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9"/>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2"/>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32"/>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959"/>
          <w:jc w:val="left"/>
        </w:trPr>
        <w:tc>
          <w:tcPr>
            <w:tcW w:w="699"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31"/>
              <w:ind w:left="197" w:right="83"/>
              <w:jc w:val="center"/>
              <w:rPr>
                <w:sz w:val="18"/>
              </w:rPr>
            </w:pPr>
            <w:r>
              <w:rPr>
                <w:sz w:val="18"/>
              </w:rPr>
              <w:t xml:space="preserve">40 </w:t>
            </w:r>
          </w:p>
        </w:tc>
        <w:tc>
          <w:tcPr>
            <w:tcW w:w="1277" w:type="dxa"/>
            <w:vMerge/>
            <w:tcBorders>
              <w:top w:val="nil"/>
              <w:left w:val="single" w:sz="4" w:space="0" w:color="000000"/>
              <w:bottom w:val="single" w:sz="4" w:space="0" w:color="000000"/>
              <w:right w:val="single" w:sz="4" w:space="0" w:color="000000"/>
            </w:tcBorders>
          </w:tcPr>
          <w:p>
            <w:pPr>
              <w:rPr>
                <w:sz w:val="2"/>
                <w:szCs w:val="2"/>
              </w:rPr>
            </w:pPr>
          </w:p>
        </w:tc>
        <w:tc>
          <w:tcPr>
            <w:tcW w:w="3404" w:type="dxa"/>
            <w:tcBorders>
              <w:top w:val="single" w:sz="4" w:space="0" w:color="000000"/>
              <w:left w:val="single" w:sz="4" w:space="0" w:color="000000"/>
              <w:bottom w:val="single" w:sz="4" w:space="0" w:color="000000"/>
              <w:right w:val="single" w:sz="4" w:space="0" w:color="000000"/>
            </w:tcBorders>
          </w:tcPr>
          <w:p>
            <w:pPr>
              <w:pStyle w:val="TableParagraph"/>
              <w:spacing w:before="64" w:line="321" w:lineRule="auto"/>
              <w:ind w:left="21" w:firstLine="177"/>
              <w:rPr>
                <w:sz w:val="18"/>
              </w:rPr>
            </w:pPr>
            <w:r>
              <w:rPr>
                <w:spacing w:val="-3"/>
                <w:sz w:val="18"/>
              </w:rPr>
              <w:t>气瓶充装单位应在充装合格的气瓶上粘</w:t>
            </w:r>
            <w:r>
              <w:rPr>
                <w:spacing w:val="-4"/>
                <w:sz w:val="18"/>
              </w:rPr>
              <w:t>贴充装产品合格标签和气瓶警示标签，且标</w:t>
            </w:r>
          </w:p>
          <w:p>
            <w:pPr>
              <w:pStyle w:val="TableParagraph"/>
              <w:spacing w:before="4"/>
              <w:ind w:left="21"/>
              <w:rPr>
                <w:sz w:val="18"/>
              </w:rPr>
            </w:pPr>
            <w:r>
              <w:rPr>
                <w:sz w:val="18"/>
              </w:rPr>
              <w:t xml:space="preserve">签内容应符合安全技术规范要求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46"/>
              <w:ind w:left="124" w:right="30"/>
              <w:jc w:val="center"/>
              <w:rPr>
                <w:sz w:val="18"/>
              </w:rPr>
            </w:pPr>
            <w:r>
              <w:rPr>
                <w:sz w:val="18"/>
              </w:rPr>
              <w:t xml:space="preserve">2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6"/>
              <w:ind w:left="9"/>
              <w:rPr>
                <w:sz w:val="18"/>
              </w:rPr>
            </w:pPr>
            <w:r>
              <w:rPr>
                <w:sz w:val="18"/>
              </w:rPr>
              <w:t xml:space="preserve">不符合扣 2 分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rPr>
                <w:sz w:val="18"/>
              </w:rPr>
            </w:pPr>
          </w:p>
          <w:p>
            <w:pPr>
              <w:pStyle w:val="TableParagraph"/>
              <w:spacing w:before="131"/>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rPr>
                <w:sz w:val="18"/>
              </w:rPr>
            </w:pPr>
          </w:p>
          <w:p>
            <w:pPr>
              <w:pStyle w:val="TableParagraph"/>
              <w:spacing w:before="131"/>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11"/>
          <w:jc w:val="left"/>
        </w:trPr>
        <w:tc>
          <w:tcPr>
            <w:tcW w:w="5380" w:type="dxa"/>
            <w:gridSpan w:val="3"/>
            <w:tcBorders>
              <w:top w:val="single" w:sz="4" w:space="0" w:color="000000"/>
              <w:bottom w:val="single" w:sz="4" w:space="0" w:color="000000"/>
              <w:right w:val="single" w:sz="4" w:space="0" w:color="000000"/>
            </w:tcBorders>
          </w:tcPr>
          <w:p>
            <w:pPr>
              <w:pStyle w:val="TableParagraph"/>
              <w:spacing w:before="38"/>
              <w:ind w:left="2538" w:right="2427"/>
              <w:jc w:val="center"/>
              <w:rPr>
                <w:sz w:val="18"/>
              </w:rPr>
            </w:pPr>
            <w:r>
              <w:rPr>
                <w:sz w:val="18"/>
              </w:rPr>
              <w:t xml:space="preserve">合计 </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38"/>
              <w:ind w:left="139" w:right="30"/>
              <w:jc w:val="center"/>
              <w:rPr>
                <w:sz w:val="18"/>
              </w:rPr>
            </w:pPr>
            <w:r>
              <w:rPr>
                <w:sz w:val="18"/>
              </w:rPr>
              <w:t xml:space="preserve">100 </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38"/>
              <w:ind w:left="109"/>
              <w:jc w:val="center"/>
              <w:rPr>
                <w:sz w:val="18"/>
              </w:rPr>
            </w:pPr>
            <w:r>
              <w:rPr>
                <w:sz w:val="18"/>
              </w:rPr>
              <w:t xml:space="preserve"> </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38"/>
              <w:ind w:left="106"/>
              <w:jc w:val="center"/>
              <w:rPr>
                <w:sz w:val="18"/>
              </w:rPr>
            </w:pPr>
            <w:r>
              <w:rPr>
                <w:sz w:val="18"/>
              </w:rPr>
              <w:t xml:space="preserve"> </w:t>
            </w:r>
          </w:p>
        </w:tc>
        <w:tc>
          <w:tcPr>
            <w:tcW w:w="980" w:type="dxa"/>
            <w:tcBorders>
              <w:top w:val="single" w:sz="4" w:space="0" w:color="000000"/>
              <w:left w:val="single" w:sz="4" w:space="0" w:color="000000"/>
              <w:bottom w:val="single" w:sz="4" w:space="0" w:color="000000"/>
            </w:tcBorders>
          </w:tcPr>
          <w:p>
            <w:pPr>
              <w:pStyle w:val="TableParagraph"/>
              <w:spacing w:before="38"/>
              <w:ind w:left="112"/>
              <w:jc w:val="center"/>
              <w:rPr>
                <w:sz w:val="18"/>
              </w:rPr>
            </w:pPr>
            <w:r>
              <w:rPr>
                <w:sz w:val="18"/>
              </w:rPr>
              <w:t xml:space="preserve"> </w:t>
            </w:r>
          </w:p>
        </w:tc>
      </w:tr>
      <w:tr>
        <w:tblPrEx>
          <w:tblW w:w="0" w:type="auto"/>
          <w:jc w:val="left"/>
          <w:tblInd w:w="152" w:type="dxa"/>
          <w:tblLayout w:type="fixed"/>
          <w:tblCellMar>
            <w:top w:w="0" w:type="dxa"/>
            <w:left w:w="0" w:type="dxa"/>
            <w:bottom w:w="0" w:type="dxa"/>
            <w:right w:w="0" w:type="dxa"/>
          </w:tblCellMar>
          <w:tblLook w:val="01E0"/>
        </w:tblPrEx>
        <w:trPr>
          <w:trHeight w:val="313"/>
          <w:jc w:val="left"/>
        </w:trPr>
        <w:tc>
          <w:tcPr>
            <w:tcW w:w="5380" w:type="dxa"/>
            <w:gridSpan w:val="3"/>
            <w:tcBorders>
              <w:top w:val="single" w:sz="4" w:space="0" w:color="000000"/>
              <w:right w:val="single" w:sz="4" w:space="0" w:color="000000"/>
            </w:tcBorders>
          </w:tcPr>
          <w:p>
            <w:pPr>
              <w:pStyle w:val="TableParagraph"/>
              <w:spacing w:before="40"/>
              <w:ind w:left="1476"/>
              <w:rPr>
                <w:sz w:val="18"/>
              </w:rPr>
            </w:pPr>
            <w:r>
              <w:rPr>
                <w:sz w:val="18"/>
              </w:rPr>
              <w:t xml:space="preserve">得 分（得分＝100－总扣分） </w:t>
            </w:r>
          </w:p>
        </w:tc>
        <w:tc>
          <w:tcPr>
            <w:tcW w:w="3957" w:type="dxa"/>
            <w:gridSpan w:val="4"/>
            <w:tcBorders>
              <w:top w:val="single" w:sz="4" w:space="0" w:color="000000"/>
              <w:left w:val="single" w:sz="4" w:space="0" w:color="000000"/>
            </w:tcBorders>
          </w:tcPr>
          <w:p>
            <w:pPr>
              <w:pStyle w:val="TableParagraph"/>
              <w:spacing w:before="40"/>
              <w:ind w:left="107"/>
              <w:jc w:val="center"/>
              <w:rPr>
                <w:sz w:val="18"/>
              </w:rPr>
            </w:pPr>
            <w:r>
              <w:rPr>
                <w:sz w:val="18"/>
              </w:rPr>
              <w:t xml:space="preserve"> </w:t>
            </w:r>
          </w:p>
        </w:tc>
      </w:tr>
    </w:tbl>
    <w:p>
      <w:pPr>
        <w:pStyle w:val="BodyText"/>
        <w:spacing w:before="22"/>
        <w:ind w:left="132"/>
      </w:pPr>
      <w:r>
        <w:rPr>
          <w:w w:val="100"/>
        </w:rPr>
        <w:t xml:space="preserve"> </w:t>
      </w:r>
    </w:p>
    <w:p>
      <w:pPr>
        <w:pStyle w:val="BodyText"/>
        <w:ind w:left="132"/>
      </w:pPr>
      <w:r>
        <w:rPr>
          <w:w w:val="100"/>
        </w:rPr>
        <w:t xml:space="preserve"> </w:t>
      </w:r>
    </w:p>
    <w:p>
      <w:pPr>
        <w:pStyle w:val="BodyText"/>
        <w:ind w:left="132"/>
      </w:pPr>
      <w:r>
        <w:rPr>
          <w:w w:val="100"/>
        </w:rPr>
        <w:t xml:space="preserve"> </w:t>
      </w:r>
    </w:p>
    <w:p>
      <w:pPr>
        <w:pStyle w:val="BodyText"/>
        <w:ind w:left="132"/>
      </w:pPr>
      <w:r>
        <w:rPr>
          <w:w w:val="100"/>
        </w:rPr>
        <w:t xml:space="preserve"> </w:t>
      </w:r>
    </w:p>
    <w:p>
      <w:pPr>
        <w:pStyle w:val="BodyText"/>
        <w:spacing w:before="44"/>
        <w:ind w:left="132"/>
      </w:pPr>
      <w:r>
        <w:rPr>
          <w:w w:val="100"/>
        </w:rPr>
        <w:t xml:space="preserve"> </w:t>
      </w:r>
    </w:p>
    <w:p>
      <w:pPr>
        <w:pStyle w:val="BodyText"/>
        <w:ind w:left="132"/>
      </w:pPr>
      <w:r>
        <w:rPr>
          <w:w w:val="100"/>
        </w:rPr>
        <w:t xml:space="preserve"> </w:t>
      </w:r>
    </w:p>
    <w:p>
      <w:pPr>
        <w:pStyle w:val="BodyText"/>
        <w:ind w:left="132"/>
      </w:pPr>
      <w:r>
        <w:rPr>
          <w:w w:val="100"/>
        </w:rPr>
        <w:t xml:space="preserve"> </w:t>
      </w:r>
    </w:p>
    <w:p>
      <w:pPr>
        <w:pStyle w:val="BodyText"/>
        <w:ind w:left="132"/>
      </w:pPr>
      <w:r>
        <w:rPr>
          <w:w w:val="100"/>
        </w:rPr>
        <w:t xml:space="preserve"> </w:t>
      </w:r>
    </w:p>
    <w:p>
      <w:pPr>
        <w:pStyle w:val="BodyText"/>
        <w:ind w:left="132"/>
      </w:pPr>
      <w:r>
        <w:rPr>
          <w:w w:val="100"/>
        </w:rPr>
        <w:t xml:space="preserve"> </w:t>
      </w:r>
    </w:p>
    <w:p>
      <w:pPr>
        <w:pStyle w:val="BodyText"/>
        <w:ind w:left="132"/>
      </w:pPr>
      <w:r>
        <w:rPr>
          <w:w w:val="100"/>
        </w:rPr>
        <w:t xml:space="preserve"> </w:t>
      </w:r>
    </w:p>
    <w:p>
      <w:pPr>
        <w:pStyle w:val="BodyText"/>
        <w:spacing w:before="42"/>
        <w:ind w:left="132"/>
      </w:pPr>
      <w:r>
        <w:rPr>
          <w:w w:val="100"/>
        </w:rPr>
        <w:t xml:space="preserve"> </w:t>
      </w:r>
    </w:p>
    <w:p>
      <w:pPr>
        <w:pStyle w:val="BodyText"/>
        <w:ind w:left="132"/>
      </w:pPr>
      <w:r>
        <w:rPr>
          <w:w w:val="100"/>
        </w:rPr>
        <w:t xml:space="preserve"> </w:t>
      </w:r>
    </w:p>
    <w:p>
      <w:pPr>
        <w:pStyle w:val="BodyText"/>
        <w:ind w:left="132"/>
      </w:pPr>
      <w:r>
        <w:rPr>
          <w:w w:val="100"/>
        </w:rPr>
        <w:t xml:space="preserve"> </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7" w:history="1">
        <w:r>
          <w:rPr>
            <w:rFonts w:ascii="SimSun" w:eastAsia="SimSun" w:hAnsi="SimSun" w:cs="SimSun"/>
            <w:b/>
            <w:bCs/>
            <w:color w:val="0000EE"/>
            <w:sz w:val="30"/>
            <w:szCs w:val="30"/>
            <w:u w:val="single" w:color="0000EE"/>
          </w:rPr>
          <w:t>https://d.book118.com/686211043000010104</w:t>
        </w:r>
      </w:hyperlink>
    </w:p>
    <w:p>
      <w:pPr>
        <w:spacing w:after="0"/>
      </w:pPr>
    </w:p>
    <w:sectPr>
      <w:headerReference w:type="even" r:id="rId58"/>
      <w:headerReference w:type="default" r:id="rId59"/>
      <w:footerReference w:type="even" r:id="rId60"/>
      <w:footerReference w:type="default" r:id="rId61"/>
      <w:pgSz w:w="11910" w:h="16840"/>
      <w:pgMar w:top="1640" w:right="720" w:bottom="1340" w:left="1000" w:header="1448" w:footer="1141"/>
      <w:pgNumType w:start="1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mbria Math">
    <w:altName w:val="Cambria Math"/>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2" type="#_x0000_t202" style="width:15.5pt;height:11pt;margin-top:773.88pt;margin-left:65.5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7" type="#_x0000_t202" style="width:17.5pt;height:11pt;margin-top:773.88pt;margin-left:515.38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r>
                  <w:rPr>
                    <w:sz w:val="18"/>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2" type="#_x0000_t202" style="width:17.5pt;height:11pt;margin-top:773.88pt;margin-left:63.5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r>
                  <w:rPr>
                    <w:sz w:val="18"/>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1" type="#_x0000_t202" style="width:17.5pt;height:11pt;margin-top:773.88pt;margin-left:515.38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15</w:t>
                </w:r>
                <w:r>
                  <w:fldChar w:fldCharType="end"/>
                </w:r>
                <w:r>
                  <w:rPr>
                    <w:sz w:val="18"/>
                  </w:rPr>
                  <w:t xml:space="preserve"> </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6" type="#_x0000_t202" style="width:17.5pt;height:11pt;margin-top:773.88pt;margin-left:63.5pt;mso-position-horizontal-relative:page;mso-position-vertical-relative:page;position:absolute;z-index:-25164492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5" type="#_x0000_t202" style="width:17.5pt;height:11pt;margin-top:773.88pt;margin-left:515.38pt;mso-position-horizontal-relative:page;mso-position-vertical-relative:page;position:absolute;z-index:-25164595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5</w:t>
                </w:r>
                <w:r>
                  <w:fldChar w:fldCharType="end"/>
                </w:r>
                <w:r>
                  <w:rPr>
                    <w:sz w:val="18"/>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0" type="#_x0000_t202" style="width:17.5pt;height:11pt;margin-top:773.88pt;margin-left:63.5pt;mso-position-horizontal-relative:page;mso-position-vertical-relative:page;position:absolute;z-index:-25164288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w:t>
                </w:r>
                <w:r>
                  <w:fldChar w:fldCharType="end"/>
                </w:r>
                <w:r>
                  <w:rPr>
                    <w:sz w:val="18"/>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9" type="#_x0000_t202" style="width:17.5pt;height:11pt;margin-top:773.88pt;margin-left:515.38pt;mso-position-horizontal-relative:page;mso-position-vertical-relative:page;position:absolute;z-index:-25164390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15</w:t>
                </w:r>
                <w:r>
                  <w:fldChar w:fldCharType="end"/>
                </w:r>
                <w:r>
                  <w:rPr>
                    <w:sz w:val="18"/>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4" type="#_x0000_t202" style="width:17.5pt;height:11pt;margin-top:773.88pt;margin-left:63.5pt;mso-position-horizontal-relative:page;mso-position-vertical-relative:page;position:absolute;z-index:-25164083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3" type="#_x0000_t202" style="width:17.5pt;height:11pt;margin-top:773.88pt;margin-left:515.38pt;mso-position-horizontal-relative:page;mso-position-vertical-relative:page;position:absolute;z-index:-25164185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7</w:t>
                </w:r>
                <w:r>
                  <w:fldChar w:fldCharType="end"/>
                </w:r>
                <w:r>
                  <w:rPr>
                    <w:sz w:val="18"/>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8" type="#_x0000_t202" style="width:17.5pt;height:11pt;margin-top:773.88pt;margin-left:63.5pt;mso-position-horizontal-relative:page;mso-position-vertical-relative:page;position:absolute;z-index:-25163878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8</w:t>
                </w:r>
                <w:r>
                  <w:fldChar w:fldCharType="end"/>
                </w:r>
                <w:r>
                  <w:rPr>
                    <w:sz w:val="18"/>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1" type="#_x0000_t202" style="width:11.1pt;height:11pt;margin-top:773.88pt;margin-left:521.82pt;mso-position-horizontal-relative:page;mso-position-vertical-relative:page;position:absolute;z-index:-251658240" filled="f" stroked="f">
          <v:textbox inset="0,0,0,0">
            <w:txbxContent>
              <w:p>
                <w:pPr>
                  <w:spacing w:before="0" w:line="220" w:lineRule="exact"/>
                  <w:ind w:left="20" w:right="0" w:firstLine="0"/>
                  <w:jc w:val="left"/>
                  <w:rPr>
                    <w:sz w:val="18"/>
                  </w:rPr>
                </w:pPr>
                <w:r>
                  <w:rPr>
                    <w:sz w:val="18"/>
                  </w:rPr>
                  <w:t xml:space="preserve">I </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7" type="#_x0000_t202" style="width:17.5pt;height:11pt;margin-top:773.88pt;margin-left:515.38pt;mso-position-horizontal-relative:page;mso-position-vertical-relative:page;position:absolute;z-index:-25163980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15</w:t>
                </w:r>
                <w:r>
                  <w:fldChar w:fldCharType="end"/>
                </w:r>
                <w:r>
                  <w:rPr>
                    <w:sz w:val="18"/>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2" type="#_x0000_t202" style="width:17.5pt;height:11pt;margin-top:773.88pt;margin-left:63.5pt;mso-position-horizontal-relative:page;mso-position-vertical-relative:page;position:absolute;z-index:-25163673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1" type="#_x0000_t202" style="width:17.5pt;height:11pt;margin-top:773.88pt;margin-left:515.38pt;mso-position-horizontal-relative:page;mso-position-vertical-relative:page;position:absolute;z-index:-25163776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9</w:t>
                </w:r>
                <w:r>
                  <w:fldChar w:fldCharType="end"/>
                </w:r>
                <w:r>
                  <w:rPr>
                    <w:sz w:val="18"/>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6" type="#_x0000_t202" style="width:17.5pt;height:11pt;margin-top:773.88pt;margin-left:63.5pt;mso-position-horizontal-relative:page;mso-position-vertical-relative:page;position:absolute;z-index:-25163468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10</w:t>
                </w:r>
                <w:r>
                  <w:fldChar w:fldCharType="end"/>
                </w:r>
                <w:r>
                  <w:rPr>
                    <w:sz w:val="18"/>
                  </w:rPr>
                  <w:t xml:space="preserve"> </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5" type="#_x0000_t202" style="width:17.5pt;height:11pt;margin-top:773.88pt;margin-left:515.38pt;mso-position-horizontal-relative:page;mso-position-vertical-relative:page;position:absolute;z-index:-25163571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15</w:t>
                </w:r>
                <w:r>
                  <w:fldChar w:fldCharType="end"/>
                </w:r>
                <w:r>
                  <w:rPr>
                    <w:sz w:val="18"/>
                  </w:rPr>
                  <w:t xml:space="preserve"> </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100" type="#_x0000_t202" style="width:17.5pt;height:11pt;margin-top:773.88pt;margin-left:63.5pt;mso-position-horizontal-relative:page;mso-position-vertical-relative:page;position:absolute;z-index:-25163264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9" type="#_x0000_t202" style="width:17.5pt;height:11pt;margin-top:773.88pt;margin-left:515.38pt;mso-position-horizontal-relative:page;mso-position-vertical-relative:page;position:absolute;z-index:-25163366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r>
                  <w:rPr>
                    <w:sz w:val="18"/>
                  </w:rPr>
                  <w:t xml:space="preserve"> </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104" type="#_x0000_t202" style="width:17.5pt;height:11pt;margin-top:773.88pt;margin-left:63.5pt;mso-position-horizontal-relative:page;mso-position-vertical-relative:page;position:absolute;z-index:-25163059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r>
                  <w:rPr>
                    <w:sz w:val="18"/>
                  </w:rPr>
                  <w:t xml:space="preserve"> </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103" type="#_x0000_t202" style="width:17.5pt;height:11pt;margin-top:773.88pt;margin-left:515.38pt;mso-position-horizontal-relative:page;mso-position-vertical-relative:page;position:absolute;z-index:-25163161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13</w:t>
                </w:r>
                <w:r>
                  <w:fldChar w:fldCharType="end"/>
                </w:r>
                <w:r>
                  <w:rPr>
                    <w:sz w:val="18"/>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6" type="#_x0000_t202" style="width:15.5pt;height:11pt;margin-top:773.88pt;margin-left:65.5pt;mso-position-horizontal-relative:page;mso-position-vertical-relative:page;position:absolute;z-index:-251655168"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5" type="#_x0000_t202" style="width:11.1pt;height:11pt;margin-top:773.88pt;margin-left:521.82pt;mso-position-horizontal-relative:page;mso-position-vertical-relative:page;position:absolute;z-index:-251656192" filled="f" stroked="f">
          <v:textbox inset="0,0,0,0">
            <w:txbxContent>
              <w:p>
                <w:pPr>
                  <w:spacing w:before="0" w:line="220" w:lineRule="exact"/>
                  <w:ind w:left="20" w:right="0" w:firstLine="0"/>
                  <w:jc w:val="left"/>
                  <w:rPr>
                    <w:sz w:val="18"/>
                  </w:rPr>
                </w:pPr>
                <w:r>
                  <w:rPr>
                    <w:sz w:val="18"/>
                  </w:rPr>
                  <w:t xml:space="preserve">I </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0" type="#_x0000_t202" style="width:17.5pt;height:11pt;margin-top:773.88pt;margin-left:63.5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9" type="#_x0000_t202" style="width:17.5pt;height:11pt;margin-top:773.88pt;margin-left:515.38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r>
                  <w:rPr>
                    <w:sz w:val="18"/>
                  </w:rPr>
                  <w:t xml:space="preserve"> </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4" type="#_x0000_t202" style="width:17.5pt;height:11pt;margin-top:773.88pt;margin-left:63.5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r>
                  <w:rPr>
                    <w:sz w:val="18"/>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3" type="#_x0000_t202" style="width:17.5pt;height:11pt;margin-top:773.88pt;margin-left:515.38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15</w:t>
                </w:r>
                <w:r>
                  <w:fldChar w:fldCharType="end"/>
                </w:r>
                <w:r>
                  <w:rPr>
                    <w:sz w:val="18"/>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8" type="#_x0000_t202" style="width:17.5pt;height:11pt;margin-top:773.88pt;margin-left:63.5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0" type="#_x0000_t202" style="width:91.45pt;height:12.6pt;margin-top:71.4pt;margin-left:55.64pt;mso-position-horizontal-relative:page;mso-position-vertical-relative:page;position:absolute;z-index:-251657216"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5" type="#_x0000_t202" style="width:91.45pt;height:12.6pt;margin-top:71.4pt;margin-left:448.38pt;mso-position-horizontal-relative:page;mso-position-vertical-relative:page;position:absolute;z-index:-251650048"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0" type="#_x0000_t202" style="width:91.45pt;height:12.6pt;margin-top:71.4pt;margin-left:55.64pt;mso-position-horizontal-relative:page;mso-position-vertical-relative:page;position:absolute;z-index:-251646976"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9" type="#_x0000_t202" style="width:91.45pt;height:12.6pt;margin-top:71.4pt;margin-left:448.38pt;mso-position-horizontal-relative:page;mso-position-vertical-relative:page;position:absolute;z-index:-251648000"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4" type="#_x0000_t202" style="width:91.45pt;height:12.6pt;margin-top:71.4pt;margin-left:55.64pt;mso-position-horizontal-relative:page;mso-position-vertical-relative:page;position:absolute;z-index:-251644928"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3" type="#_x0000_t202" style="width:91.45pt;height:12.6pt;margin-top:71.4pt;margin-left:448.38pt;mso-position-horizontal-relative:page;mso-position-vertical-relative:page;position:absolute;z-index:-251645952"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8" type="#_x0000_t202" style="width:91.45pt;height:12.6pt;margin-top:71.4pt;margin-left:55.64pt;mso-position-horizontal-relative:page;mso-position-vertical-relative:page;position:absolute;z-index:-251642880"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77" type="#_x0000_t202" style="width:91.45pt;height:12.6pt;margin-top:71.4pt;margin-left:448.38pt;mso-position-horizontal-relative:page;mso-position-vertical-relative:page;position:absolute;z-index:-251643904"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2" type="#_x0000_t202" style="width:91.45pt;height:12.6pt;margin-top:71.4pt;margin-left:55.64pt;mso-position-horizontal-relative:page;mso-position-vertical-relative:page;position:absolute;z-index:-251640832"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1" type="#_x0000_t202" style="width:91.45pt;height:12.6pt;margin-top:71.4pt;margin-left:448.38pt;mso-position-horizontal-relative:page;mso-position-vertical-relative:page;position:absolute;z-index:-251641856"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6" type="#_x0000_t202" style="width:91.45pt;height:12.6pt;margin-top:71.4pt;margin-left:55.64pt;mso-position-horizontal-relative:page;mso-position-vertical-relative:page;position:absolute;z-index:-251638784"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49" type="#_x0000_t202" style="width:91.45pt;height:12.6pt;margin-top:71.4pt;margin-left:448.38pt;mso-position-horizontal-relative:page;mso-position-vertical-relative:page;position:absolute;z-index:-251658240"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5" type="#_x0000_t202" style="width:91.45pt;height:12.6pt;margin-top:71.4pt;margin-left:448.38pt;mso-position-horizontal-relative:page;mso-position-vertical-relative:page;position:absolute;z-index:-251639808"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0" type="#_x0000_t202" style="width:91.45pt;height:12.6pt;margin-top:71.4pt;margin-left:55.64pt;mso-position-horizontal-relative:page;mso-position-vertical-relative:page;position:absolute;z-index:-251636736"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89" type="#_x0000_t202" style="width:91.45pt;height:12.6pt;margin-top:71.4pt;margin-left:448.38pt;mso-position-horizontal-relative:page;mso-position-vertical-relative:page;position:absolute;z-index:-251637760"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4" type="#_x0000_t202" style="width:91.45pt;height:12.6pt;margin-top:71.4pt;margin-left:55.64pt;mso-position-horizontal-relative:page;mso-position-vertical-relative:page;position:absolute;z-index:-251634688"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3" type="#_x0000_t202" style="width:91.45pt;height:12.6pt;margin-top:71.4pt;margin-left:448.38pt;mso-position-horizontal-relative:page;mso-position-vertical-relative:page;position:absolute;z-index:-251635712"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8" type="#_x0000_t202" style="width:91.45pt;height:12.6pt;margin-top:71.4pt;margin-left:55.64pt;mso-position-horizontal-relative:page;mso-position-vertical-relative:page;position:absolute;z-index:-251632640"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97" type="#_x0000_t202" style="width:91.45pt;height:12.6pt;margin-top:71.4pt;margin-left:448.38pt;mso-position-horizontal-relative:page;mso-position-vertical-relative:page;position:absolute;z-index:-251633664"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102" type="#_x0000_t202" style="width:91.45pt;height:12.6pt;margin-top:71.4pt;margin-left:55.64pt;mso-position-horizontal-relative:page;mso-position-vertical-relative:page;position:absolute;z-index:-251630592"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101" type="#_x0000_t202" style="width:91.45pt;height:12.6pt;margin-top:71.4pt;margin-left:448.38pt;mso-position-horizontal-relative:page;mso-position-vertical-relative:page;position:absolute;z-index:-251631616"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4" type="#_x0000_t202" style="width:91.45pt;height:12.6pt;margin-top:71.4pt;margin-left:55.64pt;mso-position-horizontal-relative:page;mso-position-vertical-relative:page;position:absolute;z-index:-251655168"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3" type="#_x0000_t202" style="width:91.45pt;height:12.6pt;margin-top:71.4pt;margin-left:448.38pt;mso-position-horizontal-relative:page;mso-position-vertical-relative:page;position:absolute;z-index:-251656192"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8" type="#_x0000_t202" style="width:91.45pt;height:12.6pt;margin-top:71.4pt;margin-left:55.64pt;mso-position-horizontal-relative:page;mso-position-vertical-relative:page;position:absolute;z-index:-251653120"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57" type="#_x0000_t202" style="width:91.45pt;height:12.6pt;margin-top:71.4pt;margin-left:448.38pt;mso-position-horizontal-relative:page;mso-position-vertical-relative:page;position:absolute;z-index:-251654144"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2" type="#_x0000_t202" style="width:91.45pt;height:12.6pt;margin-top:71.4pt;margin-left:55.64pt;mso-position-horizontal-relative:page;mso-position-vertical-relative:page;position:absolute;z-index:-251651072"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1" type="#_x0000_t202" style="width:91.45pt;height:12.6pt;margin-top:71.4pt;margin-left:448.38pt;mso-position-horizontal-relative:page;mso-position-vertical-relative:page;position:absolute;z-index:-251652096"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rPr>
        <w:sz w:val="20"/>
      </w:rPr>
    </w:pPr>
    <w:r>
      <w:pict>
        <v:shapetype id="_x0000_t202" coordsize="21600,21600" o:spt="202" path="m,l,21600r21600,l21600,xe">
          <v:stroke joinstyle="miter"/>
          <v:path gradientshapeok="t" o:connecttype="rect"/>
        </v:shapetype>
        <v:shape id="_x0000_s2066" type="#_x0000_t202" style="width:91.45pt;height:12.6pt;margin-top:71.4pt;margin-left:55.64pt;mso-position-horizontal-relative:page;mso-position-vertical-relative:page;position:absolute;z-index:-251649024" filled="f" stroked="f">
          <v:textbox inset="0,0,0,0">
            <w:txbxContent>
              <w:p>
                <w:pPr>
                  <w:pStyle w:val="BodyText"/>
                  <w:spacing w:before="0" w:line="251" w:lineRule="exact"/>
                  <w:ind w:left="20"/>
                  <w:rPr>
                    <w:rFonts w:ascii="黑体" w:hAnsi="黑体"/>
                  </w:rPr>
                </w:pPr>
                <w:r>
                  <w:rPr>
                    <w:rFonts w:ascii="黑体" w:hAnsi="黑体"/>
                  </w:rPr>
                  <w:t>DB45/T 2664</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7E76"/>
    <w:multiLevelType w:val="hybridMultilevel"/>
    <w:tmpl w:val="00000000"/>
    <w:lvl w:ilvl="0">
      <w:start w:val="1"/>
      <w:numFmt w:val="decimal"/>
      <w:lvlText w:val="（%1）"/>
      <w:lvlJc w:val="left"/>
      <w:pPr>
        <w:ind w:left="9" w:hanging="453"/>
        <w:jc w:val="left"/>
      </w:pPr>
      <w:rPr>
        <w:rFonts w:ascii="宋体" w:eastAsia="宋体" w:hAnsi="宋体" w:cs="宋体" w:hint="default"/>
        <w:spacing w:val="-27"/>
        <w:w w:val="100"/>
        <w:sz w:val="16"/>
        <w:szCs w:val="16"/>
        <w:lang w:val="en-US" w:eastAsia="en-US" w:bidi="ar-SA"/>
      </w:rPr>
    </w:lvl>
    <w:lvl w:ilvl="1">
      <w:start w:val="0"/>
      <w:numFmt w:val="bullet"/>
      <w:lvlText w:val="•"/>
      <w:lvlJc w:val="left"/>
      <w:pPr>
        <w:ind w:left="424" w:hanging="453"/>
      </w:pPr>
      <w:rPr>
        <w:rFonts w:hint="default"/>
        <w:lang w:val="en-US" w:eastAsia="en-US" w:bidi="ar-SA"/>
      </w:rPr>
    </w:lvl>
    <w:lvl w:ilvl="2">
      <w:start w:val="0"/>
      <w:numFmt w:val="bullet"/>
      <w:lvlText w:val="•"/>
      <w:lvlJc w:val="left"/>
      <w:pPr>
        <w:ind w:left="848" w:hanging="453"/>
      </w:pPr>
      <w:rPr>
        <w:rFonts w:hint="default"/>
        <w:lang w:val="en-US" w:eastAsia="en-US" w:bidi="ar-SA"/>
      </w:rPr>
    </w:lvl>
    <w:lvl w:ilvl="3">
      <w:start w:val="0"/>
      <w:numFmt w:val="bullet"/>
      <w:lvlText w:val="•"/>
      <w:lvlJc w:val="left"/>
      <w:pPr>
        <w:ind w:left="1273" w:hanging="453"/>
      </w:pPr>
      <w:rPr>
        <w:rFonts w:hint="default"/>
        <w:lang w:val="en-US" w:eastAsia="en-US" w:bidi="ar-SA"/>
      </w:rPr>
    </w:lvl>
    <w:lvl w:ilvl="4">
      <w:start w:val="0"/>
      <w:numFmt w:val="bullet"/>
      <w:lvlText w:val="•"/>
      <w:lvlJc w:val="left"/>
      <w:pPr>
        <w:ind w:left="1697" w:hanging="453"/>
      </w:pPr>
      <w:rPr>
        <w:rFonts w:hint="default"/>
        <w:lang w:val="en-US" w:eastAsia="en-US" w:bidi="ar-SA"/>
      </w:rPr>
    </w:lvl>
    <w:lvl w:ilvl="5">
      <w:start w:val="0"/>
      <w:numFmt w:val="bullet"/>
      <w:lvlText w:val="•"/>
      <w:lvlJc w:val="left"/>
      <w:pPr>
        <w:ind w:left="2122" w:hanging="453"/>
      </w:pPr>
      <w:rPr>
        <w:rFonts w:hint="default"/>
        <w:lang w:val="en-US" w:eastAsia="en-US" w:bidi="ar-SA"/>
      </w:rPr>
    </w:lvl>
    <w:lvl w:ilvl="6">
      <w:start w:val="0"/>
      <w:numFmt w:val="bullet"/>
      <w:lvlText w:val="•"/>
      <w:lvlJc w:val="left"/>
      <w:pPr>
        <w:ind w:left="2546" w:hanging="453"/>
      </w:pPr>
      <w:rPr>
        <w:rFonts w:hint="default"/>
        <w:lang w:val="en-US" w:eastAsia="en-US" w:bidi="ar-SA"/>
      </w:rPr>
    </w:lvl>
    <w:lvl w:ilvl="7">
      <w:start w:val="0"/>
      <w:numFmt w:val="bullet"/>
      <w:lvlText w:val="•"/>
      <w:lvlJc w:val="left"/>
      <w:pPr>
        <w:ind w:left="2970" w:hanging="453"/>
      </w:pPr>
      <w:rPr>
        <w:rFonts w:hint="default"/>
        <w:lang w:val="en-US" w:eastAsia="en-US" w:bidi="ar-SA"/>
      </w:rPr>
    </w:lvl>
    <w:lvl w:ilvl="8">
      <w:start w:val="0"/>
      <w:numFmt w:val="bullet"/>
      <w:lvlText w:val="•"/>
      <w:lvlJc w:val="left"/>
      <w:pPr>
        <w:ind w:left="3395" w:hanging="453"/>
      </w:pPr>
      <w:rPr>
        <w:rFonts w:hint="default"/>
        <w:lang w:val="en-US" w:eastAsia="en-US" w:bidi="ar-SA"/>
      </w:rPr>
    </w:lvl>
  </w:abstractNum>
  <w:abstractNum w:abstractNumId="1">
    <w:nsid w:val="01C5464D"/>
    <w:multiLevelType w:val="hybridMultilevel"/>
    <w:tmpl w:val="00000000"/>
    <w:lvl w:ilvl="0">
      <w:start w:val="1"/>
      <w:numFmt w:val="decimal"/>
      <w:lvlText w:val="（%1）"/>
      <w:lvlJc w:val="left"/>
      <w:pPr>
        <w:ind w:left="467"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781" w:hanging="448"/>
      </w:pPr>
      <w:rPr>
        <w:rFonts w:hint="default"/>
        <w:lang w:val="en-US" w:eastAsia="en-US" w:bidi="ar-SA"/>
      </w:rPr>
    </w:lvl>
    <w:lvl w:ilvl="2">
      <w:start w:val="0"/>
      <w:numFmt w:val="bullet"/>
      <w:lvlText w:val="•"/>
      <w:lvlJc w:val="left"/>
      <w:pPr>
        <w:ind w:left="1103" w:hanging="448"/>
      </w:pPr>
      <w:rPr>
        <w:rFonts w:hint="default"/>
        <w:lang w:val="en-US" w:eastAsia="en-US" w:bidi="ar-SA"/>
      </w:rPr>
    </w:lvl>
    <w:lvl w:ilvl="3">
      <w:start w:val="0"/>
      <w:numFmt w:val="bullet"/>
      <w:lvlText w:val="•"/>
      <w:lvlJc w:val="left"/>
      <w:pPr>
        <w:ind w:left="1425" w:hanging="448"/>
      </w:pPr>
      <w:rPr>
        <w:rFonts w:hint="default"/>
        <w:lang w:val="en-US" w:eastAsia="en-US" w:bidi="ar-SA"/>
      </w:rPr>
    </w:lvl>
    <w:lvl w:ilvl="4">
      <w:start w:val="0"/>
      <w:numFmt w:val="bullet"/>
      <w:lvlText w:val="•"/>
      <w:lvlJc w:val="left"/>
      <w:pPr>
        <w:ind w:left="1746" w:hanging="448"/>
      </w:pPr>
      <w:rPr>
        <w:rFonts w:hint="default"/>
        <w:lang w:val="en-US" w:eastAsia="en-US" w:bidi="ar-SA"/>
      </w:rPr>
    </w:lvl>
    <w:lvl w:ilvl="5">
      <w:start w:val="0"/>
      <w:numFmt w:val="bullet"/>
      <w:lvlText w:val="•"/>
      <w:lvlJc w:val="left"/>
      <w:pPr>
        <w:ind w:left="2068" w:hanging="448"/>
      </w:pPr>
      <w:rPr>
        <w:rFonts w:hint="default"/>
        <w:lang w:val="en-US" w:eastAsia="en-US" w:bidi="ar-SA"/>
      </w:rPr>
    </w:lvl>
    <w:lvl w:ilvl="6">
      <w:start w:val="0"/>
      <w:numFmt w:val="bullet"/>
      <w:lvlText w:val="•"/>
      <w:lvlJc w:val="left"/>
      <w:pPr>
        <w:ind w:left="2390" w:hanging="448"/>
      </w:pPr>
      <w:rPr>
        <w:rFonts w:hint="default"/>
        <w:lang w:val="en-US" w:eastAsia="en-US" w:bidi="ar-SA"/>
      </w:rPr>
    </w:lvl>
    <w:lvl w:ilvl="7">
      <w:start w:val="0"/>
      <w:numFmt w:val="bullet"/>
      <w:lvlText w:val="•"/>
      <w:lvlJc w:val="left"/>
      <w:pPr>
        <w:ind w:left="2711" w:hanging="448"/>
      </w:pPr>
      <w:rPr>
        <w:rFonts w:hint="default"/>
        <w:lang w:val="en-US" w:eastAsia="en-US" w:bidi="ar-SA"/>
      </w:rPr>
    </w:lvl>
    <w:lvl w:ilvl="8">
      <w:start w:val="0"/>
      <w:numFmt w:val="bullet"/>
      <w:lvlText w:val="•"/>
      <w:lvlJc w:val="left"/>
      <w:pPr>
        <w:ind w:left="3033" w:hanging="448"/>
      </w:pPr>
      <w:rPr>
        <w:rFonts w:hint="default"/>
        <w:lang w:val="en-US" w:eastAsia="en-US" w:bidi="ar-SA"/>
      </w:rPr>
    </w:lvl>
  </w:abstractNum>
  <w:abstractNum w:abstractNumId="2">
    <w:nsid w:val="0771537A"/>
    <w:multiLevelType w:val="hybridMultilevel"/>
    <w:tmpl w:val="00000000"/>
    <w:lvl w:ilvl="0">
      <w:start w:val="1"/>
      <w:numFmt w:val="decimal"/>
      <w:lvlText w:val="（%1）"/>
      <w:lvlJc w:val="left"/>
      <w:pPr>
        <w:ind w:left="9" w:hanging="453"/>
        <w:jc w:val="left"/>
      </w:pPr>
      <w:rPr>
        <w:rFonts w:ascii="宋体" w:eastAsia="宋体" w:hAnsi="宋体" w:cs="宋体" w:hint="default"/>
        <w:w w:val="100"/>
        <w:sz w:val="16"/>
        <w:szCs w:val="16"/>
        <w:lang w:val="en-US" w:eastAsia="en-US" w:bidi="ar-SA"/>
      </w:rPr>
    </w:lvl>
    <w:lvl w:ilvl="1">
      <w:start w:val="0"/>
      <w:numFmt w:val="bullet"/>
      <w:lvlText w:val="•"/>
      <w:lvlJc w:val="left"/>
      <w:pPr>
        <w:ind w:left="424" w:hanging="453"/>
      </w:pPr>
      <w:rPr>
        <w:rFonts w:hint="default"/>
        <w:lang w:val="en-US" w:eastAsia="en-US" w:bidi="ar-SA"/>
      </w:rPr>
    </w:lvl>
    <w:lvl w:ilvl="2">
      <w:start w:val="0"/>
      <w:numFmt w:val="bullet"/>
      <w:lvlText w:val="•"/>
      <w:lvlJc w:val="left"/>
      <w:pPr>
        <w:ind w:left="848" w:hanging="453"/>
      </w:pPr>
      <w:rPr>
        <w:rFonts w:hint="default"/>
        <w:lang w:val="en-US" w:eastAsia="en-US" w:bidi="ar-SA"/>
      </w:rPr>
    </w:lvl>
    <w:lvl w:ilvl="3">
      <w:start w:val="0"/>
      <w:numFmt w:val="bullet"/>
      <w:lvlText w:val="•"/>
      <w:lvlJc w:val="left"/>
      <w:pPr>
        <w:ind w:left="1273" w:hanging="453"/>
      </w:pPr>
      <w:rPr>
        <w:rFonts w:hint="default"/>
        <w:lang w:val="en-US" w:eastAsia="en-US" w:bidi="ar-SA"/>
      </w:rPr>
    </w:lvl>
    <w:lvl w:ilvl="4">
      <w:start w:val="0"/>
      <w:numFmt w:val="bullet"/>
      <w:lvlText w:val="•"/>
      <w:lvlJc w:val="left"/>
      <w:pPr>
        <w:ind w:left="1697" w:hanging="453"/>
      </w:pPr>
      <w:rPr>
        <w:rFonts w:hint="default"/>
        <w:lang w:val="en-US" w:eastAsia="en-US" w:bidi="ar-SA"/>
      </w:rPr>
    </w:lvl>
    <w:lvl w:ilvl="5">
      <w:start w:val="0"/>
      <w:numFmt w:val="bullet"/>
      <w:lvlText w:val="•"/>
      <w:lvlJc w:val="left"/>
      <w:pPr>
        <w:ind w:left="2122" w:hanging="453"/>
      </w:pPr>
      <w:rPr>
        <w:rFonts w:hint="default"/>
        <w:lang w:val="en-US" w:eastAsia="en-US" w:bidi="ar-SA"/>
      </w:rPr>
    </w:lvl>
    <w:lvl w:ilvl="6">
      <w:start w:val="0"/>
      <w:numFmt w:val="bullet"/>
      <w:lvlText w:val="•"/>
      <w:lvlJc w:val="left"/>
      <w:pPr>
        <w:ind w:left="2546" w:hanging="453"/>
      </w:pPr>
      <w:rPr>
        <w:rFonts w:hint="default"/>
        <w:lang w:val="en-US" w:eastAsia="en-US" w:bidi="ar-SA"/>
      </w:rPr>
    </w:lvl>
    <w:lvl w:ilvl="7">
      <w:start w:val="0"/>
      <w:numFmt w:val="bullet"/>
      <w:lvlText w:val="•"/>
      <w:lvlJc w:val="left"/>
      <w:pPr>
        <w:ind w:left="2970" w:hanging="453"/>
      </w:pPr>
      <w:rPr>
        <w:rFonts w:hint="default"/>
        <w:lang w:val="en-US" w:eastAsia="en-US" w:bidi="ar-SA"/>
      </w:rPr>
    </w:lvl>
    <w:lvl w:ilvl="8">
      <w:start w:val="0"/>
      <w:numFmt w:val="bullet"/>
      <w:lvlText w:val="•"/>
      <w:lvlJc w:val="left"/>
      <w:pPr>
        <w:ind w:left="3395" w:hanging="453"/>
      </w:pPr>
      <w:rPr>
        <w:rFonts w:hint="default"/>
        <w:lang w:val="en-US" w:eastAsia="en-US" w:bidi="ar-SA"/>
      </w:rPr>
    </w:lvl>
  </w:abstractNum>
  <w:abstractNum w:abstractNumId="3">
    <w:nsid w:val="0AA0D83C"/>
    <w:multiLevelType w:val="hybridMultilevel"/>
    <w:tmpl w:val="00000000"/>
    <w:lvl w:ilvl="0">
      <w:start w:val="1"/>
      <w:numFmt w:val="decimal"/>
      <w:lvlText w:val="（%1）"/>
      <w:lvlJc w:val="left"/>
      <w:pPr>
        <w:ind w:left="20"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385" w:hanging="448"/>
      </w:pPr>
      <w:rPr>
        <w:rFonts w:hint="default"/>
        <w:lang w:val="en-US" w:eastAsia="en-US" w:bidi="ar-SA"/>
      </w:rPr>
    </w:lvl>
    <w:lvl w:ilvl="2">
      <w:start w:val="0"/>
      <w:numFmt w:val="bullet"/>
      <w:lvlText w:val="•"/>
      <w:lvlJc w:val="left"/>
      <w:pPr>
        <w:ind w:left="751" w:hanging="448"/>
      </w:pPr>
      <w:rPr>
        <w:rFonts w:hint="default"/>
        <w:lang w:val="en-US" w:eastAsia="en-US" w:bidi="ar-SA"/>
      </w:rPr>
    </w:lvl>
    <w:lvl w:ilvl="3">
      <w:start w:val="0"/>
      <w:numFmt w:val="bullet"/>
      <w:lvlText w:val="•"/>
      <w:lvlJc w:val="left"/>
      <w:pPr>
        <w:ind w:left="1117" w:hanging="448"/>
      </w:pPr>
      <w:rPr>
        <w:rFonts w:hint="default"/>
        <w:lang w:val="en-US" w:eastAsia="en-US" w:bidi="ar-SA"/>
      </w:rPr>
    </w:lvl>
    <w:lvl w:ilvl="4">
      <w:start w:val="0"/>
      <w:numFmt w:val="bullet"/>
      <w:lvlText w:val="•"/>
      <w:lvlJc w:val="left"/>
      <w:pPr>
        <w:ind w:left="1482" w:hanging="448"/>
      </w:pPr>
      <w:rPr>
        <w:rFonts w:hint="default"/>
        <w:lang w:val="en-US" w:eastAsia="en-US" w:bidi="ar-SA"/>
      </w:rPr>
    </w:lvl>
    <w:lvl w:ilvl="5">
      <w:start w:val="0"/>
      <w:numFmt w:val="bullet"/>
      <w:lvlText w:val="•"/>
      <w:lvlJc w:val="left"/>
      <w:pPr>
        <w:ind w:left="1848" w:hanging="448"/>
      </w:pPr>
      <w:rPr>
        <w:rFonts w:hint="default"/>
        <w:lang w:val="en-US" w:eastAsia="en-US" w:bidi="ar-SA"/>
      </w:rPr>
    </w:lvl>
    <w:lvl w:ilvl="6">
      <w:start w:val="0"/>
      <w:numFmt w:val="bullet"/>
      <w:lvlText w:val="•"/>
      <w:lvlJc w:val="left"/>
      <w:pPr>
        <w:ind w:left="2214" w:hanging="448"/>
      </w:pPr>
      <w:rPr>
        <w:rFonts w:hint="default"/>
        <w:lang w:val="en-US" w:eastAsia="en-US" w:bidi="ar-SA"/>
      </w:rPr>
    </w:lvl>
    <w:lvl w:ilvl="7">
      <w:start w:val="0"/>
      <w:numFmt w:val="bullet"/>
      <w:lvlText w:val="•"/>
      <w:lvlJc w:val="left"/>
      <w:pPr>
        <w:ind w:left="2579" w:hanging="448"/>
      </w:pPr>
      <w:rPr>
        <w:rFonts w:hint="default"/>
        <w:lang w:val="en-US" w:eastAsia="en-US" w:bidi="ar-SA"/>
      </w:rPr>
    </w:lvl>
    <w:lvl w:ilvl="8">
      <w:start w:val="0"/>
      <w:numFmt w:val="bullet"/>
      <w:lvlText w:val="•"/>
      <w:lvlJc w:val="left"/>
      <w:pPr>
        <w:ind w:left="2945" w:hanging="448"/>
      </w:pPr>
      <w:rPr>
        <w:rFonts w:hint="default"/>
        <w:lang w:val="en-US" w:eastAsia="en-US" w:bidi="ar-SA"/>
      </w:rPr>
    </w:lvl>
  </w:abstractNum>
  <w:abstractNum w:abstractNumId="4">
    <w:nsid w:val="15267065"/>
    <w:multiLevelType w:val="hybridMultilevel"/>
    <w:tmpl w:val="00000000"/>
    <w:lvl w:ilvl="0">
      <w:start w:val="1"/>
      <w:numFmt w:val="decimal"/>
      <w:lvlText w:val="（%1）"/>
      <w:lvlJc w:val="left"/>
      <w:pPr>
        <w:ind w:left="468"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781" w:hanging="448"/>
      </w:pPr>
      <w:rPr>
        <w:rFonts w:hint="default"/>
        <w:lang w:val="en-US" w:eastAsia="en-US" w:bidi="ar-SA"/>
      </w:rPr>
    </w:lvl>
    <w:lvl w:ilvl="2">
      <w:start w:val="0"/>
      <w:numFmt w:val="bullet"/>
      <w:lvlText w:val="•"/>
      <w:lvlJc w:val="left"/>
      <w:pPr>
        <w:ind w:left="1103" w:hanging="448"/>
      </w:pPr>
      <w:rPr>
        <w:rFonts w:hint="default"/>
        <w:lang w:val="en-US" w:eastAsia="en-US" w:bidi="ar-SA"/>
      </w:rPr>
    </w:lvl>
    <w:lvl w:ilvl="3">
      <w:start w:val="0"/>
      <w:numFmt w:val="bullet"/>
      <w:lvlText w:val="•"/>
      <w:lvlJc w:val="left"/>
      <w:pPr>
        <w:ind w:left="1425" w:hanging="448"/>
      </w:pPr>
      <w:rPr>
        <w:rFonts w:hint="default"/>
        <w:lang w:val="en-US" w:eastAsia="en-US" w:bidi="ar-SA"/>
      </w:rPr>
    </w:lvl>
    <w:lvl w:ilvl="4">
      <w:start w:val="0"/>
      <w:numFmt w:val="bullet"/>
      <w:lvlText w:val="•"/>
      <w:lvlJc w:val="left"/>
      <w:pPr>
        <w:ind w:left="1747" w:hanging="448"/>
      </w:pPr>
      <w:rPr>
        <w:rFonts w:hint="default"/>
        <w:lang w:val="en-US" w:eastAsia="en-US" w:bidi="ar-SA"/>
      </w:rPr>
    </w:lvl>
    <w:lvl w:ilvl="5">
      <w:start w:val="0"/>
      <w:numFmt w:val="bullet"/>
      <w:lvlText w:val="•"/>
      <w:lvlJc w:val="left"/>
      <w:pPr>
        <w:ind w:left="2069" w:hanging="448"/>
      </w:pPr>
      <w:rPr>
        <w:rFonts w:hint="default"/>
        <w:lang w:val="en-US" w:eastAsia="en-US" w:bidi="ar-SA"/>
      </w:rPr>
    </w:lvl>
    <w:lvl w:ilvl="6">
      <w:start w:val="0"/>
      <w:numFmt w:val="bullet"/>
      <w:lvlText w:val="•"/>
      <w:lvlJc w:val="left"/>
      <w:pPr>
        <w:ind w:left="2390" w:hanging="448"/>
      </w:pPr>
      <w:rPr>
        <w:rFonts w:hint="default"/>
        <w:lang w:val="en-US" w:eastAsia="en-US" w:bidi="ar-SA"/>
      </w:rPr>
    </w:lvl>
    <w:lvl w:ilvl="7">
      <w:start w:val="0"/>
      <w:numFmt w:val="bullet"/>
      <w:lvlText w:val="•"/>
      <w:lvlJc w:val="left"/>
      <w:pPr>
        <w:ind w:left="2712" w:hanging="448"/>
      </w:pPr>
      <w:rPr>
        <w:rFonts w:hint="default"/>
        <w:lang w:val="en-US" w:eastAsia="en-US" w:bidi="ar-SA"/>
      </w:rPr>
    </w:lvl>
    <w:lvl w:ilvl="8">
      <w:start w:val="0"/>
      <w:numFmt w:val="bullet"/>
      <w:lvlText w:val="•"/>
      <w:lvlJc w:val="left"/>
      <w:pPr>
        <w:ind w:left="3034" w:hanging="448"/>
      </w:pPr>
      <w:rPr>
        <w:rFonts w:hint="default"/>
        <w:lang w:val="en-US" w:eastAsia="en-US" w:bidi="ar-SA"/>
      </w:rPr>
    </w:lvl>
  </w:abstractNum>
  <w:abstractNum w:abstractNumId="5">
    <w:nsid w:val="164C294B"/>
    <w:multiLevelType w:val="hybridMultilevel"/>
    <w:tmpl w:val="00000000"/>
    <w:lvl w:ilvl="0">
      <w:start w:val="2"/>
      <w:numFmt w:val="upperLetter"/>
      <w:lvlText w:val="%1"/>
      <w:lvlJc w:val="left"/>
      <w:pPr>
        <w:ind w:left="658" w:hanging="527"/>
        <w:jc w:val="left"/>
      </w:pPr>
      <w:rPr>
        <w:rFonts w:hint="default"/>
        <w:lang w:val="en-US" w:eastAsia="en-US" w:bidi="ar-SA"/>
      </w:rPr>
    </w:lvl>
    <w:lvl w:ilvl="1">
      <w:start w:val="1"/>
      <w:numFmt w:val="decimal"/>
      <w:lvlText w:val="%1.%2"/>
      <w:lvlJc w:val="left"/>
      <w:pPr>
        <w:ind w:left="658" w:hanging="527"/>
        <w:jc w:val="right"/>
      </w:pPr>
      <w:rPr>
        <w:rFonts w:ascii="黑体" w:eastAsia="黑体" w:hAnsi="黑体" w:cs="黑体" w:hint="default"/>
        <w:w w:val="100"/>
        <w:sz w:val="21"/>
        <w:szCs w:val="21"/>
        <w:lang w:val="en-US" w:eastAsia="en-US" w:bidi="ar-SA"/>
      </w:rPr>
    </w:lvl>
    <w:lvl w:ilvl="2">
      <w:start w:val="0"/>
      <w:numFmt w:val="bullet"/>
      <w:lvlText w:val="•"/>
      <w:lvlJc w:val="left"/>
      <w:pPr>
        <w:ind w:left="2565" w:hanging="527"/>
      </w:pPr>
      <w:rPr>
        <w:rFonts w:hint="default"/>
        <w:lang w:val="en-US" w:eastAsia="en-US" w:bidi="ar-SA"/>
      </w:rPr>
    </w:lvl>
    <w:lvl w:ilvl="3">
      <w:start w:val="0"/>
      <w:numFmt w:val="bullet"/>
      <w:lvlText w:val="•"/>
      <w:lvlJc w:val="left"/>
      <w:pPr>
        <w:ind w:left="3517" w:hanging="527"/>
      </w:pPr>
      <w:rPr>
        <w:rFonts w:hint="default"/>
        <w:lang w:val="en-US" w:eastAsia="en-US" w:bidi="ar-SA"/>
      </w:rPr>
    </w:lvl>
    <w:lvl w:ilvl="4">
      <w:start w:val="0"/>
      <w:numFmt w:val="bullet"/>
      <w:lvlText w:val="•"/>
      <w:lvlJc w:val="left"/>
      <w:pPr>
        <w:ind w:left="4470" w:hanging="527"/>
      </w:pPr>
      <w:rPr>
        <w:rFonts w:hint="default"/>
        <w:lang w:val="en-US" w:eastAsia="en-US" w:bidi="ar-SA"/>
      </w:rPr>
    </w:lvl>
    <w:lvl w:ilvl="5">
      <w:start w:val="0"/>
      <w:numFmt w:val="bullet"/>
      <w:lvlText w:val="•"/>
      <w:lvlJc w:val="left"/>
      <w:pPr>
        <w:ind w:left="5423" w:hanging="527"/>
      </w:pPr>
      <w:rPr>
        <w:rFonts w:hint="default"/>
        <w:lang w:val="en-US" w:eastAsia="en-US" w:bidi="ar-SA"/>
      </w:rPr>
    </w:lvl>
    <w:lvl w:ilvl="6">
      <w:start w:val="0"/>
      <w:numFmt w:val="bullet"/>
      <w:lvlText w:val="•"/>
      <w:lvlJc w:val="left"/>
      <w:pPr>
        <w:ind w:left="6375" w:hanging="527"/>
      </w:pPr>
      <w:rPr>
        <w:rFonts w:hint="default"/>
        <w:lang w:val="en-US" w:eastAsia="en-US" w:bidi="ar-SA"/>
      </w:rPr>
    </w:lvl>
    <w:lvl w:ilvl="7">
      <w:start w:val="0"/>
      <w:numFmt w:val="bullet"/>
      <w:lvlText w:val="•"/>
      <w:lvlJc w:val="left"/>
      <w:pPr>
        <w:ind w:left="7328" w:hanging="527"/>
      </w:pPr>
      <w:rPr>
        <w:rFonts w:hint="default"/>
        <w:lang w:val="en-US" w:eastAsia="en-US" w:bidi="ar-SA"/>
      </w:rPr>
    </w:lvl>
    <w:lvl w:ilvl="8">
      <w:start w:val="0"/>
      <w:numFmt w:val="bullet"/>
      <w:lvlText w:val="•"/>
      <w:lvlJc w:val="left"/>
      <w:pPr>
        <w:ind w:left="8281" w:hanging="527"/>
      </w:pPr>
      <w:rPr>
        <w:rFonts w:hint="default"/>
        <w:lang w:val="en-US" w:eastAsia="en-US" w:bidi="ar-SA"/>
      </w:rPr>
    </w:lvl>
  </w:abstractNum>
  <w:abstractNum w:abstractNumId="6">
    <w:nsid w:val="169D4554"/>
    <w:multiLevelType w:val="hybridMultilevel"/>
    <w:tmpl w:val="00000000"/>
    <w:lvl w:ilvl="0">
      <w:start w:val="1"/>
      <w:numFmt w:val="decimal"/>
      <w:lvlText w:val="（%1）"/>
      <w:lvlJc w:val="left"/>
      <w:pPr>
        <w:ind w:left="21"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385" w:hanging="448"/>
      </w:pPr>
      <w:rPr>
        <w:rFonts w:hint="default"/>
        <w:lang w:val="en-US" w:eastAsia="en-US" w:bidi="ar-SA"/>
      </w:rPr>
    </w:lvl>
    <w:lvl w:ilvl="2">
      <w:start w:val="0"/>
      <w:numFmt w:val="bullet"/>
      <w:lvlText w:val="•"/>
      <w:lvlJc w:val="left"/>
      <w:pPr>
        <w:ind w:left="751" w:hanging="448"/>
      </w:pPr>
      <w:rPr>
        <w:rFonts w:hint="default"/>
        <w:lang w:val="en-US" w:eastAsia="en-US" w:bidi="ar-SA"/>
      </w:rPr>
    </w:lvl>
    <w:lvl w:ilvl="3">
      <w:start w:val="0"/>
      <w:numFmt w:val="bullet"/>
      <w:lvlText w:val="•"/>
      <w:lvlJc w:val="left"/>
      <w:pPr>
        <w:ind w:left="1117" w:hanging="448"/>
      </w:pPr>
      <w:rPr>
        <w:rFonts w:hint="default"/>
        <w:lang w:val="en-US" w:eastAsia="en-US" w:bidi="ar-SA"/>
      </w:rPr>
    </w:lvl>
    <w:lvl w:ilvl="4">
      <w:start w:val="0"/>
      <w:numFmt w:val="bullet"/>
      <w:lvlText w:val="•"/>
      <w:lvlJc w:val="left"/>
      <w:pPr>
        <w:ind w:left="1483" w:hanging="448"/>
      </w:pPr>
      <w:rPr>
        <w:rFonts w:hint="default"/>
        <w:lang w:val="en-US" w:eastAsia="en-US" w:bidi="ar-SA"/>
      </w:rPr>
    </w:lvl>
    <w:lvl w:ilvl="5">
      <w:start w:val="0"/>
      <w:numFmt w:val="bullet"/>
      <w:lvlText w:val="•"/>
      <w:lvlJc w:val="left"/>
      <w:pPr>
        <w:ind w:left="1849" w:hanging="448"/>
      </w:pPr>
      <w:rPr>
        <w:rFonts w:hint="default"/>
        <w:lang w:val="en-US" w:eastAsia="en-US" w:bidi="ar-SA"/>
      </w:rPr>
    </w:lvl>
    <w:lvl w:ilvl="6">
      <w:start w:val="0"/>
      <w:numFmt w:val="bullet"/>
      <w:lvlText w:val="•"/>
      <w:lvlJc w:val="left"/>
      <w:pPr>
        <w:ind w:left="2214" w:hanging="448"/>
      </w:pPr>
      <w:rPr>
        <w:rFonts w:hint="default"/>
        <w:lang w:val="en-US" w:eastAsia="en-US" w:bidi="ar-SA"/>
      </w:rPr>
    </w:lvl>
    <w:lvl w:ilvl="7">
      <w:start w:val="0"/>
      <w:numFmt w:val="bullet"/>
      <w:lvlText w:val="•"/>
      <w:lvlJc w:val="left"/>
      <w:pPr>
        <w:ind w:left="2580" w:hanging="448"/>
      </w:pPr>
      <w:rPr>
        <w:rFonts w:hint="default"/>
        <w:lang w:val="en-US" w:eastAsia="en-US" w:bidi="ar-SA"/>
      </w:rPr>
    </w:lvl>
    <w:lvl w:ilvl="8">
      <w:start w:val="0"/>
      <w:numFmt w:val="bullet"/>
      <w:lvlText w:val="•"/>
      <w:lvlJc w:val="left"/>
      <w:pPr>
        <w:ind w:left="2946" w:hanging="448"/>
      </w:pPr>
      <w:rPr>
        <w:rFonts w:hint="default"/>
        <w:lang w:val="en-US" w:eastAsia="en-US" w:bidi="ar-SA"/>
      </w:rPr>
    </w:lvl>
  </w:abstractNum>
  <w:abstractNum w:abstractNumId="7">
    <w:nsid w:val="1BDB85DA"/>
    <w:multiLevelType w:val="hybridMultilevel"/>
    <w:tmpl w:val="00000000"/>
    <w:lvl w:ilvl="0">
      <w:start w:val="7"/>
      <w:numFmt w:val="decimal"/>
      <w:lvlText w:val="（%1）"/>
      <w:lvlJc w:val="left"/>
      <w:pPr>
        <w:ind w:left="468"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824" w:hanging="448"/>
      </w:pPr>
      <w:rPr>
        <w:rFonts w:hint="default"/>
        <w:lang w:val="en-US" w:eastAsia="en-US" w:bidi="ar-SA"/>
      </w:rPr>
    </w:lvl>
    <w:lvl w:ilvl="2">
      <w:start w:val="0"/>
      <w:numFmt w:val="bullet"/>
      <w:lvlText w:val="•"/>
      <w:lvlJc w:val="left"/>
      <w:pPr>
        <w:ind w:left="1188" w:hanging="448"/>
      </w:pPr>
      <w:rPr>
        <w:rFonts w:hint="default"/>
        <w:lang w:val="en-US" w:eastAsia="en-US" w:bidi="ar-SA"/>
      </w:rPr>
    </w:lvl>
    <w:lvl w:ilvl="3">
      <w:start w:val="0"/>
      <w:numFmt w:val="bullet"/>
      <w:lvlText w:val="•"/>
      <w:lvlJc w:val="left"/>
      <w:pPr>
        <w:ind w:left="1552" w:hanging="448"/>
      </w:pPr>
      <w:rPr>
        <w:rFonts w:hint="default"/>
        <w:lang w:val="en-US" w:eastAsia="en-US" w:bidi="ar-SA"/>
      </w:rPr>
    </w:lvl>
    <w:lvl w:ilvl="4">
      <w:start w:val="0"/>
      <w:numFmt w:val="bullet"/>
      <w:lvlText w:val="•"/>
      <w:lvlJc w:val="left"/>
      <w:pPr>
        <w:ind w:left="1916" w:hanging="448"/>
      </w:pPr>
      <w:rPr>
        <w:rFonts w:hint="default"/>
        <w:lang w:val="en-US" w:eastAsia="en-US" w:bidi="ar-SA"/>
      </w:rPr>
    </w:lvl>
    <w:lvl w:ilvl="5">
      <w:start w:val="0"/>
      <w:numFmt w:val="bullet"/>
      <w:lvlText w:val="•"/>
      <w:lvlJc w:val="left"/>
      <w:pPr>
        <w:ind w:left="2281" w:hanging="448"/>
      </w:pPr>
      <w:rPr>
        <w:rFonts w:hint="default"/>
        <w:lang w:val="en-US" w:eastAsia="en-US" w:bidi="ar-SA"/>
      </w:rPr>
    </w:lvl>
    <w:lvl w:ilvl="6">
      <w:start w:val="0"/>
      <w:numFmt w:val="bullet"/>
      <w:lvlText w:val="•"/>
      <w:lvlJc w:val="left"/>
      <w:pPr>
        <w:ind w:left="2645" w:hanging="448"/>
      </w:pPr>
      <w:rPr>
        <w:rFonts w:hint="default"/>
        <w:lang w:val="en-US" w:eastAsia="en-US" w:bidi="ar-SA"/>
      </w:rPr>
    </w:lvl>
    <w:lvl w:ilvl="7">
      <w:start w:val="0"/>
      <w:numFmt w:val="bullet"/>
      <w:lvlText w:val="•"/>
      <w:lvlJc w:val="left"/>
      <w:pPr>
        <w:ind w:left="3009" w:hanging="448"/>
      </w:pPr>
      <w:rPr>
        <w:rFonts w:hint="default"/>
        <w:lang w:val="en-US" w:eastAsia="en-US" w:bidi="ar-SA"/>
      </w:rPr>
    </w:lvl>
    <w:lvl w:ilvl="8">
      <w:start w:val="0"/>
      <w:numFmt w:val="bullet"/>
      <w:lvlText w:val="•"/>
      <w:lvlJc w:val="left"/>
      <w:pPr>
        <w:ind w:left="3373" w:hanging="448"/>
      </w:pPr>
      <w:rPr>
        <w:rFonts w:hint="default"/>
        <w:lang w:val="en-US" w:eastAsia="en-US" w:bidi="ar-SA"/>
      </w:rPr>
    </w:lvl>
  </w:abstractNum>
  <w:abstractNum w:abstractNumId="8">
    <w:nsid w:val="2A97B6BD"/>
    <w:multiLevelType w:val="hybridMultilevel"/>
    <w:tmpl w:val="00000000"/>
    <w:lvl w:ilvl="0">
      <w:start w:val="2"/>
      <w:numFmt w:val="upperLetter"/>
      <w:lvlText w:val="%1"/>
      <w:lvlJc w:val="left"/>
      <w:pPr>
        <w:ind w:left="658" w:hanging="527"/>
        <w:jc w:val="left"/>
      </w:pPr>
      <w:rPr>
        <w:rFonts w:hint="default"/>
        <w:lang w:val="en-US" w:eastAsia="en-US" w:bidi="ar-SA"/>
      </w:rPr>
    </w:lvl>
    <w:lvl w:ilvl="1">
      <w:start w:val="1"/>
      <w:numFmt w:val="decimal"/>
      <w:lvlText w:val="%1.%2"/>
      <w:lvlJc w:val="left"/>
      <w:pPr>
        <w:ind w:left="658" w:hanging="527"/>
        <w:jc w:val="right"/>
      </w:pPr>
      <w:rPr>
        <w:rFonts w:ascii="黑体" w:eastAsia="黑体" w:hAnsi="黑体" w:cs="黑体" w:hint="default"/>
        <w:w w:val="100"/>
        <w:sz w:val="21"/>
        <w:szCs w:val="21"/>
        <w:lang w:val="en-US" w:eastAsia="en-US" w:bidi="ar-SA"/>
      </w:rPr>
    </w:lvl>
    <w:lvl w:ilvl="2">
      <w:start w:val="0"/>
      <w:numFmt w:val="bullet"/>
      <w:lvlText w:val="•"/>
      <w:lvlJc w:val="left"/>
      <w:pPr>
        <w:ind w:left="2565" w:hanging="527"/>
      </w:pPr>
      <w:rPr>
        <w:rFonts w:hint="default"/>
        <w:lang w:val="en-US" w:eastAsia="en-US" w:bidi="ar-SA"/>
      </w:rPr>
    </w:lvl>
    <w:lvl w:ilvl="3">
      <w:start w:val="0"/>
      <w:numFmt w:val="bullet"/>
      <w:lvlText w:val="•"/>
      <w:lvlJc w:val="left"/>
      <w:pPr>
        <w:ind w:left="3517" w:hanging="527"/>
      </w:pPr>
      <w:rPr>
        <w:rFonts w:hint="default"/>
        <w:lang w:val="en-US" w:eastAsia="en-US" w:bidi="ar-SA"/>
      </w:rPr>
    </w:lvl>
    <w:lvl w:ilvl="4">
      <w:start w:val="0"/>
      <w:numFmt w:val="bullet"/>
      <w:lvlText w:val="•"/>
      <w:lvlJc w:val="left"/>
      <w:pPr>
        <w:ind w:left="4470" w:hanging="527"/>
      </w:pPr>
      <w:rPr>
        <w:rFonts w:hint="default"/>
        <w:lang w:val="en-US" w:eastAsia="en-US" w:bidi="ar-SA"/>
      </w:rPr>
    </w:lvl>
    <w:lvl w:ilvl="5">
      <w:start w:val="0"/>
      <w:numFmt w:val="bullet"/>
      <w:lvlText w:val="•"/>
      <w:lvlJc w:val="left"/>
      <w:pPr>
        <w:ind w:left="5423" w:hanging="527"/>
      </w:pPr>
      <w:rPr>
        <w:rFonts w:hint="default"/>
        <w:lang w:val="en-US" w:eastAsia="en-US" w:bidi="ar-SA"/>
      </w:rPr>
    </w:lvl>
    <w:lvl w:ilvl="6">
      <w:start w:val="0"/>
      <w:numFmt w:val="bullet"/>
      <w:lvlText w:val="•"/>
      <w:lvlJc w:val="left"/>
      <w:pPr>
        <w:ind w:left="6375" w:hanging="527"/>
      </w:pPr>
      <w:rPr>
        <w:rFonts w:hint="default"/>
        <w:lang w:val="en-US" w:eastAsia="en-US" w:bidi="ar-SA"/>
      </w:rPr>
    </w:lvl>
    <w:lvl w:ilvl="7">
      <w:start w:val="0"/>
      <w:numFmt w:val="bullet"/>
      <w:lvlText w:val="•"/>
      <w:lvlJc w:val="left"/>
      <w:pPr>
        <w:ind w:left="7328" w:hanging="527"/>
      </w:pPr>
      <w:rPr>
        <w:rFonts w:hint="default"/>
        <w:lang w:val="en-US" w:eastAsia="en-US" w:bidi="ar-SA"/>
      </w:rPr>
    </w:lvl>
    <w:lvl w:ilvl="8">
      <w:start w:val="0"/>
      <w:numFmt w:val="bullet"/>
      <w:lvlText w:val="•"/>
      <w:lvlJc w:val="left"/>
      <w:pPr>
        <w:ind w:left="8281" w:hanging="527"/>
      </w:pPr>
      <w:rPr>
        <w:rFonts w:hint="default"/>
        <w:lang w:val="en-US" w:eastAsia="en-US" w:bidi="ar-SA"/>
      </w:rPr>
    </w:lvl>
  </w:abstractNum>
  <w:abstractNum w:abstractNumId="9">
    <w:nsid w:val="2E07B86C"/>
    <w:multiLevelType w:val="hybridMultilevel"/>
    <w:tmpl w:val="00000000"/>
    <w:lvl w:ilvl="0">
      <w:start w:val="1"/>
      <w:numFmt w:val="decimal"/>
      <w:lvlText w:val="（%1）"/>
      <w:lvlJc w:val="left"/>
      <w:pPr>
        <w:ind w:left="461" w:hanging="453"/>
        <w:jc w:val="left"/>
      </w:pPr>
      <w:rPr>
        <w:rFonts w:ascii="宋体" w:eastAsia="宋体" w:hAnsi="宋体" w:cs="宋体" w:hint="default"/>
        <w:w w:val="100"/>
        <w:sz w:val="16"/>
        <w:szCs w:val="16"/>
        <w:lang w:val="en-US" w:eastAsia="en-US" w:bidi="ar-SA"/>
      </w:rPr>
    </w:lvl>
    <w:lvl w:ilvl="1">
      <w:start w:val="0"/>
      <w:numFmt w:val="bullet"/>
      <w:lvlText w:val="•"/>
      <w:lvlJc w:val="left"/>
      <w:pPr>
        <w:ind w:left="824" w:hanging="453"/>
      </w:pPr>
      <w:rPr>
        <w:rFonts w:hint="default"/>
        <w:lang w:val="en-US" w:eastAsia="en-US" w:bidi="ar-SA"/>
      </w:rPr>
    </w:lvl>
    <w:lvl w:ilvl="2">
      <w:start w:val="0"/>
      <w:numFmt w:val="bullet"/>
      <w:lvlText w:val="•"/>
      <w:lvlJc w:val="left"/>
      <w:pPr>
        <w:ind w:left="1188" w:hanging="453"/>
      </w:pPr>
      <w:rPr>
        <w:rFonts w:hint="default"/>
        <w:lang w:val="en-US" w:eastAsia="en-US" w:bidi="ar-SA"/>
      </w:rPr>
    </w:lvl>
    <w:lvl w:ilvl="3">
      <w:start w:val="0"/>
      <w:numFmt w:val="bullet"/>
      <w:lvlText w:val="•"/>
      <w:lvlJc w:val="left"/>
      <w:pPr>
        <w:ind w:left="1552" w:hanging="453"/>
      </w:pPr>
      <w:rPr>
        <w:rFonts w:hint="default"/>
        <w:lang w:val="en-US" w:eastAsia="en-US" w:bidi="ar-SA"/>
      </w:rPr>
    </w:lvl>
    <w:lvl w:ilvl="4">
      <w:start w:val="0"/>
      <w:numFmt w:val="bullet"/>
      <w:lvlText w:val="•"/>
      <w:lvlJc w:val="left"/>
      <w:pPr>
        <w:ind w:left="1916" w:hanging="453"/>
      </w:pPr>
      <w:rPr>
        <w:rFonts w:hint="default"/>
        <w:lang w:val="en-US" w:eastAsia="en-US" w:bidi="ar-SA"/>
      </w:rPr>
    </w:lvl>
    <w:lvl w:ilvl="5">
      <w:start w:val="0"/>
      <w:numFmt w:val="bullet"/>
      <w:lvlText w:val="•"/>
      <w:lvlJc w:val="left"/>
      <w:pPr>
        <w:ind w:left="2281" w:hanging="453"/>
      </w:pPr>
      <w:rPr>
        <w:rFonts w:hint="default"/>
        <w:lang w:val="en-US" w:eastAsia="en-US" w:bidi="ar-SA"/>
      </w:rPr>
    </w:lvl>
    <w:lvl w:ilvl="6">
      <w:start w:val="0"/>
      <w:numFmt w:val="bullet"/>
      <w:lvlText w:val="•"/>
      <w:lvlJc w:val="left"/>
      <w:pPr>
        <w:ind w:left="2645" w:hanging="453"/>
      </w:pPr>
      <w:rPr>
        <w:rFonts w:hint="default"/>
        <w:lang w:val="en-US" w:eastAsia="en-US" w:bidi="ar-SA"/>
      </w:rPr>
    </w:lvl>
    <w:lvl w:ilvl="7">
      <w:start w:val="0"/>
      <w:numFmt w:val="bullet"/>
      <w:lvlText w:val="•"/>
      <w:lvlJc w:val="left"/>
      <w:pPr>
        <w:ind w:left="3009" w:hanging="453"/>
      </w:pPr>
      <w:rPr>
        <w:rFonts w:hint="default"/>
        <w:lang w:val="en-US" w:eastAsia="en-US" w:bidi="ar-SA"/>
      </w:rPr>
    </w:lvl>
    <w:lvl w:ilvl="8">
      <w:start w:val="0"/>
      <w:numFmt w:val="bullet"/>
      <w:lvlText w:val="•"/>
      <w:lvlJc w:val="left"/>
      <w:pPr>
        <w:ind w:left="3373" w:hanging="453"/>
      </w:pPr>
      <w:rPr>
        <w:rFonts w:hint="default"/>
        <w:lang w:val="en-US" w:eastAsia="en-US" w:bidi="ar-SA"/>
      </w:rPr>
    </w:lvl>
  </w:abstractNum>
  <w:abstractNum w:abstractNumId="10">
    <w:nsid w:val="303BA692"/>
    <w:multiLevelType w:val="hybridMultilevel"/>
    <w:tmpl w:val="00000000"/>
    <w:lvl w:ilvl="0">
      <w:start w:val="1"/>
      <w:numFmt w:val="decimal"/>
      <w:lvlText w:val="（%1）"/>
      <w:lvlJc w:val="left"/>
      <w:pPr>
        <w:ind w:left="461" w:hanging="453"/>
        <w:jc w:val="left"/>
      </w:pPr>
      <w:rPr>
        <w:rFonts w:ascii="宋体" w:eastAsia="宋体" w:hAnsi="宋体" w:cs="宋体" w:hint="default"/>
        <w:w w:val="100"/>
        <w:sz w:val="16"/>
        <w:szCs w:val="16"/>
        <w:lang w:val="en-US" w:eastAsia="en-US" w:bidi="ar-SA"/>
      </w:rPr>
    </w:lvl>
    <w:lvl w:ilvl="1">
      <w:start w:val="0"/>
      <w:numFmt w:val="bullet"/>
      <w:lvlText w:val="•"/>
      <w:lvlJc w:val="left"/>
      <w:pPr>
        <w:ind w:left="767" w:hanging="453"/>
      </w:pPr>
      <w:rPr>
        <w:rFonts w:hint="default"/>
        <w:lang w:val="en-US" w:eastAsia="en-US" w:bidi="ar-SA"/>
      </w:rPr>
    </w:lvl>
    <w:lvl w:ilvl="2">
      <w:start w:val="0"/>
      <w:numFmt w:val="bullet"/>
      <w:lvlText w:val="•"/>
      <w:lvlJc w:val="left"/>
      <w:pPr>
        <w:ind w:left="1075" w:hanging="453"/>
      </w:pPr>
      <w:rPr>
        <w:rFonts w:hint="default"/>
        <w:lang w:val="en-US" w:eastAsia="en-US" w:bidi="ar-SA"/>
      </w:rPr>
    </w:lvl>
    <w:lvl w:ilvl="3">
      <w:start w:val="0"/>
      <w:numFmt w:val="bullet"/>
      <w:lvlText w:val="•"/>
      <w:lvlJc w:val="left"/>
      <w:pPr>
        <w:ind w:left="1382" w:hanging="453"/>
      </w:pPr>
      <w:rPr>
        <w:rFonts w:hint="default"/>
        <w:lang w:val="en-US" w:eastAsia="en-US" w:bidi="ar-SA"/>
      </w:rPr>
    </w:lvl>
    <w:lvl w:ilvl="4">
      <w:start w:val="0"/>
      <w:numFmt w:val="bullet"/>
      <w:lvlText w:val="•"/>
      <w:lvlJc w:val="left"/>
      <w:pPr>
        <w:ind w:left="1690" w:hanging="453"/>
      </w:pPr>
      <w:rPr>
        <w:rFonts w:hint="default"/>
        <w:lang w:val="en-US" w:eastAsia="en-US" w:bidi="ar-SA"/>
      </w:rPr>
    </w:lvl>
    <w:lvl w:ilvl="5">
      <w:start w:val="0"/>
      <w:numFmt w:val="bullet"/>
      <w:lvlText w:val="•"/>
      <w:lvlJc w:val="left"/>
      <w:pPr>
        <w:ind w:left="1998" w:hanging="453"/>
      </w:pPr>
      <w:rPr>
        <w:rFonts w:hint="default"/>
        <w:lang w:val="en-US" w:eastAsia="en-US" w:bidi="ar-SA"/>
      </w:rPr>
    </w:lvl>
    <w:lvl w:ilvl="6">
      <w:start w:val="0"/>
      <w:numFmt w:val="bullet"/>
      <w:lvlText w:val="•"/>
      <w:lvlJc w:val="left"/>
      <w:pPr>
        <w:ind w:left="2305" w:hanging="453"/>
      </w:pPr>
      <w:rPr>
        <w:rFonts w:hint="default"/>
        <w:lang w:val="en-US" w:eastAsia="en-US" w:bidi="ar-SA"/>
      </w:rPr>
    </w:lvl>
    <w:lvl w:ilvl="7">
      <w:start w:val="0"/>
      <w:numFmt w:val="bullet"/>
      <w:lvlText w:val="•"/>
      <w:lvlJc w:val="left"/>
      <w:pPr>
        <w:ind w:left="2613" w:hanging="453"/>
      </w:pPr>
      <w:rPr>
        <w:rFonts w:hint="default"/>
        <w:lang w:val="en-US" w:eastAsia="en-US" w:bidi="ar-SA"/>
      </w:rPr>
    </w:lvl>
    <w:lvl w:ilvl="8">
      <w:start w:val="0"/>
      <w:numFmt w:val="bullet"/>
      <w:lvlText w:val="•"/>
      <w:lvlJc w:val="left"/>
      <w:pPr>
        <w:ind w:left="2920" w:hanging="453"/>
      </w:pPr>
      <w:rPr>
        <w:rFonts w:hint="default"/>
        <w:lang w:val="en-US" w:eastAsia="en-US" w:bidi="ar-SA"/>
      </w:rPr>
    </w:lvl>
  </w:abstractNum>
  <w:abstractNum w:abstractNumId="11">
    <w:nsid w:val="32E7A700"/>
    <w:multiLevelType w:val="hybridMultilevel"/>
    <w:tmpl w:val="00000000"/>
    <w:lvl w:ilvl="0">
      <w:start w:val="1"/>
      <w:numFmt w:val="decimal"/>
      <w:lvlText w:val="（%1）"/>
      <w:lvlJc w:val="left"/>
      <w:pPr>
        <w:ind w:left="9" w:hanging="459"/>
        <w:jc w:val="left"/>
      </w:pPr>
      <w:rPr>
        <w:rFonts w:ascii="宋体" w:eastAsia="宋体" w:hAnsi="宋体" w:cs="宋体" w:hint="default"/>
        <w:spacing w:val="0"/>
        <w:w w:val="100"/>
        <w:sz w:val="16"/>
        <w:szCs w:val="16"/>
        <w:lang w:val="en-US" w:eastAsia="en-US" w:bidi="ar-SA"/>
      </w:rPr>
    </w:lvl>
    <w:lvl w:ilvl="1">
      <w:start w:val="0"/>
      <w:numFmt w:val="bullet"/>
      <w:lvlText w:val="•"/>
      <w:lvlJc w:val="left"/>
      <w:pPr>
        <w:ind w:left="410" w:hanging="459"/>
      </w:pPr>
      <w:rPr>
        <w:rFonts w:hint="default"/>
        <w:lang w:val="en-US" w:eastAsia="en-US" w:bidi="ar-SA"/>
      </w:rPr>
    </w:lvl>
    <w:lvl w:ilvl="2">
      <w:start w:val="0"/>
      <w:numFmt w:val="bullet"/>
      <w:lvlText w:val="•"/>
      <w:lvlJc w:val="left"/>
      <w:pPr>
        <w:ind w:left="820" w:hanging="459"/>
      </w:pPr>
      <w:rPr>
        <w:rFonts w:hint="default"/>
        <w:lang w:val="en-US" w:eastAsia="en-US" w:bidi="ar-SA"/>
      </w:rPr>
    </w:lvl>
    <w:lvl w:ilvl="3">
      <w:start w:val="0"/>
      <w:numFmt w:val="bullet"/>
      <w:lvlText w:val="•"/>
      <w:lvlJc w:val="left"/>
      <w:pPr>
        <w:ind w:left="1230" w:hanging="459"/>
      </w:pPr>
      <w:rPr>
        <w:rFonts w:hint="default"/>
        <w:lang w:val="en-US" w:eastAsia="en-US" w:bidi="ar-SA"/>
      </w:rPr>
    </w:lvl>
    <w:lvl w:ilvl="4">
      <w:start w:val="0"/>
      <w:numFmt w:val="bullet"/>
      <w:lvlText w:val="•"/>
      <w:lvlJc w:val="left"/>
      <w:pPr>
        <w:ind w:left="1640" w:hanging="459"/>
      </w:pPr>
      <w:rPr>
        <w:rFonts w:hint="default"/>
        <w:lang w:val="en-US" w:eastAsia="en-US" w:bidi="ar-SA"/>
      </w:rPr>
    </w:lvl>
    <w:lvl w:ilvl="5">
      <w:start w:val="0"/>
      <w:numFmt w:val="bullet"/>
      <w:lvlText w:val="•"/>
      <w:lvlJc w:val="left"/>
      <w:pPr>
        <w:ind w:left="2051" w:hanging="459"/>
      </w:pPr>
      <w:rPr>
        <w:rFonts w:hint="default"/>
        <w:lang w:val="en-US" w:eastAsia="en-US" w:bidi="ar-SA"/>
      </w:rPr>
    </w:lvl>
    <w:lvl w:ilvl="6">
      <w:start w:val="0"/>
      <w:numFmt w:val="bullet"/>
      <w:lvlText w:val="•"/>
      <w:lvlJc w:val="left"/>
      <w:pPr>
        <w:ind w:left="2461" w:hanging="459"/>
      </w:pPr>
      <w:rPr>
        <w:rFonts w:hint="default"/>
        <w:lang w:val="en-US" w:eastAsia="en-US" w:bidi="ar-SA"/>
      </w:rPr>
    </w:lvl>
    <w:lvl w:ilvl="7">
      <w:start w:val="0"/>
      <w:numFmt w:val="bullet"/>
      <w:lvlText w:val="•"/>
      <w:lvlJc w:val="left"/>
      <w:pPr>
        <w:ind w:left="2871" w:hanging="459"/>
      </w:pPr>
      <w:rPr>
        <w:rFonts w:hint="default"/>
        <w:lang w:val="en-US" w:eastAsia="en-US" w:bidi="ar-SA"/>
      </w:rPr>
    </w:lvl>
    <w:lvl w:ilvl="8">
      <w:start w:val="0"/>
      <w:numFmt w:val="bullet"/>
      <w:lvlText w:val="•"/>
      <w:lvlJc w:val="left"/>
      <w:pPr>
        <w:ind w:left="3281" w:hanging="459"/>
      </w:pPr>
      <w:rPr>
        <w:rFonts w:hint="default"/>
        <w:lang w:val="en-US" w:eastAsia="en-US" w:bidi="ar-SA"/>
      </w:rPr>
    </w:lvl>
  </w:abstractNum>
  <w:abstractNum w:abstractNumId="12">
    <w:nsid w:val="3C132A11"/>
    <w:multiLevelType w:val="hybridMultilevel"/>
    <w:tmpl w:val="00000000"/>
    <w:lvl w:ilvl="0">
      <w:start w:val="1"/>
      <w:numFmt w:val="decimal"/>
      <w:lvlText w:val="（%1）"/>
      <w:lvlJc w:val="left"/>
      <w:pPr>
        <w:ind w:left="21"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428" w:hanging="448"/>
      </w:pPr>
      <w:rPr>
        <w:rFonts w:hint="default"/>
        <w:lang w:val="en-US" w:eastAsia="en-US" w:bidi="ar-SA"/>
      </w:rPr>
    </w:lvl>
    <w:lvl w:ilvl="2">
      <w:start w:val="0"/>
      <w:numFmt w:val="bullet"/>
      <w:lvlText w:val="•"/>
      <w:lvlJc w:val="left"/>
      <w:pPr>
        <w:ind w:left="836" w:hanging="448"/>
      </w:pPr>
      <w:rPr>
        <w:rFonts w:hint="default"/>
        <w:lang w:val="en-US" w:eastAsia="en-US" w:bidi="ar-SA"/>
      </w:rPr>
    </w:lvl>
    <w:lvl w:ilvl="3">
      <w:start w:val="0"/>
      <w:numFmt w:val="bullet"/>
      <w:lvlText w:val="•"/>
      <w:lvlJc w:val="left"/>
      <w:pPr>
        <w:ind w:left="1244" w:hanging="448"/>
      </w:pPr>
      <w:rPr>
        <w:rFonts w:hint="default"/>
        <w:lang w:val="en-US" w:eastAsia="en-US" w:bidi="ar-SA"/>
      </w:rPr>
    </w:lvl>
    <w:lvl w:ilvl="4">
      <w:start w:val="0"/>
      <w:numFmt w:val="bullet"/>
      <w:lvlText w:val="•"/>
      <w:lvlJc w:val="left"/>
      <w:pPr>
        <w:ind w:left="1652" w:hanging="448"/>
      </w:pPr>
      <w:rPr>
        <w:rFonts w:hint="default"/>
        <w:lang w:val="en-US" w:eastAsia="en-US" w:bidi="ar-SA"/>
      </w:rPr>
    </w:lvl>
    <w:lvl w:ilvl="5">
      <w:start w:val="0"/>
      <w:numFmt w:val="bullet"/>
      <w:lvlText w:val="•"/>
      <w:lvlJc w:val="left"/>
      <w:pPr>
        <w:ind w:left="2061" w:hanging="448"/>
      </w:pPr>
      <w:rPr>
        <w:rFonts w:hint="default"/>
        <w:lang w:val="en-US" w:eastAsia="en-US" w:bidi="ar-SA"/>
      </w:rPr>
    </w:lvl>
    <w:lvl w:ilvl="6">
      <w:start w:val="0"/>
      <w:numFmt w:val="bullet"/>
      <w:lvlText w:val="•"/>
      <w:lvlJc w:val="left"/>
      <w:pPr>
        <w:ind w:left="2469" w:hanging="448"/>
      </w:pPr>
      <w:rPr>
        <w:rFonts w:hint="default"/>
        <w:lang w:val="en-US" w:eastAsia="en-US" w:bidi="ar-SA"/>
      </w:rPr>
    </w:lvl>
    <w:lvl w:ilvl="7">
      <w:start w:val="0"/>
      <w:numFmt w:val="bullet"/>
      <w:lvlText w:val="•"/>
      <w:lvlJc w:val="left"/>
      <w:pPr>
        <w:ind w:left="2877" w:hanging="448"/>
      </w:pPr>
      <w:rPr>
        <w:rFonts w:hint="default"/>
        <w:lang w:val="en-US" w:eastAsia="en-US" w:bidi="ar-SA"/>
      </w:rPr>
    </w:lvl>
    <w:lvl w:ilvl="8">
      <w:start w:val="0"/>
      <w:numFmt w:val="bullet"/>
      <w:lvlText w:val="•"/>
      <w:lvlJc w:val="left"/>
      <w:pPr>
        <w:ind w:left="3285" w:hanging="448"/>
      </w:pPr>
      <w:rPr>
        <w:rFonts w:hint="default"/>
        <w:lang w:val="en-US" w:eastAsia="en-US" w:bidi="ar-SA"/>
      </w:rPr>
    </w:lvl>
  </w:abstractNum>
  <w:abstractNum w:abstractNumId="13">
    <w:nsid w:val="3DA945C8"/>
    <w:multiLevelType w:val="hybridMultilevel"/>
    <w:tmpl w:val="00000000"/>
    <w:lvl w:ilvl="0">
      <w:start w:val="1"/>
      <w:numFmt w:val="decimal"/>
      <w:lvlText w:val="（%1）"/>
      <w:lvlJc w:val="left"/>
      <w:pPr>
        <w:ind w:left="21"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385" w:hanging="448"/>
      </w:pPr>
      <w:rPr>
        <w:rFonts w:hint="default"/>
        <w:lang w:val="en-US" w:eastAsia="en-US" w:bidi="ar-SA"/>
      </w:rPr>
    </w:lvl>
    <w:lvl w:ilvl="2">
      <w:start w:val="0"/>
      <w:numFmt w:val="bullet"/>
      <w:lvlText w:val="•"/>
      <w:lvlJc w:val="left"/>
      <w:pPr>
        <w:ind w:left="751" w:hanging="448"/>
      </w:pPr>
      <w:rPr>
        <w:rFonts w:hint="default"/>
        <w:lang w:val="en-US" w:eastAsia="en-US" w:bidi="ar-SA"/>
      </w:rPr>
    </w:lvl>
    <w:lvl w:ilvl="3">
      <w:start w:val="0"/>
      <w:numFmt w:val="bullet"/>
      <w:lvlText w:val="•"/>
      <w:lvlJc w:val="left"/>
      <w:pPr>
        <w:ind w:left="1117" w:hanging="448"/>
      </w:pPr>
      <w:rPr>
        <w:rFonts w:hint="default"/>
        <w:lang w:val="en-US" w:eastAsia="en-US" w:bidi="ar-SA"/>
      </w:rPr>
    </w:lvl>
    <w:lvl w:ilvl="4">
      <w:start w:val="0"/>
      <w:numFmt w:val="bullet"/>
      <w:lvlText w:val="•"/>
      <w:lvlJc w:val="left"/>
      <w:pPr>
        <w:ind w:left="1483" w:hanging="448"/>
      </w:pPr>
      <w:rPr>
        <w:rFonts w:hint="default"/>
        <w:lang w:val="en-US" w:eastAsia="en-US" w:bidi="ar-SA"/>
      </w:rPr>
    </w:lvl>
    <w:lvl w:ilvl="5">
      <w:start w:val="0"/>
      <w:numFmt w:val="bullet"/>
      <w:lvlText w:val="•"/>
      <w:lvlJc w:val="left"/>
      <w:pPr>
        <w:ind w:left="1849" w:hanging="448"/>
      </w:pPr>
      <w:rPr>
        <w:rFonts w:hint="default"/>
        <w:lang w:val="en-US" w:eastAsia="en-US" w:bidi="ar-SA"/>
      </w:rPr>
    </w:lvl>
    <w:lvl w:ilvl="6">
      <w:start w:val="0"/>
      <w:numFmt w:val="bullet"/>
      <w:lvlText w:val="•"/>
      <w:lvlJc w:val="left"/>
      <w:pPr>
        <w:ind w:left="2214" w:hanging="448"/>
      </w:pPr>
      <w:rPr>
        <w:rFonts w:hint="default"/>
        <w:lang w:val="en-US" w:eastAsia="en-US" w:bidi="ar-SA"/>
      </w:rPr>
    </w:lvl>
    <w:lvl w:ilvl="7">
      <w:start w:val="0"/>
      <w:numFmt w:val="bullet"/>
      <w:lvlText w:val="•"/>
      <w:lvlJc w:val="left"/>
      <w:pPr>
        <w:ind w:left="2580" w:hanging="448"/>
      </w:pPr>
      <w:rPr>
        <w:rFonts w:hint="default"/>
        <w:lang w:val="en-US" w:eastAsia="en-US" w:bidi="ar-SA"/>
      </w:rPr>
    </w:lvl>
    <w:lvl w:ilvl="8">
      <w:start w:val="0"/>
      <w:numFmt w:val="bullet"/>
      <w:lvlText w:val="•"/>
      <w:lvlJc w:val="left"/>
      <w:pPr>
        <w:ind w:left="2946" w:hanging="448"/>
      </w:pPr>
      <w:rPr>
        <w:rFonts w:hint="default"/>
        <w:lang w:val="en-US" w:eastAsia="en-US" w:bidi="ar-SA"/>
      </w:rPr>
    </w:lvl>
  </w:abstractNum>
  <w:abstractNum w:abstractNumId="14">
    <w:nsid w:val="3E142BA2"/>
    <w:multiLevelType w:val="hybridMultilevel"/>
    <w:tmpl w:val="00000000"/>
    <w:lvl w:ilvl="0">
      <w:start w:val="1"/>
      <w:numFmt w:val="decimal"/>
      <w:lvlText w:val="（%1）"/>
      <w:lvlJc w:val="left"/>
      <w:pPr>
        <w:ind w:left="470"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785" w:hanging="448"/>
      </w:pPr>
      <w:rPr>
        <w:rFonts w:hint="default"/>
        <w:lang w:val="en-US" w:eastAsia="en-US" w:bidi="ar-SA"/>
      </w:rPr>
    </w:lvl>
    <w:lvl w:ilvl="2">
      <w:start w:val="0"/>
      <w:numFmt w:val="bullet"/>
      <w:lvlText w:val="•"/>
      <w:lvlJc w:val="left"/>
      <w:pPr>
        <w:ind w:left="1091" w:hanging="448"/>
      </w:pPr>
      <w:rPr>
        <w:rFonts w:hint="default"/>
        <w:lang w:val="en-US" w:eastAsia="en-US" w:bidi="ar-SA"/>
      </w:rPr>
    </w:lvl>
    <w:lvl w:ilvl="3">
      <w:start w:val="0"/>
      <w:numFmt w:val="bullet"/>
      <w:lvlText w:val="•"/>
      <w:lvlJc w:val="left"/>
      <w:pPr>
        <w:ind w:left="1396" w:hanging="448"/>
      </w:pPr>
      <w:rPr>
        <w:rFonts w:hint="default"/>
        <w:lang w:val="en-US" w:eastAsia="en-US" w:bidi="ar-SA"/>
      </w:rPr>
    </w:lvl>
    <w:lvl w:ilvl="4">
      <w:start w:val="0"/>
      <w:numFmt w:val="bullet"/>
      <w:lvlText w:val="•"/>
      <w:lvlJc w:val="left"/>
      <w:pPr>
        <w:ind w:left="1702" w:hanging="448"/>
      </w:pPr>
      <w:rPr>
        <w:rFonts w:hint="default"/>
        <w:lang w:val="en-US" w:eastAsia="en-US" w:bidi="ar-SA"/>
      </w:rPr>
    </w:lvl>
    <w:lvl w:ilvl="5">
      <w:start w:val="0"/>
      <w:numFmt w:val="bullet"/>
      <w:lvlText w:val="•"/>
      <w:lvlJc w:val="left"/>
      <w:pPr>
        <w:ind w:left="2008" w:hanging="448"/>
      </w:pPr>
      <w:rPr>
        <w:rFonts w:hint="default"/>
        <w:lang w:val="en-US" w:eastAsia="en-US" w:bidi="ar-SA"/>
      </w:rPr>
    </w:lvl>
    <w:lvl w:ilvl="6">
      <w:start w:val="0"/>
      <w:numFmt w:val="bullet"/>
      <w:lvlText w:val="•"/>
      <w:lvlJc w:val="left"/>
      <w:pPr>
        <w:ind w:left="2313" w:hanging="448"/>
      </w:pPr>
      <w:rPr>
        <w:rFonts w:hint="default"/>
        <w:lang w:val="en-US" w:eastAsia="en-US" w:bidi="ar-SA"/>
      </w:rPr>
    </w:lvl>
    <w:lvl w:ilvl="7">
      <w:start w:val="0"/>
      <w:numFmt w:val="bullet"/>
      <w:lvlText w:val="•"/>
      <w:lvlJc w:val="left"/>
      <w:pPr>
        <w:ind w:left="2619" w:hanging="448"/>
      </w:pPr>
      <w:rPr>
        <w:rFonts w:hint="default"/>
        <w:lang w:val="en-US" w:eastAsia="en-US" w:bidi="ar-SA"/>
      </w:rPr>
    </w:lvl>
    <w:lvl w:ilvl="8">
      <w:start w:val="0"/>
      <w:numFmt w:val="bullet"/>
      <w:lvlText w:val="•"/>
      <w:lvlJc w:val="left"/>
      <w:pPr>
        <w:ind w:left="2924" w:hanging="448"/>
      </w:pPr>
      <w:rPr>
        <w:rFonts w:hint="default"/>
        <w:lang w:val="en-US" w:eastAsia="en-US" w:bidi="ar-SA"/>
      </w:rPr>
    </w:lvl>
  </w:abstractNum>
  <w:abstractNum w:abstractNumId="15">
    <w:nsid w:val="55254880"/>
    <w:multiLevelType w:val="hybridMultilevel"/>
    <w:tmpl w:val="00000000"/>
    <w:lvl w:ilvl="0">
      <w:start w:val="5"/>
      <w:numFmt w:val="decimal"/>
      <w:lvlText w:val="%1"/>
      <w:lvlJc w:val="left"/>
      <w:pPr>
        <w:ind w:left="132" w:hanging="735"/>
        <w:jc w:val="left"/>
      </w:pPr>
      <w:rPr>
        <w:rFonts w:hint="default"/>
        <w:lang w:val="en-US" w:eastAsia="en-US" w:bidi="ar-SA"/>
      </w:rPr>
    </w:lvl>
    <w:lvl w:ilvl="1">
      <w:start w:val="4"/>
      <w:numFmt w:val="decimal"/>
      <w:lvlText w:val="%1.%2"/>
      <w:lvlJc w:val="left"/>
      <w:pPr>
        <w:ind w:left="132" w:hanging="735"/>
        <w:jc w:val="left"/>
      </w:pPr>
      <w:rPr>
        <w:rFonts w:hint="default"/>
        <w:lang w:val="en-US" w:eastAsia="en-US" w:bidi="ar-SA"/>
      </w:rPr>
    </w:lvl>
    <w:lvl w:ilvl="2">
      <w:start w:val="1"/>
      <w:numFmt w:val="decimal"/>
      <w:lvlText w:val="%1.%2.%3"/>
      <w:lvlJc w:val="left"/>
      <w:pPr>
        <w:ind w:left="132" w:hanging="735"/>
        <w:jc w:val="left"/>
      </w:pPr>
      <w:rPr>
        <w:rFonts w:ascii="黑体" w:eastAsia="黑体" w:hAnsi="黑体" w:cs="黑体" w:hint="default"/>
        <w:w w:val="100"/>
        <w:sz w:val="21"/>
        <w:szCs w:val="21"/>
        <w:lang w:val="en-US" w:eastAsia="en-US" w:bidi="ar-SA"/>
      </w:rPr>
    </w:lvl>
    <w:lvl w:ilvl="3">
      <w:start w:val="0"/>
      <w:numFmt w:val="bullet"/>
      <w:lvlText w:val="•"/>
      <w:lvlJc w:val="left"/>
      <w:pPr>
        <w:ind w:left="3153" w:hanging="735"/>
      </w:pPr>
      <w:rPr>
        <w:rFonts w:hint="default"/>
        <w:lang w:val="en-US" w:eastAsia="en-US" w:bidi="ar-SA"/>
      </w:rPr>
    </w:lvl>
    <w:lvl w:ilvl="4">
      <w:start w:val="0"/>
      <w:numFmt w:val="bullet"/>
      <w:lvlText w:val="•"/>
      <w:lvlJc w:val="left"/>
      <w:pPr>
        <w:ind w:left="4158" w:hanging="735"/>
      </w:pPr>
      <w:rPr>
        <w:rFonts w:hint="default"/>
        <w:lang w:val="en-US" w:eastAsia="en-US" w:bidi="ar-SA"/>
      </w:rPr>
    </w:lvl>
    <w:lvl w:ilvl="5">
      <w:start w:val="0"/>
      <w:numFmt w:val="bullet"/>
      <w:lvlText w:val="•"/>
      <w:lvlJc w:val="left"/>
      <w:pPr>
        <w:ind w:left="5163" w:hanging="735"/>
      </w:pPr>
      <w:rPr>
        <w:rFonts w:hint="default"/>
        <w:lang w:val="en-US" w:eastAsia="en-US" w:bidi="ar-SA"/>
      </w:rPr>
    </w:lvl>
    <w:lvl w:ilvl="6">
      <w:start w:val="0"/>
      <w:numFmt w:val="bullet"/>
      <w:lvlText w:val="•"/>
      <w:lvlJc w:val="left"/>
      <w:pPr>
        <w:ind w:left="6167" w:hanging="735"/>
      </w:pPr>
      <w:rPr>
        <w:rFonts w:hint="default"/>
        <w:lang w:val="en-US" w:eastAsia="en-US" w:bidi="ar-SA"/>
      </w:rPr>
    </w:lvl>
    <w:lvl w:ilvl="7">
      <w:start w:val="0"/>
      <w:numFmt w:val="bullet"/>
      <w:lvlText w:val="•"/>
      <w:lvlJc w:val="left"/>
      <w:pPr>
        <w:ind w:left="7172" w:hanging="735"/>
      </w:pPr>
      <w:rPr>
        <w:rFonts w:hint="default"/>
        <w:lang w:val="en-US" w:eastAsia="en-US" w:bidi="ar-SA"/>
      </w:rPr>
    </w:lvl>
    <w:lvl w:ilvl="8">
      <w:start w:val="0"/>
      <w:numFmt w:val="bullet"/>
      <w:lvlText w:val="•"/>
      <w:lvlJc w:val="left"/>
      <w:pPr>
        <w:ind w:left="8177" w:hanging="735"/>
      </w:pPr>
      <w:rPr>
        <w:rFonts w:hint="default"/>
        <w:lang w:val="en-US" w:eastAsia="en-US" w:bidi="ar-SA"/>
      </w:rPr>
    </w:lvl>
  </w:abstractNum>
  <w:abstractNum w:abstractNumId="16">
    <w:nsid w:val="571B2F11"/>
    <w:multiLevelType w:val="hybridMultilevel"/>
    <w:tmpl w:val="00000000"/>
    <w:lvl w:ilvl="0">
      <w:start w:val="1"/>
      <w:numFmt w:val="decimal"/>
      <w:lvlText w:val="（%1）"/>
      <w:lvlJc w:val="left"/>
      <w:pPr>
        <w:ind w:left="467"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824" w:hanging="448"/>
      </w:pPr>
      <w:rPr>
        <w:rFonts w:hint="default"/>
        <w:lang w:val="en-US" w:eastAsia="en-US" w:bidi="ar-SA"/>
      </w:rPr>
    </w:lvl>
    <w:lvl w:ilvl="2">
      <w:start w:val="0"/>
      <w:numFmt w:val="bullet"/>
      <w:lvlText w:val="•"/>
      <w:lvlJc w:val="left"/>
      <w:pPr>
        <w:ind w:left="1188" w:hanging="448"/>
      </w:pPr>
      <w:rPr>
        <w:rFonts w:hint="default"/>
        <w:lang w:val="en-US" w:eastAsia="en-US" w:bidi="ar-SA"/>
      </w:rPr>
    </w:lvl>
    <w:lvl w:ilvl="3">
      <w:start w:val="0"/>
      <w:numFmt w:val="bullet"/>
      <w:lvlText w:val="•"/>
      <w:lvlJc w:val="left"/>
      <w:pPr>
        <w:ind w:left="1552" w:hanging="448"/>
      </w:pPr>
      <w:rPr>
        <w:rFonts w:hint="default"/>
        <w:lang w:val="en-US" w:eastAsia="en-US" w:bidi="ar-SA"/>
      </w:rPr>
    </w:lvl>
    <w:lvl w:ilvl="4">
      <w:start w:val="0"/>
      <w:numFmt w:val="bullet"/>
      <w:lvlText w:val="•"/>
      <w:lvlJc w:val="left"/>
      <w:pPr>
        <w:ind w:left="1916" w:hanging="448"/>
      </w:pPr>
      <w:rPr>
        <w:rFonts w:hint="default"/>
        <w:lang w:val="en-US" w:eastAsia="en-US" w:bidi="ar-SA"/>
      </w:rPr>
    </w:lvl>
    <w:lvl w:ilvl="5">
      <w:start w:val="0"/>
      <w:numFmt w:val="bullet"/>
      <w:lvlText w:val="•"/>
      <w:lvlJc w:val="left"/>
      <w:pPr>
        <w:ind w:left="2280" w:hanging="448"/>
      </w:pPr>
      <w:rPr>
        <w:rFonts w:hint="default"/>
        <w:lang w:val="en-US" w:eastAsia="en-US" w:bidi="ar-SA"/>
      </w:rPr>
    </w:lvl>
    <w:lvl w:ilvl="6">
      <w:start w:val="0"/>
      <w:numFmt w:val="bullet"/>
      <w:lvlText w:val="•"/>
      <w:lvlJc w:val="left"/>
      <w:pPr>
        <w:ind w:left="2644" w:hanging="448"/>
      </w:pPr>
      <w:rPr>
        <w:rFonts w:hint="default"/>
        <w:lang w:val="en-US" w:eastAsia="en-US" w:bidi="ar-SA"/>
      </w:rPr>
    </w:lvl>
    <w:lvl w:ilvl="7">
      <w:start w:val="0"/>
      <w:numFmt w:val="bullet"/>
      <w:lvlText w:val="•"/>
      <w:lvlJc w:val="left"/>
      <w:pPr>
        <w:ind w:left="3008" w:hanging="448"/>
      </w:pPr>
      <w:rPr>
        <w:rFonts w:hint="default"/>
        <w:lang w:val="en-US" w:eastAsia="en-US" w:bidi="ar-SA"/>
      </w:rPr>
    </w:lvl>
    <w:lvl w:ilvl="8">
      <w:start w:val="0"/>
      <w:numFmt w:val="bullet"/>
      <w:lvlText w:val="•"/>
      <w:lvlJc w:val="left"/>
      <w:pPr>
        <w:ind w:left="3372" w:hanging="448"/>
      </w:pPr>
      <w:rPr>
        <w:rFonts w:hint="default"/>
        <w:lang w:val="en-US" w:eastAsia="en-US" w:bidi="ar-SA"/>
      </w:rPr>
    </w:lvl>
  </w:abstractNum>
  <w:abstractNum w:abstractNumId="17">
    <w:nsid w:val="5D353206"/>
    <w:multiLevelType w:val="hybridMultilevel"/>
    <w:tmpl w:val="00000000"/>
    <w:lvl w:ilvl="0">
      <w:start w:val="1"/>
      <w:numFmt w:val="decimal"/>
      <w:lvlText w:val="（%1）"/>
      <w:lvlJc w:val="left"/>
      <w:pPr>
        <w:ind w:left="467"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824" w:hanging="448"/>
      </w:pPr>
      <w:rPr>
        <w:rFonts w:hint="default"/>
        <w:lang w:val="en-US" w:eastAsia="en-US" w:bidi="ar-SA"/>
      </w:rPr>
    </w:lvl>
    <w:lvl w:ilvl="2">
      <w:start w:val="0"/>
      <w:numFmt w:val="bullet"/>
      <w:lvlText w:val="•"/>
      <w:lvlJc w:val="left"/>
      <w:pPr>
        <w:ind w:left="1188" w:hanging="448"/>
      </w:pPr>
      <w:rPr>
        <w:rFonts w:hint="default"/>
        <w:lang w:val="en-US" w:eastAsia="en-US" w:bidi="ar-SA"/>
      </w:rPr>
    </w:lvl>
    <w:lvl w:ilvl="3">
      <w:start w:val="0"/>
      <w:numFmt w:val="bullet"/>
      <w:lvlText w:val="•"/>
      <w:lvlJc w:val="left"/>
      <w:pPr>
        <w:ind w:left="1552" w:hanging="448"/>
      </w:pPr>
      <w:rPr>
        <w:rFonts w:hint="default"/>
        <w:lang w:val="en-US" w:eastAsia="en-US" w:bidi="ar-SA"/>
      </w:rPr>
    </w:lvl>
    <w:lvl w:ilvl="4">
      <w:start w:val="0"/>
      <w:numFmt w:val="bullet"/>
      <w:lvlText w:val="•"/>
      <w:lvlJc w:val="left"/>
      <w:pPr>
        <w:ind w:left="1916" w:hanging="448"/>
      </w:pPr>
      <w:rPr>
        <w:rFonts w:hint="default"/>
        <w:lang w:val="en-US" w:eastAsia="en-US" w:bidi="ar-SA"/>
      </w:rPr>
    </w:lvl>
    <w:lvl w:ilvl="5">
      <w:start w:val="0"/>
      <w:numFmt w:val="bullet"/>
      <w:lvlText w:val="•"/>
      <w:lvlJc w:val="left"/>
      <w:pPr>
        <w:ind w:left="2280" w:hanging="448"/>
      </w:pPr>
      <w:rPr>
        <w:rFonts w:hint="default"/>
        <w:lang w:val="en-US" w:eastAsia="en-US" w:bidi="ar-SA"/>
      </w:rPr>
    </w:lvl>
    <w:lvl w:ilvl="6">
      <w:start w:val="0"/>
      <w:numFmt w:val="bullet"/>
      <w:lvlText w:val="•"/>
      <w:lvlJc w:val="left"/>
      <w:pPr>
        <w:ind w:left="2644" w:hanging="448"/>
      </w:pPr>
      <w:rPr>
        <w:rFonts w:hint="default"/>
        <w:lang w:val="en-US" w:eastAsia="en-US" w:bidi="ar-SA"/>
      </w:rPr>
    </w:lvl>
    <w:lvl w:ilvl="7">
      <w:start w:val="0"/>
      <w:numFmt w:val="bullet"/>
      <w:lvlText w:val="•"/>
      <w:lvlJc w:val="left"/>
      <w:pPr>
        <w:ind w:left="3008" w:hanging="448"/>
      </w:pPr>
      <w:rPr>
        <w:rFonts w:hint="default"/>
        <w:lang w:val="en-US" w:eastAsia="en-US" w:bidi="ar-SA"/>
      </w:rPr>
    </w:lvl>
    <w:lvl w:ilvl="8">
      <w:start w:val="0"/>
      <w:numFmt w:val="bullet"/>
      <w:lvlText w:val="•"/>
      <w:lvlJc w:val="left"/>
      <w:pPr>
        <w:ind w:left="3372" w:hanging="448"/>
      </w:pPr>
      <w:rPr>
        <w:rFonts w:hint="default"/>
        <w:lang w:val="en-US" w:eastAsia="en-US" w:bidi="ar-SA"/>
      </w:rPr>
    </w:lvl>
  </w:abstractNum>
  <w:abstractNum w:abstractNumId="18">
    <w:nsid w:val="5E56CBC7"/>
    <w:multiLevelType w:val="hybridMultilevel"/>
    <w:tmpl w:val="00000000"/>
    <w:lvl w:ilvl="0">
      <w:start w:val="1"/>
      <w:numFmt w:val="decimal"/>
      <w:lvlText w:val="（%1）"/>
      <w:lvlJc w:val="left"/>
      <w:pPr>
        <w:ind w:left="9" w:hanging="459"/>
        <w:jc w:val="left"/>
      </w:pPr>
      <w:rPr>
        <w:rFonts w:ascii="宋体" w:eastAsia="宋体" w:hAnsi="宋体" w:cs="宋体" w:hint="default"/>
        <w:spacing w:val="0"/>
        <w:w w:val="100"/>
        <w:sz w:val="16"/>
        <w:szCs w:val="16"/>
        <w:lang w:val="en-US" w:eastAsia="en-US" w:bidi="ar-SA"/>
      </w:rPr>
    </w:lvl>
    <w:lvl w:ilvl="1">
      <w:start w:val="0"/>
      <w:numFmt w:val="bullet"/>
      <w:lvlText w:val="•"/>
      <w:lvlJc w:val="left"/>
      <w:pPr>
        <w:ind w:left="410" w:hanging="459"/>
      </w:pPr>
      <w:rPr>
        <w:rFonts w:hint="default"/>
        <w:lang w:val="en-US" w:eastAsia="en-US" w:bidi="ar-SA"/>
      </w:rPr>
    </w:lvl>
    <w:lvl w:ilvl="2">
      <w:start w:val="0"/>
      <w:numFmt w:val="bullet"/>
      <w:lvlText w:val="•"/>
      <w:lvlJc w:val="left"/>
      <w:pPr>
        <w:ind w:left="820" w:hanging="459"/>
      </w:pPr>
      <w:rPr>
        <w:rFonts w:hint="default"/>
        <w:lang w:val="en-US" w:eastAsia="en-US" w:bidi="ar-SA"/>
      </w:rPr>
    </w:lvl>
    <w:lvl w:ilvl="3">
      <w:start w:val="0"/>
      <w:numFmt w:val="bullet"/>
      <w:lvlText w:val="•"/>
      <w:lvlJc w:val="left"/>
      <w:pPr>
        <w:ind w:left="1230" w:hanging="459"/>
      </w:pPr>
      <w:rPr>
        <w:rFonts w:hint="default"/>
        <w:lang w:val="en-US" w:eastAsia="en-US" w:bidi="ar-SA"/>
      </w:rPr>
    </w:lvl>
    <w:lvl w:ilvl="4">
      <w:start w:val="0"/>
      <w:numFmt w:val="bullet"/>
      <w:lvlText w:val="•"/>
      <w:lvlJc w:val="left"/>
      <w:pPr>
        <w:ind w:left="1640" w:hanging="459"/>
      </w:pPr>
      <w:rPr>
        <w:rFonts w:hint="default"/>
        <w:lang w:val="en-US" w:eastAsia="en-US" w:bidi="ar-SA"/>
      </w:rPr>
    </w:lvl>
    <w:lvl w:ilvl="5">
      <w:start w:val="0"/>
      <w:numFmt w:val="bullet"/>
      <w:lvlText w:val="•"/>
      <w:lvlJc w:val="left"/>
      <w:pPr>
        <w:ind w:left="2051" w:hanging="459"/>
      </w:pPr>
      <w:rPr>
        <w:rFonts w:hint="default"/>
        <w:lang w:val="en-US" w:eastAsia="en-US" w:bidi="ar-SA"/>
      </w:rPr>
    </w:lvl>
    <w:lvl w:ilvl="6">
      <w:start w:val="0"/>
      <w:numFmt w:val="bullet"/>
      <w:lvlText w:val="•"/>
      <w:lvlJc w:val="left"/>
      <w:pPr>
        <w:ind w:left="2461" w:hanging="459"/>
      </w:pPr>
      <w:rPr>
        <w:rFonts w:hint="default"/>
        <w:lang w:val="en-US" w:eastAsia="en-US" w:bidi="ar-SA"/>
      </w:rPr>
    </w:lvl>
    <w:lvl w:ilvl="7">
      <w:start w:val="0"/>
      <w:numFmt w:val="bullet"/>
      <w:lvlText w:val="•"/>
      <w:lvlJc w:val="left"/>
      <w:pPr>
        <w:ind w:left="2871" w:hanging="459"/>
      </w:pPr>
      <w:rPr>
        <w:rFonts w:hint="default"/>
        <w:lang w:val="en-US" w:eastAsia="en-US" w:bidi="ar-SA"/>
      </w:rPr>
    </w:lvl>
    <w:lvl w:ilvl="8">
      <w:start w:val="0"/>
      <w:numFmt w:val="bullet"/>
      <w:lvlText w:val="•"/>
      <w:lvlJc w:val="left"/>
      <w:pPr>
        <w:ind w:left="3281" w:hanging="459"/>
      </w:pPr>
      <w:rPr>
        <w:rFonts w:hint="default"/>
        <w:lang w:val="en-US" w:eastAsia="en-US" w:bidi="ar-SA"/>
      </w:rPr>
    </w:lvl>
  </w:abstractNum>
  <w:abstractNum w:abstractNumId="19">
    <w:nsid w:val="649DCA66"/>
    <w:multiLevelType w:val="hybridMultilevel"/>
    <w:tmpl w:val="00000000"/>
    <w:lvl w:ilvl="0">
      <w:start w:val="1"/>
      <w:numFmt w:val="decimal"/>
      <w:lvlText w:val="（%1）"/>
      <w:lvlJc w:val="left"/>
      <w:pPr>
        <w:ind w:left="462" w:hanging="453"/>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824" w:hanging="453"/>
      </w:pPr>
      <w:rPr>
        <w:rFonts w:hint="default"/>
        <w:lang w:val="en-US" w:eastAsia="en-US" w:bidi="ar-SA"/>
      </w:rPr>
    </w:lvl>
    <w:lvl w:ilvl="2">
      <w:start w:val="0"/>
      <w:numFmt w:val="bullet"/>
      <w:lvlText w:val="•"/>
      <w:lvlJc w:val="left"/>
      <w:pPr>
        <w:ind w:left="1188" w:hanging="453"/>
      </w:pPr>
      <w:rPr>
        <w:rFonts w:hint="default"/>
        <w:lang w:val="en-US" w:eastAsia="en-US" w:bidi="ar-SA"/>
      </w:rPr>
    </w:lvl>
    <w:lvl w:ilvl="3">
      <w:start w:val="0"/>
      <w:numFmt w:val="bullet"/>
      <w:lvlText w:val="•"/>
      <w:lvlJc w:val="left"/>
      <w:pPr>
        <w:ind w:left="1552" w:hanging="453"/>
      </w:pPr>
      <w:rPr>
        <w:rFonts w:hint="default"/>
        <w:lang w:val="en-US" w:eastAsia="en-US" w:bidi="ar-SA"/>
      </w:rPr>
    </w:lvl>
    <w:lvl w:ilvl="4">
      <w:start w:val="0"/>
      <w:numFmt w:val="bullet"/>
      <w:lvlText w:val="•"/>
      <w:lvlJc w:val="left"/>
      <w:pPr>
        <w:ind w:left="1916" w:hanging="453"/>
      </w:pPr>
      <w:rPr>
        <w:rFonts w:hint="default"/>
        <w:lang w:val="en-US" w:eastAsia="en-US" w:bidi="ar-SA"/>
      </w:rPr>
    </w:lvl>
    <w:lvl w:ilvl="5">
      <w:start w:val="0"/>
      <w:numFmt w:val="bullet"/>
      <w:lvlText w:val="•"/>
      <w:lvlJc w:val="left"/>
      <w:pPr>
        <w:ind w:left="2281" w:hanging="453"/>
      </w:pPr>
      <w:rPr>
        <w:rFonts w:hint="default"/>
        <w:lang w:val="en-US" w:eastAsia="en-US" w:bidi="ar-SA"/>
      </w:rPr>
    </w:lvl>
    <w:lvl w:ilvl="6">
      <w:start w:val="0"/>
      <w:numFmt w:val="bullet"/>
      <w:lvlText w:val="•"/>
      <w:lvlJc w:val="left"/>
      <w:pPr>
        <w:ind w:left="2645" w:hanging="453"/>
      </w:pPr>
      <w:rPr>
        <w:rFonts w:hint="default"/>
        <w:lang w:val="en-US" w:eastAsia="en-US" w:bidi="ar-SA"/>
      </w:rPr>
    </w:lvl>
    <w:lvl w:ilvl="7">
      <w:start w:val="0"/>
      <w:numFmt w:val="bullet"/>
      <w:lvlText w:val="•"/>
      <w:lvlJc w:val="left"/>
      <w:pPr>
        <w:ind w:left="3009" w:hanging="453"/>
      </w:pPr>
      <w:rPr>
        <w:rFonts w:hint="default"/>
        <w:lang w:val="en-US" w:eastAsia="en-US" w:bidi="ar-SA"/>
      </w:rPr>
    </w:lvl>
    <w:lvl w:ilvl="8">
      <w:start w:val="0"/>
      <w:numFmt w:val="bullet"/>
      <w:lvlText w:val="•"/>
      <w:lvlJc w:val="left"/>
      <w:pPr>
        <w:ind w:left="3373" w:hanging="453"/>
      </w:pPr>
      <w:rPr>
        <w:rFonts w:hint="default"/>
        <w:lang w:val="en-US" w:eastAsia="en-US" w:bidi="ar-SA"/>
      </w:rPr>
    </w:lvl>
  </w:abstractNum>
  <w:abstractNum w:abstractNumId="20">
    <w:nsid w:val="666B2DAA"/>
    <w:multiLevelType w:val="hybridMultilevel"/>
    <w:tmpl w:val="00000000"/>
    <w:lvl w:ilvl="0">
      <w:start w:val="1"/>
      <w:numFmt w:val="decimal"/>
      <w:lvlText w:val="（%1）"/>
      <w:lvlJc w:val="left"/>
      <w:pPr>
        <w:ind w:left="469"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767" w:hanging="448"/>
      </w:pPr>
      <w:rPr>
        <w:rFonts w:hint="default"/>
        <w:lang w:val="en-US" w:eastAsia="en-US" w:bidi="ar-SA"/>
      </w:rPr>
    </w:lvl>
    <w:lvl w:ilvl="2">
      <w:start w:val="0"/>
      <w:numFmt w:val="bullet"/>
      <w:lvlText w:val="•"/>
      <w:lvlJc w:val="left"/>
      <w:pPr>
        <w:ind w:left="1075" w:hanging="448"/>
      </w:pPr>
      <w:rPr>
        <w:rFonts w:hint="default"/>
        <w:lang w:val="en-US" w:eastAsia="en-US" w:bidi="ar-SA"/>
      </w:rPr>
    </w:lvl>
    <w:lvl w:ilvl="3">
      <w:start w:val="0"/>
      <w:numFmt w:val="bullet"/>
      <w:lvlText w:val="•"/>
      <w:lvlJc w:val="left"/>
      <w:pPr>
        <w:ind w:left="1382" w:hanging="448"/>
      </w:pPr>
      <w:rPr>
        <w:rFonts w:hint="default"/>
        <w:lang w:val="en-US" w:eastAsia="en-US" w:bidi="ar-SA"/>
      </w:rPr>
    </w:lvl>
    <w:lvl w:ilvl="4">
      <w:start w:val="0"/>
      <w:numFmt w:val="bullet"/>
      <w:lvlText w:val="•"/>
      <w:lvlJc w:val="left"/>
      <w:pPr>
        <w:ind w:left="1690" w:hanging="448"/>
      </w:pPr>
      <w:rPr>
        <w:rFonts w:hint="default"/>
        <w:lang w:val="en-US" w:eastAsia="en-US" w:bidi="ar-SA"/>
      </w:rPr>
    </w:lvl>
    <w:lvl w:ilvl="5">
      <w:start w:val="0"/>
      <w:numFmt w:val="bullet"/>
      <w:lvlText w:val="•"/>
      <w:lvlJc w:val="left"/>
      <w:pPr>
        <w:ind w:left="1997" w:hanging="448"/>
      </w:pPr>
      <w:rPr>
        <w:rFonts w:hint="default"/>
        <w:lang w:val="en-US" w:eastAsia="en-US" w:bidi="ar-SA"/>
      </w:rPr>
    </w:lvl>
    <w:lvl w:ilvl="6">
      <w:start w:val="0"/>
      <w:numFmt w:val="bullet"/>
      <w:lvlText w:val="•"/>
      <w:lvlJc w:val="left"/>
      <w:pPr>
        <w:ind w:left="2305" w:hanging="448"/>
      </w:pPr>
      <w:rPr>
        <w:rFonts w:hint="default"/>
        <w:lang w:val="en-US" w:eastAsia="en-US" w:bidi="ar-SA"/>
      </w:rPr>
    </w:lvl>
    <w:lvl w:ilvl="7">
      <w:start w:val="0"/>
      <w:numFmt w:val="bullet"/>
      <w:lvlText w:val="•"/>
      <w:lvlJc w:val="left"/>
      <w:pPr>
        <w:ind w:left="2612" w:hanging="448"/>
      </w:pPr>
      <w:rPr>
        <w:rFonts w:hint="default"/>
        <w:lang w:val="en-US" w:eastAsia="en-US" w:bidi="ar-SA"/>
      </w:rPr>
    </w:lvl>
    <w:lvl w:ilvl="8">
      <w:start w:val="0"/>
      <w:numFmt w:val="bullet"/>
      <w:lvlText w:val="•"/>
      <w:lvlJc w:val="left"/>
      <w:pPr>
        <w:ind w:left="2920" w:hanging="448"/>
      </w:pPr>
      <w:rPr>
        <w:rFonts w:hint="default"/>
        <w:lang w:val="en-US" w:eastAsia="en-US" w:bidi="ar-SA"/>
      </w:rPr>
    </w:lvl>
  </w:abstractNum>
  <w:abstractNum w:abstractNumId="21">
    <w:nsid w:val="697A5C2B"/>
    <w:multiLevelType w:val="hybridMultilevel"/>
    <w:tmpl w:val="00000000"/>
    <w:lvl w:ilvl="0">
      <w:start w:val="1"/>
      <w:numFmt w:val="decimal"/>
      <w:lvlText w:val="%1"/>
      <w:lvlJc w:val="left"/>
      <w:pPr>
        <w:ind w:left="733" w:hanging="315"/>
        <w:jc w:val="right"/>
      </w:pPr>
      <w:rPr>
        <w:rFonts w:ascii="黑体" w:eastAsia="黑体" w:hAnsi="黑体" w:cs="黑体" w:hint="default"/>
        <w:w w:val="100"/>
        <w:sz w:val="21"/>
        <w:szCs w:val="21"/>
        <w:lang w:val="en-US" w:eastAsia="en-US" w:bidi="ar-SA"/>
      </w:rPr>
    </w:lvl>
    <w:lvl w:ilvl="1">
      <w:start w:val="1"/>
      <w:numFmt w:val="decimal"/>
      <w:lvlText w:val="%1.%2"/>
      <w:lvlJc w:val="left"/>
      <w:pPr>
        <w:ind w:left="736" w:hanging="318"/>
        <w:jc w:val="right"/>
      </w:pPr>
      <w:rPr>
        <w:rFonts w:ascii="黑体" w:eastAsia="黑体" w:hAnsi="黑体" w:cs="黑体" w:hint="default"/>
        <w:w w:val="100"/>
        <w:sz w:val="19"/>
        <w:szCs w:val="19"/>
        <w:lang w:val="en-US" w:eastAsia="en-US" w:bidi="ar-SA"/>
      </w:rPr>
    </w:lvl>
    <w:lvl w:ilvl="2">
      <w:start w:val="1"/>
      <w:numFmt w:val="decimal"/>
      <w:lvlText w:val="%1.%2.%3"/>
      <w:lvlJc w:val="left"/>
      <w:pPr>
        <w:ind w:left="132" w:hanging="735"/>
        <w:jc w:val="right"/>
      </w:pPr>
      <w:rPr>
        <w:rFonts w:ascii="黑体" w:eastAsia="黑体" w:hAnsi="黑体" w:cs="黑体" w:hint="default"/>
        <w:w w:val="100"/>
        <w:sz w:val="21"/>
        <w:szCs w:val="21"/>
        <w:lang w:val="en-US" w:eastAsia="en-US" w:bidi="ar-SA"/>
      </w:rPr>
    </w:lvl>
    <w:lvl w:ilvl="3">
      <w:start w:val="0"/>
      <w:numFmt w:val="bullet"/>
      <w:lvlText w:val="•"/>
      <w:lvlJc w:val="left"/>
      <w:pPr>
        <w:ind w:left="740" w:hanging="735"/>
      </w:pPr>
      <w:rPr>
        <w:rFonts w:hint="default"/>
        <w:lang w:val="en-US" w:eastAsia="en-US" w:bidi="ar-SA"/>
      </w:rPr>
    </w:lvl>
    <w:lvl w:ilvl="4">
      <w:start w:val="0"/>
      <w:numFmt w:val="bullet"/>
      <w:lvlText w:val="•"/>
      <w:lvlJc w:val="left"/>
      <w:pPr>
        <w:ind w:left="860" w:hanging="735"/>
      </w:pPr>
      <w:rPr>
        <w:rFonts w:hint="default"/>
        <w:lang w:val="en-US" w:eastAsia="en-US" w:bidi="ar-SA"/>
      </w:rPr>
    </w:lvl>
    <w:lvl w:ilvl="5">
      <w:start w:val="0"/>
      <w:numFmt w:val="bullet"/>
      <w:lvlText w:val="•"/>
      <w:lvlJc w:val="left"/>
      <w:pPr>
        <w:ind w:left="2414" w:hanging="735"/>
      </w:pPr>
      <w:rPr>
        <w:rFonts w:hint="default"/>
        <w:lang w:val="en-US" w:eastAsia="en-US" w:bidi="ar-SA"/>
      </w:rPr>
    </w:lvl>
    <w:lvl w:ilvl="6">
      <w:start w:val="0"/>
      <w:numFmt w:val="bullet"/>
      <w:lvlText w:val="•"/>
      <w:lvlJc w:val="left"/>
      <w:pPr>
        <w:ind w:left="3968" w:hanging="735"/>
      </w:pPr>
      <w:rPr>
        <w:rFonts w:hint="default"/>
        <w:lang w:val="en-US" w:eastAsia="en-US" w:bidi="ar-SA"/>
      </w:rPr>
    </w:lvl>
    <w:lvl w:ilvl="7">
      <w:start w:val="0"/>
      <w:numFmt w:val="bullet"/>
      <w:lvlText w:val="•"/>
      <w:lvlJc w:val="left"/>
      <w:pPr>
        <w:ind w:left="5523" w:hanging="735"/>
      </w:pPr>
      <w:rPr>
        <w:rFonts w:hint="default"/>
        <w:lang w:val="en-US" w:eastAsia="en-US" w:bidi="ar-SA"/>
      </w:rPr>
    </w:lvl>
    <w:lvl w:ilvl="8">
      <w:start w:val="0"/>
      <w:numFmt w:val="bullet"/>
      <w:lvlText w:val="•"/>
      <w:lvlJc w:val="left"/>
      <w:pPr>
        <w:ind w:left="7077" w:hanging="735"/>
      </w:pPr>
      <w:rPr>
        <w:rFonts w:hint="default"/>
        <w:lang w:val="en-US" w:eastAsia="en-US" w:bidi="ar-SA"/>
      </w:rPr>
    </w:lvl>
  </w:abstractNum>
  <w:abstractNum w:abstractNumId="22">
    <w:nsid w:val="6AA8D76D"/>
    <w:multiLevelType w:val="hybridMultilevel"/>
    <w:tmpl w:val="00000000"/>
    <w:lvl w:ilvl="0">
      <w:start w:val="1"/>
      <w:numFmt w:val="decimal"/>
      <w:lvlText w:val="（%1）"/>
      <w:lvlJc w:val="left"/>
      <w:pPr>
        <w:ind w:left="462" w:hanging="453"/>
        <w:jc w:val="left"/>
      </w:pPr>
      <w:rPr>
        <w:rFonts w:ascii="宋体" w:eastAsia="宋体" w:hAnsi="宋体" w:cs="宋体" w:hint="default"/>
        <w:w w:val="100"/>
        <w:sz w:val="16"/>
        <w:szCs w:val="16"/>
        <w:lang w:val="en-US" w:eastAsia="en-US" w:bidi="ar-SA"/>
      </w:rPr>
    </w:lvl>
    <w:lvl w:ilvl="1">
      <w:start w:val="0"/>
      <w:numFmt w:val="bullet"/>
      <w:lvlText w:val="•"/>
      <w:lvlJc w:val="left"/>
      <w:pPr>
        <w:ind w:left="824" w:hanging="453"/>
      </w:pPr>
      <w:rPr>
        <w:rFonts w:hint="default"/>
        <w:lang w:val="en-US" w:eastAsia="en-US" w:bidi="ar-SA"/>
      </w:rPr>
    </w:lvl>
    <w:lvl w:ilvl="2">
      <w:start w:val="0"/>
      <w:numFmt w:val="bullet"/>
      <w:lvlText w:val="•"/>
      <w:lvlJc w:val="left"/>
      <w:pPr>
        <w:ind w:left="1188" w:hanging="453"/>
      </w:pPr>
      <w:rPr>
        <w:rFonts w:hint="default"/>
        <w:lang w:val="en-US" w:eastAsia="en-US" w:bidi="ar-SA"/>
      </w:rPr>
    </w:lvl>
    <w:lvl w:ilvl="3">
      <w:start w:val="0"/>
      <w:numFmt w:val="bullet"/>
      <w:lvlText w:val="•"/>
      <w:lvlJc w:val="left"/>
      <w:pPr>
        <w:ind w:left="1552" w:hanging="453"/>
      </w:pPr>
      <w:rPr>
        <w:rFonts w:hint="default"/>
        <w:lang w:val="en-US" w:eastAsia="en-US" w:bidi="ar-SA"/>
      </w:rPr>
    </w:lvl>
    <w:lvl w:ilvl="4">
      <w:start w:val="0"/>
      <w:numFmt w:val="bullet"/>
      <w:lvlText w:val="•"/>
      <w:lvlJc w:val="left"/>
      <w:pPr>
        <w:ind w:left="1916" w:hanging="453"/>
      </w:pPr>
      <w:rPr>
        <w:rFonts w:hint="default"/>
        <w:lang w:val="en-US" w:eastAsia="en-US" w:bidi="ar-SA"/>
      </w:rPr>
    </w:lvl>
    <w:lvl w:ilvl="5">
      <w:start w:val="0"/>
      <w:numFmt w:val="bullet"/>
      <w:lvlText w:val="•"/>
      <w:lvlJc w:val="left"/>
      <w:pPr>
        <w:ind w:left="2281" w:hanging="453"/>
      </w:pPr>
      <w:rPr>
        <w:rFonts w:hint="default"/>
        <w:lang w:val="en-US" w:eastAsia="en-US" w:bidi="ar-SA"/>
      </w:rPr>
    </w:lvl>
    <w:lvl w:ilvl="6">
      <w:start w:val="0"/>
      <w:numFmt w:val="bullet"/>
      <w:lvlText w:val="•"/>
      <w:lvlJc w:val="left"/>
      <w:pPr>
        <w:ind w:left="2645" w:hanging="453"/>
      </w:pPr>
      <w:rPr>
        <w:rFonts w:hint="default"/>
        <w:lang w:val="en-US" w:eastAsia="en-US" w:bidi="ar-SA"/>
      </w:rPr>
    </w:lvl>
    <w:lvl w:ilvl="7">
      <w:start w:val="0"/>
      <w:numFmt w:val="bullet"/>
      <w:lvlText w:val="•"/>
      <w:lvlJc w:val="left"/>
      <w:pPr>
        <w:ind w:left="3009" w:hanging="453"/>
      </w:pPr>
      <w:rPr>
        <w:rFonts w:hint="default"/>
        <w:lang w:val="en-US" w:eastAsia="en-US" w:bidi="ar-SA"/>
      </w:rPr>
    </w:lvl>
    <w:lvl w:ilvl="8">
      <w:start w:val="0"/>
      <w:numFmt w:val="bullet"/>
      <w:lvlText w:val="•"/>
      <w:lvlJc w:val="left"/>
      <w:pPr>
        <w:ind w:left="3373" w:hanging="453"/>
      </w:pPr>
      <w:rPr>
        <w:rFonts w:hint="default"/>
        <w:lang w:val="en-US" w:eastAsia="en-US" w:bidi="ar-SA"/>
      </w:rPr>
    </w:lvl>
  </w:abstractNum>
  <w:abstractNum w:abstractNumId="23">
    <w:nsid w:val="6B8827C7"/>
    <w:multiLevelType w:val="hybridMultilevel"/>
    <w:tmpl w:val="00000000"/>
    <w:lvl w:ilvl="0">
      <w:start w:val="1"/>
      <w:numFmt w:val="decimal"/>
      <w:lvlText w:val="%1"/>
      <w:lvlJc w:val="left"/>
      <w:pPr>
        <w:ind w:left="733" w:hanging="315"/>
        <w:jc w:val="right"/>
      </w:pPr>
      <w:rPr>
        <w:rFonts w:ascii="黑体" w:eastAsia="黑体" w:hAnsi="黑体" w:cs="黑体" w:hint="default"/>
        <w:w w:val="100"/>
        <w:sz w:val="21"/>
        <w:szCs w:val="21"/>
        <w:lang w:val="en-US" w:eastAsia="en-US" w:bidi="ar-SA"/>
      </w:rPr>
    </w:lvl>
    <w:lvl w:ilvl="1">
      <w:start w:val="1"/>
      <w:numFmt w:val="decimal"/>
      <w:lvlText w:val="%1.%2"/>
      <w:lvlJc w:val="left"/>
      <w:pPr>
        <w:ind w:left="736" w:hanging="318"/>
        <w:jc w:val="right"/>
      </w:pPr>
      <w:rPr>
        <w:rFonts w:ascii="黑体" w:eastAsia="黑体" w:hAnsi="黑体" w:cs="黑体" w:hint="default"/>
        <w:w w:val="100"/>
        <w:sz w:val="19"/>
        <w:szCs w:val="19"/>
        <w:lang w:val="en-US" w:eastAsia="en-US" w:bidi="ar-SA"/>
      </w:rPr>
    </w:lvl>
    <w:lvl w:ilvl="2">
      <w:start w:val="1"/>
      <w:numFmt w:val="decimal"/>
      <w:lvlText w:val="%1.%2.%3"/>
      <w:lvlJc w:val="left"/>
      <w:pPr>
        <w:ind w:left="132" w:hanging="735"/>
        <w:jc w:val="right"/>
      </w:pPr>
      <w:rPr>
        <w:rFonts w:ascii="黑体" w:eastAsia="黑体" w:hAnsi="黑体" w:cs="黑体" w:hint="default"/>
        <w:w w:val="100"/>
        <w:sz w:val="21"/>
        <w:szCs w:val="21"/>
        <w:lang w:val="en-US" w:eastAsia="en-US" w:bidi="ar-SA"/>
      </w:rPr>
    </w:lvl>
    <w:lvl w:ilvl="3">
      <w:start w:val="0"/>
      <w:numFmt w:val="bullet"/>
      <w:lvlText w:val="•"/>
      <w:lvlJc w:val="left"/>
      <w:pPr>
        <w:ind w:left="740" w:hanging="735"/>
      </w:pPr>
      <w:rPr>
        <w:rFonts w:hint="default"/>
        <w:lang w:val="en-US" w:eastAsia="en-US" w:bidi="ar-SA"/>
      </w:rPr>
    </w:lvl>
    <w:lvl w:ilvl="4">
      <w:start w:val="0"/>
      <w:numFmt w:val="bullet"/>
      <w:lvlText w:val="•"/>
      <w:lvlJc w:val="left"/>
      <w:pPr>
        <w:ind w:left="860" w:hanging="735"/>
      </w:pPr>
      <w:rPr>
        <w:rFonts w:hint="default"/>
        <w:lang w:val="en-US" w:eastAsia="en-US" w:bidi="ar-SA"/>
      </w:rPr>
    </w:lvl>
    <w:lvl w:ilvl="5">
      <w:start w:val="0"/>
      <w:numFmt w:val="bullet"/>
      <w:lvlText w:val="•"/>
      <w:lvlJc w:val="left"/>
      <w:pPr>
        <w:ind w:left="2414" w:hanging="735"/>
      </w:pPr>
      <w:rPr>
        <w:rFonts w:hint="default"/>
        <w:lang w:val="en-US" w:eastAsia="en-US" w:bidi="ar-SA"/>
      </w:rPr>
    </w:lvl>
    <w:lvl w:ilvl="6">
      <w:start w:val="0"/>
      <w:numFmt w:val="bullet"/>
      <w:lvlText w:val="•"/>
      <w:lvlJc w:val="left"/>
      <w:pPr>
        <w:ind w:left="3968" w:hanging="735"/>
      </w:pPr>
      <w:rPr>
        <w:rFonts w:hint="default"/>
        <w:lang w:val="en-US" w:eastAsia="en-US" w:bidi="ar-SA"/>
      </w:rPr>
    </w:lvl>
    <w:lvl w:ilvl="7">
      <w:start w:val="0"/>
      <w:numFmt w:val="bullet"/>
      <w:lvlText w:val="•"/>
      <w:lvlJc w:val="left"/>
      <w:pPr>
        <w:ind w:left="5523" w:hanging="735"/>
      </w:pPr>
      <w:rPr>
        <w:rFonts w:hint="default"/>
        <w:lang w:val="en-US" w:eastAsia="en-US" w:bidi="ar-SA"/>
      </w:rPr>
    </w:lvl>
    <w:lvl w:ilvl="8">
      <w:start w:val="0"/>
      <w:numFmt w:val="bullet"/>
      <w:lvlText w:val="•"/>
      <w:lvlJc w:val="left"/>
      <w:pPr>
        <w:ind w:left="7077" w:hanging="735"/>
      </w:pPr>
      <w:rPr>
        <w:rFonts w:hint="default"/>
        <w:lang w:val="en-US" w:eastAsia="en-US" w:bidi="ar-SA"/>
      </w:rPr>
    </w:lvl>
  </w:abstractNum>
  <w:abstractNum w:abstractNumId="24">
    <w:nsid w:val="7B7309DC"/>
    <w:multiLevelType w:val="hybridMultilevel"/>
    <w:tmpl w:val="00000000"/>
    <w:lvl w:ilvl="0">
      <w:start w:val="1"/>
      <w:numFmt w:val="decimal"/>
      <w:lvlText w:val="（%1）"/>
      <w:lvlJc w:val="left"/>
      <w:pPr>
        <w:ind w:left="468"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824" w:hanging="448"/>
      </w:pPr>
      <w:rPr>
        <w:rFonts w:hint="default"/>
        <w:lang w:val="en-US" w:eastAsia="en-US" w:bidi="ar-SA"/>
      </w:rPr>
    </w:lvl>
    <w:lvl w:ilvl="2">
      <w:start w:val="0"/>
      <w:numFmt w:val="bullet"/>
      <w:lvlText w:val="•"/>
      <w:lvlJc w:val="left"/>
      <w:pPr>
        <w:ind w:left="1188" w:hanging="448"/>
      </w:pPr>
      <w:rPr>
        <w:rFonts w:hint="default"/>
        <w:lang w:val="en-US" w:eastAsia="en-US" w:bidi="ar-SA"/>
      </w:rPr>
    </w:lvl>
    <w:lvl w:ilvl="3">
      <w:start w:val="0"/>
      <w:numFmt w:val="bullet"/>
      <w:lvlText w:val="•"/>
      <w:lvlJc w:val="left"/>
      <w:pPr>
        <w:ind w:left="1552" w:hanging="448"/>
      </w:pPr>
      <w:rPr>
        <w:rFonts w:hint="default"/>
        <w:lang w:val="en-US" w:eastAsia="en-US" w:bidi="ar-SA"/>
      </w:rPr>
    </w:lvl>
    <w:lvl w:ilvl="4">
      <w:start w:val="0"/>
      <w:numFmt w:val="bullet"/>
      <w:lvlText w:val="•"/>
      <w:lvlJc w:val="left"/>
      <w:pPr>
        <w:ind w:left="1916" w:hanging="448"/>
      </w:pPr>
      <w:rPr>
        <w:rFonts w:hint="default"/>
        <w:lang w:val="en-US" w:eastAsia="en-US" w:bidi="ar-SA"/>
      </w:rPr>
    </w:lvl>
    <w:lvl w:ilvl="5">
      <w:start w:val="0"/>
      <w:numFmt w:val="bullet"/>
      <w:lvlText w:val="•"/>
      <w:lvlJc w:val="left"/>
      <w:pPr>
        <w:ind w:left="2281" w:hanging="448"/>
      </w:pPr>
      <w:rPr>
        <w:rFonts w:hint="default"/>
        <w:lang w:val="en-US" w:eastAsia="en-US" w:bidi="ar-SA"/>
      </w:rPr>
    </w:lvl>
    <w:lvl w:ilvl="6">
      <w:start w:val="0"/>
      <w:numFmt w:val="bullet"/>
      <w:lvlText w:val="•"/>
      <w:lvlJc w:val="left"/>
      <w:pPr>
        <w:ind w:left="2645" w:hanging="448"/>
      </w:pPr>
      <w:rPr>
        <w:rFonts w:hint="default"/>
        <w:lang w:val="en-US" w:eastAsia="en-US" w:bidi="ar-SA"/>
      </w:rPr>
    </w:lvl>
    <w:lvl w:ilvl="7">
      <w:start w:val="0"/>
      <w:numFmt w:val="bullet"/>
      <w:lvlText w:val="•"/>
      <w:lvlJc w:val="left"/>
      <w:pPr>
        <w:ind w:left="3009" w:hanging="448"/>
      </w:pPr>
      <w:rPr>
        <w:rFonts w:hint="default"/>
        <w:lang w:val="en-US" w:eastAsia="en-US" w:bidi="ar-SA"/>
      </w:rPr>
    </w:lvl>
    <w:lvl w:ilvl="8">
      <w:start w:val="0"/>
      <w:numFmt w:val="bullet"/>
      <w:lvlText w:val="•"/>
      <w:lvlJc w:val="left"/>
      <w:pPr>
        <w:ind w:left="3373" w:hanging="448"/>
      </w:pPr>
      <w:rPr>
        <w:rFonts w:hint="default"/>
        <w:lang w:val="en-US" w:eastAsia="en-US" w:bidi="ar-SA"/>
      </w:rPr>
    </w:lvl>
  </w:abstractNum>
  <w:abstractNum w:abstractNumId="25">
    <w:nsid w:val="7F1160CE"/>
    <w:multiLevelType w:val="hybridMultilevel"/>
    <w:tmpl w:val="00000000"/>
    <w:lvl w:ilvl="0">
      <w:start w:val="1"/>
      <w:numFmt w:val="decimal"/>
      <w:lvlText w:val="（%1）"/>
      <w:lvlJc w:val="left"/>
      <w:pPr>
        <w:ind w:left="467" w:hanging="448"/>
        <w:jc w:val="left"/>
      </w:pPr>
      <w:rPr>
        <w:rFonts w:ascii="宋体" w:eastAsia="宋体" w:hAnsi="宋体" w:cs="宋体" w:hint="default"/>
        <w:spacing w:val="-3"/>
        <w:w w:val="100"/>
        <w:sz w:val="16"/>
        <w:szCs w:val="16"/>
        <w:lang w:val="en-US" w:eastAsia="en-US" w:bidi="ar-SA"/>
      </w:rPr>
    </w:lvl>
    <w:lvl w:ilvl="1">
      <w:start w:val="0"/>
      <w:numFmt w:val="bullet"/>
      <w:lvlText w:val="•"/>
      <w:lvlJc w:val="left"/>
      <w:pPr>
        <w:ind w:left="824" w:hanging="448"/>
      </w:pPr>
      <w:rPr>
        <w:rFonts w:hint="default"/>
        <w:lang w:val="en-US" w:eastAsia="en-US" w:bidi="ar-SA"/>
      </w:rPr>
    </w:lvl>
    <w:lvl w:ilvl="2">
      <w:start w:val="0"/>
      <w:numFmt w:val="bullet"/>
      <w:lvlText w:val="•"/>
      <w:lvlJc w:val="left"/>
      <w:pPr>
        <w:ind w:left="1188" w:hanging="448"/>
      </w:pPr>
      <w:rPr>
        <w:rFonts w:hint="default"/>
        <w:lang w:val="en-US" w:eastAsia="en-US" w:bidi="ar-SA"/>
      </w:rPr>
    </w:lvl>
    <w:lvl w:ilvl="3">
      <w:start w:val="0"/>
      <w:numFmt w:val="bullet"/>
      <w:lvlText w:val="•"/>
      <w:lvlJc w:val="left"/>
      <w:pPr>
        <w:ind w:left="1552" w:hanging="448"/>
      </w:pPr>
      <w:rPr>
        <w:rFonts w:hint="default"/>
        <w:lang w:val="en-US" w:eastAsia="en-US" w:bidi="ar-SA"/>
      </w:rPr>
    </w:lvl>
    <w:lvl w:ilvl="4">
      <w:start w:val="0"/>
      <w:numFmt w:val="bullet"/>
      <w:lvlText w:val="•"/>
      <w:lvlJc w:val="left"/>
      <w:pPr>
        <w:ind w:left="1916" w:hanging="448"/>
      </w:pPr>
      <w:rPr>
        <w:rFonts w:hint="default"/>
        <w:lang w:val="en-US" w:eastAsia="en-US" w:bidi="ar-SA"/>
      </w:rPr>
    </w:lvl>
    <w:lvl w:ilvl="5">
      <w:start w:val="0"/>
      <w:numFmt w:val="bullet"/>
      <w:lvlText w:val="•"/>
      <w:lvlJc w:val="left"/>
      <w:pPr>
        <w:ind w:left="2280" w:hanging="448"/>
      </w:pPr>
      <w:rPr>
        <w:rFonts w:hint="default"/>
        <w:lang w:val="en-US" w:eastAsia="en-US" w:bidi="ar-SA"/>
      </w:rPr>
    </w:lvl>
    <w:lvl w:ilvl="6">
      <w:start w:val="0"/>
      <w:numFmt w:val="bullet"/>
      <w:lvlText w:val="•"/>
      <w:lvlJc w:val="left"/>
      <w:pPr>
        <w:ind w:left="2644" w:hanging="448"/>
      </w:pPr>
      <w:rPr>
        <w:rFonts w:hint="default"/>
        <w:lang w:val="en-US" w:eastAsia="en-US" w:bidi="ar-SA"/>
      </w:rPr>
    </w:lvl>
    <w:lvl w:ilvl="7">
      <w:start w:val="0"/>
      <w:numFmt w:val="bullet"/>
      <w:lvlText w:val="•"/>
      <w:lvlJc w:val="left"/>
      <w:pPr>
        <w:ind w:left="3008" w:hanging="448"/>
      </w:pPr>
      <w:rPr>
        <w:rFonts w:hint="default"/>
        <w:lang w:val="en-US" w:eastAsia="en-US" w:bidi="ar-SA"/>
      </w:rPr>
    </w:lvl>
    <w:lvl w:ilvl="8">
      <w:start w:val="0"/>
      <w:numFmt w:val="bullet"/>
      <w:lvlText w:val="•"/>
      <w:lvlJc w:val="left"/>
      <w:pPr>
        <w:ind w:left="3372" w:hanging="448"/>
      </w:pPr>
      <w:rPr>
        <w:rFonts w:hint="default"/>
        <w:lang w:val="en-US" w:eastAsia="en-US" w:bidi="ar-SA"/>
      </w:rPr>
    </w:lvl>
  </w:abstractNum>
  <w:num w:numId="1">
    <w:abstractNumId w:val="0"/>
  </w:num>
  <w:num w:numId="2">
    <w:abstractNumId w:val="2"/>
  </w:num>
  <w:num w:numId="3">
    <w:abstractNumId w:val="17"/>
  </w:num>
  <w:num w:numId="4">
    <w:abstractNumId w:val="16"/>
  </w:num>
  <w:num w:numId="5">
    <w:abstractNumId w:val="25"/>
  </w:num>
  <w:num w:numId="6">
    <w:abstractNumId w:val="7"/>
  </w:num>
  <w:num w:numId="7">
    <w:abstractNumId w:val="24"/>
  </w:num>
  <w:num w:numId="8">
    <w:abstractNumId w:val="12"/>
  </w:num>
  <w:num w:numId="9">
    <w:abstractNumId w:val="14"/>
  </w:num>
  <w:num w:numId="10">
    <w:abstractNumId w:val="20"/>
  </w:num>
  <w:num w:numId="11">
    <w:abstractNumId w:val="3"/>
  </w:num>
  <w:num w:numId="12">
    <w:abstractNumId w:val="1"/>
  </w:num>
  <w:num w:numId="13">
    <w:abstractNumId w:val="4"/>
  </w:num>
  <w:num w:numId="14">
    <w:abstractNumId w:val="6"/>
  </w:num>
  <w:num w:numId="15">
    <w:abstractNumId w:val="13"/>
  </w:num>
  <w:num w:numId="16">
    <w:abstractNumId w:val="10"/>
  </w:num>
  <w:num w:numId="17">
    <w:abstractNumId w:val="5"/>
  </w:num>
  <w:num w:numId="18">
    <w:abstractNumId w:val="18"/>
  </w:num>
  <w:num w:numId="19">
    <w:abstractNumId w:val="22"/>
  </w:num>
  <w:num w:numId="20">
    <w:abstractNumId w:val="19"/>
  </w:num>
  <w:num w:numId="21">
    <w:abstractNumId w:val="11"/>
  </w:num>
  <w:num w:numId="22">
    <w:abstractNumId w:val="9"/>
  </w:num>
  <w:num w:numId="23">
    <w:abstractNumId w:val="15"/>
  </w:num>
  <w:num w:numId="24">
    <w:abstractNumId w:val="23"/>
  </w:num>
  <w:num w:numId="25">
    <w:abstractNumId w:val="21"/>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4"/>
      <w:jc w:val="center"/>
      <w:outlineLvl w:val="0"/>
    </w:pPr>
    <w:rPr>
      <w:rFonts w:ascii="黑体" w:eastAsia="黑体" w:hAnsi="黑体" w:cs="黑体"/>
      <w:sz w:val="32"/>
      <w:szCs w:val="32"/>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43"/>
    </w:pPr>
    <w:rPr>
      <w:rFonts w:ascii="宋体" w:eastAsia="宋体" w:hAnsi="宋体" w:cs="宋体"/>
      <w:sz w:val="21"/>
      <w:szCs w:val="21"/>
      <w:lang w:val="en-US" w:eastAsia="en-US" w:bidi="ar-SA"/>
    </w:rPr>
  </w:style>
  <w:style w:type="paragraph" w:styleId="Title">
    <w:name w:val="Title"/>
    <w:basedOn w:val="Normal"/>
    <w:uiPriority w:val="1"/>
    <w:qFormat/>
    <w:pPr>
      <w:ind w:left="291"/>
      <w:jc w:val="center"/>
    </w:pPr>
    <w:rPr>
      <w:rFonts w:ascii="黑体" w:eastAsia="黑体" w:hAnsi="黑体" w:cs="黑体"/>
      <w:sz w:val="52"/>
      <w:szCs w:val="52"/>
      <w:lang w:val="en-US" w:eastAsia="en-US" w:bidi="ar-SA"/>
    </w:rPr>
  </w:style>
  <w:style w:type="paragraph" w:styleId="ListParagraph">
    <w:name w:val="List Paragraph"/>
    <w:basedOn w:val="Normal"/>
    <w:uiPriority w:val="1"/>
    <w:qFormat/>
    <w:pPr>
      <w:spacing w:before="71"/>
      <w:ind w:left="658" w:hanging="527"/>
    </w:pPr>
    <w:rPr>
      <w:rFonts w:ascii="宋体" w:eastAsia="宋体" w:hAnsi="宋体" w:cs="宋体"/>
      <w:lang w:val="en-US" w:eastAsia="en-US" w:bidi="ar-SA"/>
    </w:rPr>
  </w:style>
  <w:style w:type="paragraph" w:customStyle="1" w:styleId="TableParagraph">
    <w:name w:val="Table Paragraph"/>
    <w:basedOn w:val="Normal"/>
    <w:uiPriority w:val="1"/>
    <w:qFormat/>
    <w:rPr>
      <w:rFonts w:ascii="宋体" w:eastAsia="宋体" w:hAnsi="宋体" w:cs="宋体"/>
      <w:lang w:val="en-U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footer" Target="footer15.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header" Target="header18.xml" /><Relationship Id="rId39" Type="http://schemas.openxmlformats.org/officeDocument/2006/relationships/footer" Target="footer17.xml" /><Relationship Id="rId4" Type="http://schemas.openxmlformats.org/officeDocument/2006/relationships/image" Target="media/image1.png"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header" Target="header20.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header" Target="header22.xml" /><Relationship Id="rId47" Type="http://schemas.openxmlformats.org/officeDocument/2006/relationships/footer" Target="footer21.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header" Target="header24.xml" /><Relationship Id="rId51" Type="http://schemas.openxmlformats.org/officeDocument/2006/relationships/footer" Target="footer23.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header" Target="header26.xml" /><Relationship Id="rId55" Type="http://schemas.openxmlformats.org/officeDocument/2006/relationships/footer" Target="footer25.xml" /><Relationship Id="rId56" Type="http://schemas.openxmlformats.org/officeDocument/2006/relationships/footer" Target="footer26.xml" /><Relationship Id="rId57" Type="http://schemas.openxmlformats.org/officeDocument/2006/relationships/hyperlink" Target="https://d.book118.com/686211043000010104" TargetMode="External" /><Relationship Id="rId58" Type="http://schemas.openxmlformats.org/officeDocument/2006/relationships/header" Target="header27.xm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7.xml" /><Relationship Id="rId61" Type="http://schemas.openxmlformats.org/officeDocument/2006/relationships/footer" Target="footer28.xml" /><Relationship Id="rId62" Type="http://schemas.openxmlformats.org/officeDocument/2006/relationships/theme" Target="theme/theme1.xml" /><Relationship Id="rId63" Type="http://schemas.openxmlformats.org/officeDocument/2006/relationships/numbering" Target="numbering.xml" /><Relationship Id="rId64" Type="http://schemas.openxmlformats.org/officeDocument/2006/relationships/styles" Target="styl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ASUS</dc:creator>
  <cp:revision>0</cp:revision>
  <dcterms:created xsi:type="dcterms:W3CDTF">2024-03-21T11:37:29Z</dcterms:created>
  <dcterms:modified xsi:type="dcterms:W3CDTF">2024-03-21T11:37:29Z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2023-11-26T00:00:00Z</vt:filetime>
  </property>
  <property fmtid="{D5CDD505-2E9C-101B-9397-08002B2CF9AE}" pid="3" name="Creator">
    <vt:lpwstr>Microsoft® Word 2010</vt:lpwstr>
  </property>
  <property fmtid="{D5CDD505-2E9C-101B-9397-08002B2CF9AE}" pid="4" name="LastSaved">
    <vt:filetime>2024-03-21T00:00:00Z</vt:filetime>
  </property>
</Properties>
</file>