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146" w:lineRule="exact"/>
      </w:pPr>
      <w:r>
        <w:pict>
          <v:shapetype id="_x0000_t202" coordsize="21600,21600" o:spt="202" path="m,l,21600r21600,l21600,xe">
            <v:stroke joinstyle="miter"/>
            <v:path gradientshapeok="t" o:connecttype="rect"/>
          </v:shapetype>
          <v:shape id="_x0000_s1025" type="#_x0000_t202" style="width:161.45pt;height:676.9pt;margin-top:105.46pt;margin-left:399.63pt;mso-position-horizontal-relative:page;mso-position-vertical-relative:page;position:absolute;z-index:251658240" o:allowincell="f" filled="f" stroked="f">
            <o:lock v:ext="edit" aspectratio="f"/>
            <v:textbox inset="0,0,0,0">
              <w:txbxContent>
                <w:p>
                  <w:pPr>
                    <w:spacing w:line="20" w:lineRule="exact"/>
                  </w:pPr>
                </w:p>
                <w:tbl>
                  <w:tblPr>
                    <w:tblStyle w:val="TableNormal"/>
                    <w:tblW w:w="3168" w:type="dxa"/>
                    <w:tblInd w:w="40" w:type="dxa"/>
                    <w:tblBorders>
                      <w:top w:val="nil"/>
                      <w:left w:val="nil"/>
                      <w:bottom w:val="nil"/>
                      <w:right w:val="nil"/>
                      <w:insideH w:val="nil"/>
                      <w:insideV w:val="nil"/>
                    </w:tblBorders>
                    <w:tblLayout w:type="fixed"/>
                  </w:tblPr>
                  <w:tblGrid>
                    <w:gridCol w:w="1652"/>
                    <w:gridCol w:w="1516"/>
                  </w:tblGrid>
                  <w:tr>
                    <w:tblPrEx>
                      <w:tblW w:w="3168" w:type="dxa"/>
                      <w:tblInd w:w="40" w:type="dxa"/>
                      <w:tblBorders>
                        <w:top w:val="nil"/>
                        <w:left w:val="nil"/>
                        <w:bottom w:val="nil"/>
                        <w:right w:val="nil"/>
                        <w:insideH w:val="nil"/>
                        <w:insideV w:val="nil"/>
                      </w:tblBorders>
                      <w:tblLayout w:type="fixed"/>
                    </w:tblPrEx>
                    <w:trPr>
                      <w:trHeight w:val="1177"/>
                    </w:trPr>
                    <w:tc>
                      <w:tcPr>
                        <w:tcW w:w="1652" w:type="dxa"/>
                        <w:tcBorders>
                          <w:top w:val="single" w:sz="16" w:space="0" w:color="C00000"/>
                          <w:left w:val="single" w:sz="16" w:space="0" w:color="C00000"/>
                          <w:bottom w:val="single" w:sz="10" w:space="0" w:color="C00000"/>
                        </w:tcBorders>
                        <w:vAlign w:val="top"/>
                      </w:tcPr>
                      <w:p>
                        <w:pPr>
                          <w:spacing w:line="276" w:lineRule="auto"/>
                          <w:rPr>
                            <w:rFonts w:ascii="Arial"/>
                            <w:sz w:val="21"/>
                          </w:rPr>
                        </w:pPr>
                      </w:p>
                      <w:p>
                        <w:pPr>
                          <w:pStyle w:val="TableText"/>
                          <w:spacing w:before="129" w:line="195" w:lineRule="auto"/>
                          <w:ind w:left="116"/>
                          <w:rPr>
                            <w:sz w:val="30"/>
                            <w:szCs w:val="30"/>
                          </w:rPr>
                        </w:pPr>
                        <w:r>
                          <w:rPr>
                            <w:b/>
                            <w:bCs/>
                            <w:color w:val="4C4D4F"/>
                            <w:spacing w:val="-1"/>
                            <w:sz w:val="30"/>
                            <w:szCs w:val="30"/>
                          </w:rPr>
                          <w:t>推荐</w:t>
                        </w:r>
                      </w:p>
                      <w:p>
                        <w:pPr>
                          <w:pStyle w:val="TableText"/>
                          <w:spacing w:before="54" w:line="191" w:lineRule="auto"/>
                          <w:ind w:left="125"/>
                          <w:rPr>
                            <w:sz w:val="21"/>
                            <w:szCs w:val="21"/>
                          </w:rPr>
                        </w:pPr>
                        <w:r>
                          <w:rPr>
                            <w:b/>
                            <w:bCs/>
                            <w:color w:val="4C4D4F"/>
                            <w:spacing w:val="-6"/>
                            <w:sz w:val="21"/>
                            <w:szCs w:val="21"/>
                          </w:rPr>
                          <w:t>当前价格：</w:t>
                        </w:r>
                      </w:p>
                    </w:tc>
                    <w:tc>
                      <w:tcPr>
                        <w:tcW w:w="1516" w:type="dxa"/>
                        <w:tcBorders>
                          <w:top w:val="single" w:sz="16" w:space="0" w:color="C00000"/>
                          <w:bottom w:val="single" w:sz="10" w:space="0" w:color="C00000"/>
                        </w:tcBorders>
                        <w:vAlign w:val="top"/>
                      </w:tcPr>
                      <w:p>
                        <w:pPr>
                          <w:spacing w:line="351" w:lineRule="auto"/>
                          <w:rPr>
                            <w:rFonts w:ascii="Arial"/>
                            <w:sz w:val="21"/>
                          </w:rPr>
                        </w:pPr>
                      </w:p>
                      <w:p>
                        <w:pPr>
                          <w:pStyle w:val="TableText"/>
                          <w:spacing w:before="90" w:line="437" w:lineRule="exact"/>
                          <w:ind w:left="585"/>
                          <w:rPr>
                            <w:sz w:val="21"/>
                            <w:szCs w:val="21"/>
                          </w:rPr>
                        </w:pPr>
                        <w:r>
                          <w:rPr>
                            <w:b/>
                            <w:bCs/>
                            <w:color w:val="4C4D4F"/>
                            <w:spacing w:val="-1"/>
                            <w:position w:val="16"/>
                            <w:sz w:val="21"/>
                            <w:szCs w:val="21"/>
                          </w:rPr>
                          <w:t>首次评级</w:t>
                        </w:r>
                      </w:p>
                      <w:p>
                        <w:pPr>
                          <w:pStyle w:val="TableText"/>
                          <w:spacing w:before="1" w:line="190" w:lineRule="auto"/>
                          <w:ind w:left="596"/>
                          <w:rPr>
                            <w:sz w:val="21"/>
                            <w:szCs w:val="21"/>
                          </w:rPr>
                        </w:pPr>
                        <w:r>
                          <w:rPr>
                            <w:b/>
                            <w:bCs/>
                            <w:color w:val="4C4D4F"/>
                            <w:spacing w:val="-4"/>
                            <w:sz w:val="21"/>
                            <w:szCs w:val="21"/>
                          </w:rPr>
                          <w:t>32.92 元</w:t>
                        </w:r>
                      </w:p>
                    </w:tc>
                  </w:tr>
                  <w:tr>
                    <w:tblPrEx>
                      <w:tblW w:w="3168" w:type="dxa"/>
                      <w:tblInd w:w="40" w:type="dxa"/>
                      <w:tblLayout w:type="fixed"/>
                    </w:tblPrEx>
                    <w:trPr>
                      <w:trHeight w:val="3827"/>
                    </w:trPr>
                    <w:tc>
                      <w:tcPr>
                        <w:tcW w:w="3168" w:type="dxa"/>
                        <w:gridSpan w:val="2"/>
                        <w:tcBorders>
                          <w:top w:val="single" w:sz="10" w:space="0" w:color="C00000"/>
                          <w:left w:val="single" w:sz="16" w:space="0" w:color="C00000"/>
                          <w:bottom w:val="single" w:sz="10" w:space="0" w:color="C00000"/>
                        </w:tcBorders>
                        <w:vAlign w:val="top"/>
                      </w:tcPr>
                      <w:p>
                        <w:pPr>
                          <w:spacing w:line="308" w:lineRule="auto"/>
                          <w:rPr>
                            <w:rFonts w:ascii="Arial"/>
                            <w:sz w:val="21"/>
                          </w:rPr>
                        </w:pPr>
                      </w:p>
                      <w:p>
                        <w:pPr>
                          <w:spacing w:line="1763" w:lineRule="exact"/>
                          <w:ind w:firstLine="671"/>
                        </w:pPr>
                        <w:r>
                          <w:rPr>
                            <w:position w:val="-35"/>
                          </w:rPr>
                          <w:drawing>
                            <wp:inline distT="0" distB="0" distL="0" distR="0">
                              <wp:extent cx="1119504" cy="111950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19504" cy="1119505"/>
                                      </a:xfrm>
                                      <a:prstGeom prst="rect">
                                        <a:avLst/>
                                      </a:prstGeom>
                                    </pic:spPr>
                                  </pic:pic>
                                </a:graphicData>
                              </a:graphic>
                            </wp:inline>
                          </w:drawing>
                        </w:r>
                      </w:p>
                      <w:p>
                        <w:pPr>
                          <w:pStyle w:val="TableText"/>
                          <w:spacing w:before="103" w:line="194" w:lineRule="auto"/>
                          <w:ind w:left="115"/>
                          <w:rPr>
                            <w:sz w:val="18"/>
                            <w:szCs w:val="18"/>
                          </w:rPr>
                        </w:pPr>
                        <w:r>
                          <w:rPr>
                            <w:b/>
                            <w:bCs/>
                            <w:color w:val="C00000"/>
                            <w:spacing w:val="-1"/>
                            <w:sz w:val="18"/>
                            <w:szCs w:val="18"/>
                          </w:rPr>
                          <w:t>分析师     吕伟</w:t>
                        </w:r>
                      </w:p>
                      <w:p>
                        <w:pPr>
                          <w:pStyle w:val="TableText"/>
                          <w:spacing w:before="13" w:line="196" w:lineRule="auto"/>
                          <w:ind w:left="115"/>
                          <w:rPr>
                            <w:sz w:val="15"/>
                            <w:szCs w:val="15"/>
                          </w:rPr>
                        </w:pPr>
                        <w:r>
                          <w:rPr>
                            <w:color w:val="4C4D4F"/>
                            <w:spacing w:val="-3"/>
                            <w:sz w:val="15"/>
                            <w:szCs w:val="15"/>
                          </w:rPr>
                          <w:t>执业证书：  S0100521110003</w:t>
                        </w:r>
                      </w:p>
                      <w:p>
                        <w:pPr>
                          <w:pStyle w:val="TableText"/>
                          <w:spacing w:before="29" w:line="179" w:lineRule="auto"/>
                          <w:ind w:left="124"/>
                          <w:rPr>
                            <w:sz w:val="15"/>
                            <w:szCs w:val="15"/>
                          </w:rPr>
                        </w:pPr>
                        <w:r>
                          <w:rPr>
                            <w:color w:val="4C4D4F"/>
                            <w:spacing w:val="-5"/>
                            <w:sz w:val="15"/>
                            <w:szCs w:val="15"/>
                          </w:rPr>
                          <w:t>邮箱：</w:t>
                        </w:r>
                        <w:r>
                          <w:rPr>
                            <w:color w:val="4C4D4F"/>
                            <w:spacing w:val="3"/>
                            <w:sz w:val="15"/>
                            <w:szCs w:val="15"/>
                          </w:rPr>
                          <w:t xml:space="preserve">         </w:t>
                        </w:r>
                        <w:r>
                          <w:rPr>
                            <w:color w:val="4C4D4F"/>
                            <w:spacing w:val="-5"/>
                            <w:sz w:val="15"/>
                            <w:szCs w:val="15"/>
                          </w:rPr>
                          <w:t>lvwei_yj@mszq.com</w:t>
                        </w:r>
                      </w:p>
                      <w:p>
                        <w:pPr>
                          <w:pStyle w:val="TableText"/>
                          <w:spacing w:before="24" w:line="194" w:lineRule="auto"/>
                          <w:ind w:left="115"/>
                          <w:rPr>
                            <w:sz w:val="18"/>
                            <w:szCs w:val="18"/>
                          </w:rPr>
                        </w:pPr>
                        <w:r>
                          <w:rPr>
                            <w:b/>
                            <w:bCs/>
                            <w:color w:val="C00000"/>
                            <w:spacing w:val="-1"/>
                            <w:sz w:val="18"/>
                            <w:szCs w:val="18"/>
                          </w:rPr>
                          <w:t>分析师</w:t>
                        </w:r>
                        <w:r>
                          <w:rPr>
                            <w:b/>
                            <w:bCs/>
                            <w:color w:val="C00000"/>
                            <w:spacing w:val="10"/>
                            <w:sz w:val="18"/>
                            <w:szCs w:val="18"/>
                          </w:rPr>
                          <w:t xml:space="preserve">    </w:t>
                        </w:r>
                        <w:r>
                          <w:rPr>
                            <w:b/>
                            <w:bCs/>
                            <w:color w:val="C00000"/>
                            <w:spacing w:val="-1"/>
                            <w:sz w:val="18"/>
                            <w:szCs w:val="18"/>
                          </w:rPr>
                          <w:t>刘雄</w:t>
                        </w:r>
                      </w:p>
                      <w:p>
                        <w:pPr>
                          <w:pStyle w:val="TableText"/>
                          <w:spacing w:before="14" w:line="196" w:lineRule="auto"/>
                          <w:ind w:left="115"/>
                          <w:rPr>
                            <w:sz w:val="15"/>
                            <w:szCs w:val="15"/>
                          </w:rPr>
                        </w:pPr>
                        <w:r>
                          <w:rPr>
                            <w:color w:val="4C4D4F"/>
                            <w:spacing w:val="-3"/>
                            <w:sz w:val="15"/>
                            <w:szCs w:val="15"/>
                          </w:rPr>
                          <w:t>执业证书：  S0100522090001</w:t>
                        </w:r>
                      </w:p>
                      <w:p>
                        <w:pPr>
                          <w:pStyle w:val="TableText"/>
                          <w:spacing w:before="30" w:line="179" w:lineRule="auto"/>
                          <w:ind w:left="124"/>
                          <w:rPr>
                            <w:sz w:val="15"/>
                            <w:szCs w:val="15"/>
                          </w:rPr>
                        </w:pPr>
                        <w:r>
                          <w:rPr>
                            <w:color w:val="4C4D4F"/>
                            <w:spacing w:val="-5"/>
                            <w:sz w:val="15"/>
                            <w:szCs w:val="15"/>
                          </w:rPr>
                          <w:t>邮箱：</w:t>
                        </w:r>
                        <w:r>
                          <w:rPr>
                            <w:color w:val="4C4D4F"/>
                            <w:spacing w:val="3"/>
                            <w:sz w:val="15"/>
                            <w:szCs w:val="15"/>
                          </w:rPr>
                          <w:t xml:space="preserve">         </w:t>
                        </w:r>
                        <w:r>
                          <w:rPr>
                            <w:color w:val="4C4D4F"/>
                            <w:spacing w:val="-5"/>
                            <w:sz w:val="15"/>
                            <w:szCs w:val="15"/>
                          </w:rPr>
                          <w:t>liuxiong@mszq.com</w:t>
                        </w:r>
                      </w:p>
                    </w:tc>
                  </w:tr>
                  <w:tr>
                    <w:tblPrEx>
                      <w:tblW w:w="3168" w:type="dxa"/>
                      <w:tblInd w:w="40" w:type="dxa"/>
                      <w:tblLayout w:type="fixed"/>
                    </w:tblPrEx>
                    <w:trPr>
                      <w:trHeight w:val="8403"/>
                    </w:trPr>
                    <w:tc>
                      <w:tcPr>
                        <w:tcW w:w="3168" w:type="dxa"/>
                        <w:gridSpan w:val="2"/>
                        <w:tcBorders>
                          <w:top w:val="single" w:sz="10" w:space="0" w:color="C00000"/>
                          <w:left w:val="single" w:sz="16" w:space="0" w:color="C00000"/>
                        </w:tcBorders>
                        <w:vAlign w:val="top"/>
                      </w:tcPr>
                      <w:p>
                        <w:pPr>
                          <w:rPr>
                            <w:rFonts w:ascii="Arial"/>
                            <w:sz w:val="21"/>
                          </w:rPr>
                        </w:pPr>
                      </w:p>
                    </w:tc>
                  </w:tr>
                </w:tbl>
                <w:p>
                  <w:pPr>
                    <w:rPr>
                      <w:rFonts w:ascii="Arial"/>
                      <w:sz w:val="21"/>
                    </w:rPr>
                  </w:pPr>
                </w:p>
              </w:txbxContent>
            </v:textbox>
          </v:shape>
        </w:pict>
      </w:r>
      <w:r>
        <w:rPr>
          <w:position w:val="-44"/>
        </w:rPr>
        <w:pict>
          <v:group id="_x0000_i1026" style="width:595.35pt;height:108.3pt;mso-position-horizontal-relative:char;mso-position-vertical-relative:line" coordorigin="0,0" coordsize="11906,2166"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1906;height:2166;position:absolute" filled="f" stroked="f">
              <v:imagedata r:id="rId5" o:title=""/>
            </v:shape>
            <v:shape id="_x0000_s1028" type="#_x0000_t202" style="width:3552;height:916;left:799;position:absolute;top:1099" filled="f" stroked="f">
              <o:lock v:ext="edit" aspectratio="f"/>
              <v:textbox inset="0,0,0,0">
                <w:txbxContent>
                  <w:p>
                    <w:pPr>
                      <w:spacing w:before="20" w:line="190" w:lineRule="auto"/>
                      <w:ind w:left="20"/>
                      <w:rPr>
                        <w:rFonts w:ascii="Microsoft YaHei" w:eastAsia="Microsoft YaHei" w:hAnsi="Microsoft YaHei" w:cs="Microsoft YaHei"/>
                        <w:sz w:val="21"/>
                        <w:szCs w:val="21"/>
                      </w:rPr>
                    </w:pPr>
                    <w:r>
                      <w:rPr>
                        <w:rFonts w:ascii="Microsoft YaHei" w:eastAsia="Microsoft YaHei" w:hAnsi="Microsoft YaHei" w:cs="Microsoft YaHei"/>
                        <w:b/>
                        <w:bCs/>
                        <w:color w:val="C00000"/>
                        <w:sz w:val="21"/>
                        <w:szCs w:val="21"/>
                      </w:rPr>
                      <w:t>能科科技（603859.SH）深度报告</w:t>
                    </w:r>
                  </w:p>
                  <w:p>
                    <w:pPr>
                      <w:spacing w:before="251" w:line="198" w:lineRule="auto"/>
                      <w:ind w:left="21"/>
                      <w:rPr>
                        <w:rFonts w:ascii="Microsoft YaHei" w:eastAsia="Microsoft YaHei" w:hAnsi="Microsoft YaHei" w:cs="Microsoft YaHei"/>
                        <w:sz w:val="31"/>
                        <w:szCs w:val="31"/>
                      </w:rPr>
                    </w:pPr>
                    <w:bookmarkStart w:id="0" w:name="bookmark1"/>
                    <w:bookmarkEnd w:id="0"/>
                    <w:r>
                      <w:rPr>
                        <w:rFonts w:ascii="Microsoft YaHei" w:eastAsia="Microsoft YaHei" w:hAnsi="Microsoft YaHei" w:cs="Microsoft YaHei"/>
                        <w:b/>
                        <w:bCs/>
                        <w:color w:val="C00000"/>
                        <w:spacing w:val="9"/>
                        <w:sz w:val="31"/>
                        <w:szCs w:val="31"/>
                      </w:rPr>
                      <w:t>执华为之剑，铸工业之魂</w:t>
                    </w:r>
                  </w:p>
                </w:txbxContent>
              </v:textbox>
            </v:shape>
            <v:shape id="_x0000_s1029" type="#_x0000_t75" style="width:2875;height:760;left:8635;position:absolute;top:465" filled="f" stroked="f">
              <v:imagedata r:id="rId6" o:title=""/>
            </v:shape>
            <v:shape id="_x0000_s1030" type="#_x0000_t202" style="width:2053;height:276;left:9063;position:absolute;top:1677" filled="f" stroked="f">
              <o:lock v:ext="edit" aspectratio="f"/>
              <v:textbox inset="0,0,0,0">
                <w:txbxContent>
                  <w:p>
                    <w:pPr>
                      <w:spacing w:before="19" w:line="195" w:lineRule="auto"/>
                      <w:jc w:val="right"/>
                      <w:rPr>
                        <w:rFonts w:ascii="Microsoft YaHei" w:eastAsia="Microsoft YaHei" w:hAnsi="Microsoft YaHei" w:cs="Microsoft YaHei"/>
                        <w:sz w:val="22"/>
                        <w:szCs w:val="22"/>
                      </w:rPr>
                    </w:pPr>
                    <w:r>
                      <w:rPr>
                        <w:rFonts w:ascii="Microsoft YaHei" w:eastAsia="Microsoft YaHei" w:hAnsi="Microsoft YaHei" w:cs="Microsoft YaHei"/>
                        <w:b/>
                        <w:bCs/>
                        <w:color w:val="C00000"/>
                        <w:spacing w:val="-6"/>
                        <w:sz w:val="22"/>
                        <w:szCs w:val="22"/>
                      </w:rPr>
                      <w:t>2024 年 02 月 14</w:t>
                    </w:r>
                    <w:r>
                      <w:rPr>
                        <w:rFonts w:ascii="Microsoft YaHei" w:eastAsia="Microsoft YaHei" w:hAnsi="Microsoft YaHei" w:cs="Microsoft YaHei"/>
                        <w:b/>
                        <w:bCs/>
                        <w:color w:val="C00000"/>
                        <w:spacing w:val="28"/>
                        <w:sz w:val="22"/>
                        <w:szCs w:val="22"/>
                      </w:rPr>
                      <w:t xml:space="preserve"> </w:t>
                    </w:r>
                    <w:r>
                      <w:rPr>
                        <w:rFonts w:ascii="Microsoft YaHei" w:eastAsia="Microsoft YaHei" w:hAnsi="Microsoft YaHei" w:cs="Microsoft YaHei"/>
                        <w:b/>
                        <w:bCs/>
                        <w:color w:val="C00000"/>
                        <w:spacing w:val="-6"/>
                        <w:sz w:val="22"/>
                        <w:szCs w:val="22"/>
                      </w:rPr>
                      <w:t>日</w:t>
                    </w:r>
                  </w:p>
                </w:txbxContent>
              </v:textbox>
            </v:shape>
            <w10:wrap type="none"/>
          </v:group>
        </w:pict>
      </w:r>
    </w:p>
    <w:tbl>
      <w:tblPr>
        <w:tblStyle w:val="TableNormal"/>
        <w:tblW w:w="7304" w:type="dxa"/>
        <w:tblInd w:w="707" w:type="dxa"/>
        <w:tblBorders>
          <w:top w:val="nil"/>
          <w:left w:val="nil"/>
          <w:bottom w:val="nil"/>
          <w:right w:val="nil"/>
          <w:insideH w:val="nil"/>
          <w:insideV w:val="nil"/>
        </w:tblBorders>
        <w:tblLayout w:type="fixed"/>
      </w:tblPr>
      <w:tblGrid>
        <w:gridCol w:w="2972"/>
        <w:gridCol w:w="1027"/>
        <w:gridCol w:w="1025"/>
        <w:gridCol w:w="1027"/>
        <w:gridCol w:w="1253"/>
      </w:tblGrid>
      <w:tr>
        <w:tblPrEx>
          <w:tblW w:w="7304" w:type="dxa"/>
          <w:tblInd w:w="707" w:type="dxa"/>
          <w:tblBorders>
            <w:top w:val="nil"/>
            <w:left w:val="nil"/>
            <w:bottom w:val="nil"/>
            <w:right w:val="nil"/>
            <w:insideH w:val="nil"/>
            <w:insideV w:val="nil"/>
          </w:tblBorders>
          <w:tblLayout w:type="fixed"/>
        </w:tblPrEx>
        <w:trPr>
          <w:trHeight w:val="11273"/>
        </w:trPr>
        <w:tc>
          <w:tcPr>
            <w:tcW w:w="7304" w:type="dxa"/>
            <w:gridSpan w:val="5"/>
            <w:tcBorders>
              <w:top w:val="single" w:sz="16" w:space="0" w:color="C00000"/>
            </w:tcBorders>
            <w:vAlign w:val="top"/>
          </w:tcPr>
          <w:p>
            <w:pPr>
              <w:spacing w:line="311" w:lineRule="auto"/>
              <w:rPr>
                <w:rFonts w:ascii="Arial"/>
                <w:sz w:val="21"/>
              </w:rPr>
            </w:pPr>
          </w:p>
          <w:p>
            <w:pPr>
              <w:pStyle w:val="TableText"/>
              <w:spacing w:before="81" w:line="218" w:lineRule="auto"/>
              <w:ind w:left="108" w:right="237" w:firstLine="14"/>
            </w:pPr>
            <w:r>
              <w:rPr>
                <w:color w:val="C00000"/>
                <w14:textOutline w14:w="2579">
                  <w14:solidFill>
                    <w14:srgbClr w14:val="C00000"/>
                  </w14:solidFill>
                  <w14:prstDash w14:val="solid"/>
                  <w14:round/>
                </w14:textOutline>
              </w:rPr>
              <w:drawing>
                <wp:inline distT="0" distB="0" distL="0" distR="0">
                  <wp:extent cx="85481" cy="8837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85481" cy="88370"/>
                          </a:xfrm>
                          <a:prstGeom prst="rect">
                            <a:avLst/>
                          </a:prstGeom>
                        </pic:spPr>
                      </pic:pic>
                    </a:graphicData>
                  </a:graphic>
                </wp:inline>
              </w:drawing>
            </w:r>
            <w:r>
              <w:rPr>
                <w:b/>
                <w:bCs/>
                <w:color w:val="C00000"/>
                <w:spacing w:val="12"/>
              </w:rPr>
              <w:t xml:space="preserve">    </w:t>
            </w:r>
            <w:r>
              <w:rPr>
                <w:b/>
                <w:bCs/>
                <w:color w:val="C00000"/>
                <w:spacing w:val="14"/>
              </w:rPr>
              <w:t>公司是国内智能制造企业数字化转型领域领军企业</w:t>
            </w:r>
            <w:r>
              <w:rPr>
                <w:b/>
                <w:bCs/>
                <w:color w:val="4C4D4F"/>
                <w:spacing w:val="14"/>
              </w:rPr>
              <w:t>。</w:t>
            </w:r>
            <w:r>
              <w:rPr>
                <w:color w:val="4C4D4F"/>
                <w:spacing w:val="14"/>
              </w:rPr>
              <w:t>公司主要深耕央企重</w:t>
            </w:r>
            <w:r>
              <w:rPr>
                <w:color w:val="4C4D4F"/>
              </w:rPr>
              <w:t xml:space="preserve"> </w:t>
            </w:r>
            <w:r>
              <w:rPr>
                <w:color w:val="4C4D4F"/>
                <w:spacing w:val="9"/>
              </w:rPr>
              <w:t>工、高科技电子与</w:t>
            </w:r>
            <w:r>
              <w:rPr>
                <w:color w:val="4C4D4F"/>
                <w:spacing w:val="52"/>
                <w:w w:val="101"/>
              </w:rPr>
              <w:t xml:space="preserve"> </w:t>
            </w:r>
            <w:r>
              <w:rPr>
                <w:color w:val="4C4D4F"/>
                <w:spacing w:val="9"/>
              </w:rPr>
              <w:t>5G、汽车轨道与交通、装备制造四大重点行业的头</w:t>
            </w:r>
            <w:r>
              <w:rPr>
                <w:color w:val="4C4D4F"/>
                <w:spacing w:val="8"/>
              </w:rPr>
              <w:t>部客户，</w:t>
            </w:r>
            <w:r>
              <w:rPr>
                <w:color w:val="4C4D4F"/>
              </w:rPr>
              <w:t xml:space="preserve"> </w:t>
            </w:r>
            <w:r>
              <w:rPr>
                <w:color w:val="4C4D4F"/>
                <w:spacing w:val="8"/>
              </w:rPr>
              <w:t>四大行业收入占比约 90%，其中央企重工占比最大，2022 年其占</w:t>
            </w:r>
            <w:r>
              <w:rPr>
                <w:color w:val="4C4D4F"/>
                <w:spacing w:val="7"/>
              </w:rPr>
              <w:t>总收入的比重</w:t>
            </w:r>
            <w:r>
              <w:rPr>
                <w:color w:val="4C4D4F"/>
              </w:rPr>
              <w:t xml:space="preserve"> </w:t>
            </w:r>
            <w:r>
              <w:rPr>
                <w:color w:val="4C4D4F"/>
                <w:spacing w:val="6"/>
              </w:rPr>
              <w:t>为 43%。代表性客户如中航工业集团、中国商飞、华为等。近年来，公司积极能</w:t>
            </w:r>
            <w:r>
              <w:rPr>
                <w:color w:val="4C4D4F"/>
                <w:spacing w:val="11"/>
              </w:rPr>
              <w:t xml:space="preserve"> </w:t>
            </w:r>
            <w:r>
              <w:rPr>
                <w:color w:val="4C4D4F"/>
                <w:spacing w:val="6"/>
              </w:rPr>
              <w:t>源与基础设施、新能源、消费等行业做拓展。经过近</w:t>
            </w:r>
            <w:r>
              <w:rPr>
                <w:color w:val="4C4D4F"/>
                <w:spacing w:val="23"/>
              </w:rPr>
              <w:t xml:space="preserve"> </w:t>
            </w:r>
            <w:r>
              <w:rPr>
                <w:color w:val="4C4D4F"/>
                <w:spacing w:val="5"/>
              </w:rPr>
              <w:t>20 年的发展，  公司累计服</w:t>
            </w:r>
            <w:r>
              <w:rPr>
                <w:color w:val="4C4D4F"/>
              </w:rPr>
              <w:t xml:space="preserve"> </w:t>
            </w:r>
            <w:r>
              <w:rPr>
                <w:color w:val="4C4D4F"/>
                <w:spacing w:val="3"/>
              </w:rPr>
              <w:t>务客户超过</w:t>
            </w:r>
            <w:r>
              <w:rPr>
                <w:color w:val="4C4D4F"/>
                <w:spacing w:val="16"/>
              </w:rPr>
              <w:t xml:space="preserve"> </w:t>
            </w:r>
            <w:r>
              <w:rPr>
                <w:color w:val="4C4D4F"/>
                <w:spacing w:val="3"/>
              </w:rPr>
              <w:t>2000 家。</w:t>
            </w:r>
            <w:r>
              <w:rPr>
                <w:color w:val="4C4D4F"/>
                <w:spacing w:val="31"/>
              </w:rPr>
              <w:t xml:space="preserve"> </w:t>
            </w:r>
            <w:r>
              <w:rPr>
                <w:color w:val="4C4D4F"/>
                <w:spacing w:val="3"/>
              </w:rPr>
              <w:t>2023 年前三季度公</w:t>
            </w:r>
            <w:r>
              <w:rPr>
                <w:color w:val="4C4D4F"/>
                <w:spacing w:val="2"/>
              </w:rPr>
              <w:t>司实现总收入</w:t>
            </w:r>
            <w:r>
              <w:rPr>
                <w:color w:val="4C4D4F"/>
                <w:spacing w:val="26"/>
              </w:rPr>
              <w:t xml:space="preserve"> </w:t>
            </w:r>
            <w:r>
              <w:rPr>
                <w:color w:val="4C4D4F"/>
                <w:spacing w:val="2"/>
              </w:rPr>
              <w:t>10.85 亿元，  同比增长</w:t>
            </w:r>
            <w:r>
              <w:rPr>
                <w:color w:val="4C4D4F"/>
              </w:rPr>
              <w:t xml:space="preserve"> </w:t>
            </w:r>
            <w:r>
              <w:rPr>
                <w:color w:val="4C4D4F"/>
                <w:spacing w:val="6"/>
              </w:rPr>
              <w:t>34.05%，实现净利润 2.36 亿元，同比增长 95.24</w:t>
            </w:r>
            <w:r>
              <w:rPr>
                <w:color w:val="4C4D4F"/>
                <w:spacing w:val="5"/>
              </w:rPr>
              <w:t>%。</w:t>
            </w:r>
          </w:p>
          <w:p>
            <w:pPr>
              <w:pStyle w:val="TableText"/>
              <w:spacing w:before="89" w:line="218" w:lineRule="auto"/>
              <w:ind w:left="109" w:right="239" w:firstLine="14"/>
            </w:pPr>
            <w:r>
              <w:rPr>
                <w:color w:val="C00000"/>
                <w14:textOutline w14:w="2579">
                  <w14:solidFill>
                    <w14:srgbClr w14:val="C00000"/>
                  </w14:solidFill>
                  <w14:prstDash w14:val="solid"/>
                  <w14:round/>
                </w14:textOutline>
              </w:rPr>
              <w:drawing>
                <wp:inline distT="0" distB="0" distL="0" distR="0">
                  <wp:extent cx="85481" cy="8837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85481" cy="88370"/>
                          </a:xfrm>
                          <a:prstGeom prst="rect">
                            <a:avLst/>
                          </a:prstGeom>
                        </pic:spPr>
                      </pic:pic>
                    </a:graphicData>
                  </a:graphic>
                </wp:inline>
              </w:drawing>
            </w:r>
            <w:r>
              <w:rPr>
                <w:b/>
                <w:bCs/>
                <w:color w:val="C00000"/>
                <w:spacing w:val="15"/>
              </w:rPr>
              <w:t xml:space="preserve">    </w:t>
            </w:r>
            <w:r>
              <w:rPr>
                <w:b/>
                <w:bCs/>
                <w:color w:val="C00000"/>
                <w:spacing w:val="3"/>
              </w:rPr>
              <w:t>工业软件是制造之魂，</w:t>
            </w:r>
            <w:r>
              <w:rPr>
                <w:b/>
                <w:bCs/>
                <w:color w:val="C00000"/>
                <w:spacing w:val="48"/>
              </w:rPr>
              <w:t xml:space="preserve"> </w:t>
            </w:r>
            <w:r>
              <w:rPr>
                <w:b/>
                <w:bCs/>
                <w:color w:val="C00000"/>
                <w:spacing w:val="3"/>
              </w:rPr>
              <w:t>政策持续加持，行业有望加速发展。</w:t>
            </w:r>
            <w:r>
              <w:rPr>
                <w:b/>
                <w:bCs/>
                <w:color w:val="C00000"/>
                <w:spacing w:val="35"/>
                <w:w w:val="101"/>
              </w:rPr>
              <w:t xml:space="preserve"> </w:t>
            </w:r>
            <w:r>
              <w:rPr>
                <w:color w:val="4C4D4F"/>
                <w:spacing w:val="3"/>
              </w:rPr>
              <w:t>2021</w:t>
            </w:r>
            <w:r>
              <w:rPr>
                <w:color w:val="4C4D4F"/>
                <w:spacing w:val="18"/>
              </w:rPr>
              <w:t xml:space="preserve"> </w:t>
            </w:r>
            <w:r>
              <w:rPr>
                <w:color w:val="4C4D4F"/>
                <w:spacing w:val="3"/>
              </w:rPr>
              <w:t>年我国工</w:t>
            </w:r>
            <w:r>
              <w:rPr>
                <w:color w:val="4C4D4F"/>
              </w:rPr>
              <w:t xml:space="preserve"> </w:t>
            </w:r>
            <w:r>
              <w:rPr>
                <w:color w:val="4C4D4F"/>
                <w:spacing w:val="4"/>
              </w:rPr>
              <w:t>业软件市场规模为 2414 亿元，</w:t>
            </w:r>
            <w:r>
              <w:rPr>
                <w:color w:val="4C4D4F"/>
                <w:spacing w:val="42"/>
                <w:w w:val="101"/>
              </w:rPr>
              <w:t xml:space="preserve"> </w:t>
            </w:r>
            <w:r>
              <w:rPr>
                <w:color w:val="4C4D4F"/>
                <w:spacing w:val="4"/>
              </w:rPr>
              <w:t>2012-2021 年复合增长率达到 14.24%</w:t>
            </w:r>
            <w:r>
              <w:rPr>
                <w:color w:val="4C4D4F"/>
                <w:spacing w:val="3"/>
              </w:rPr>
              <w:t>，增速强</w:t>
            </w:r>
            <w:r>
              <w:rPr>
                <w:color w:val="4C4D4F"/>
              </w:rPr>
              <w:t xml:space="preserve"> </w:t>
            </w:r>
            <w:r>
              <w:rPr>
                <w:color w:val="4C4D4F"/>
                <w:spacing w:val="9"/>
              </w:rPr>
              <w:t>劲。中国制造逐步向高端制造迈进的道路上，</w:t>
            </w:r>
            <w:r>
              <w:rPr>
                <w:color w:val="4C4D4F"/>
                <w:spacing w:val="8"/>
              </w:rPr>
              <w:t>我国工业软件市场有望持续保持高</w:t>
            </w:r>
            <w:r>
              <w:rPr>
                <w:color w:val="4C4D4F"/>
              </w:rPr>
              <w:t xml:space="preserve"> </w:t>
            </w:r>
            <w:r>
              <w:rPr>
                <w:color w:val="4C4D4F"/>
                <w:spacing w:val="1"/>
              </w:rPr>
              <w:t>速增长的势头。2020 年以来，</w:t>
            </w:r>
            <w:r>
              <w:rPr>
                <w:color w:val="4C4D4F"/>
                <w:spacing w:val="-29"/>
              </w:rPr>
              <w:t xml:space="preserve"> </w:t>
            </w:r>
            <w:r>
              <w:rPr>
                <w:color w:val="4C4D4F"/>
                <w:spacing w:val="1"/>
              </w:rPr>
              <w:t>工业软件领域政策持续发力， 行</w:t>
            </w:r>
            <w:r>
              <w:rPr>
                <w:color w:val="4C4D4F"/>
              </w:rPr>
              <w:t xml:space="preserve">业暖风不断。2023 </w:t>
            </w:r>
            <w:r>
              <w:rPr>
                <w:color w:val="4C4D4F"/>
                <w:spacing w:val="4"/>
              </w:rPr>
              <w:t>年 9 月， 全国新型工业化推进大会提出： 积极主动适应和引领新一轮科技革命和</w:t>
            </w:r>
            <w:r>
              <w:rPr>
                <w:color w:val="4C4D4F"/>
              </w:rPr>
              <w:t xml:space="preserve"> </w:t>
            </w:r>
            <w:r>
              <w:rPr>
                <w:color w:val="4C4D4F"/>
                <w:spacing w:val="9"/>
              </w:rPr>
              <w:t>产业变革，把高质量发展的要求贯穿新型工业</w:t>
            </w:r>
            <w:r>
              <w:rPr>
                <w:color w:val="4C4D4F"/>
                <w:spacing w:val="8"/>
              </w:rPr>
              <w:t>化全过程，把建设制造强国同发展</w:t>
            </w:r>
            <w:r>
              <w:rPr>
                <w:color w:val="4C4D4F"/>
              </w:rPr>
              <w:t xml:space="preserve"> </w:t>
            </w:r>
            <w:r>
              <w:rPr>
                <w:color w:val="4C4D4F"/>
                <w:spacing w:val="4"/>
              </w:rPr>
              <w:t>数字经济、产业信息化等有机结合，</w:t>
            </w:r>
            <w:r>
              <w:rPr>
                <w:color w:val="4C4D4F"/>
                <w:spacing w:val="22"/>
              </w:rPr>
              <w:t xml:space="preserve">  </w:t>
            </w:r>
            <w:r>
              <w:rPr>
                <w:color w:val="4C4D4F"/>
                <w:spacing w:val="4"/>
              </w:rPr>
              <w:t>为中国式现代化构筑强大物质技术基础。</w:t>
            </w:r>
          </w:p>
          <w:p>
            <w:pPr>
              <w:pStyle w:val="TableText"/>
              <w:spacing w:before="88" w:line="219" w:lineRule="auto"/>
              <w:ind w:left="110" w:right="236" w:firstLine="13"/>
            </w:pPr>
            <w:r>
              <w:rPr>
                <w:color w:val="C00000"/>
                <w14:textOutline w14:w="2579">
                  <w14:solidFill>
                    <w14:srgbClr w14:val="C00000"/>
                  </w14:solidFill>
                  <w14:prstDash w14:val="solid"/>
                  <w14:round/>
                </w14:textOutline>
              </w:rPr>
              <w:drawing>
                <wp:inline distT="0" distB="0" distL="0" distR="0">
                  <wp:extent cx="85481" cy="8837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85481" cy="88370"/>
                          </a:xfrm>
                          <a:prstGeom prst="rect">
                            <a:avLst/>
                          </a:prstGeom>
                        </pic:spPr>
                      </pic:pic>
                    </a:graphicData>
                  </a:graphic>
                </wp:inline>
              </w:drawing>
            </w:r>
            <w:r>
              <w:rPr>
                <w:b/>
                <w:bCs/>
                <w:color w:val="C00000"/>
                <w:spacing w:val="1"/>
              </w:rPr>
              <w:t xml:space="preserve">     </w:t>
            </w:r>
            <w:r>
              <w:rPr>
                <w:b/>
                <w:bCs/>
                <w:color w:val="C00000"/>
                <w:spacing w:val="9"/>
              </w:rPr>
              <w:t>自研业务驱动盈利能力品质上行，华为合作</w:t>
            </w:r>
            <w:r>
              <w:rPr>
                <w:b/>
                <w:bCs/>
                <w:color w:val="C00000"/>
                <w:spacing w:val="8"/>
              </w:rPr>
              <w:t>驱动新一轮发展机遇。</w:t>
            </w:r>
            <w:r>
              <w:rPr>
                <w:b/>
                <w:bCs/>
                <w:color w:val="C00000"/>
                <w:spacing w:val="-20"/>
              </w:rPr>
              <w:t xml:space="preserve"> </w:t>
            </w:r>
            <w:r>
              <w:rPr>
                <w:b/>
                <w:bCs/>
                <w:color w:val="4C4D4F"/>
                <w:spacing w:val="8"/>
              </w:rPr>
              <w:t>1）自研</w:t>
            </w:r>
            <w:r>
              <w:rPr>
                <w:b/>
                <w:bCs/>
                <w:color w:val="4C4D4F"/>
              </w:rPr>
              <w:t xml:space="preserve"> </w:t>
            </w:r>
            <w:r>
              <w:rPr>
                <w:b/>
                <w:bCs/>
                <w:color w:val="4C4D4F"/>
                <w:spacing w:val="9"/>
              </w:rPr>
              <w:t>产品方面：</w:t>
            </w:r>
            <w:r>
              <w:rPr>
                <w:color w:val="4C4D4F"/>
                <w:spacing w:val="9"/>
              </w:rPr>
              <w:t>经过多年的发展，公司形成以乐仓、</w:t>
            </w:r>
            <w:r>
              <w:rPr>
                <w:color w:val="4C4D4F"/>
                <w:spacing w:val="8"/>
              </w:rPr>
              <w:t>乐造、乐数、乐研、后厂造为核</w:t>
            </w:r>
            <w:r>
              <w:rPr>
                <w:color w:val="4C4D4F"/>
              </w:rPr>
              <w:t xml:space="preserve"> </w:t>
            </w:r>
            <w:r>
              <w:rPr>
                <w:color w:val="4C4D4F"/>
                <w:spacing w:val="6"/>
              </w:rPr>
              <w:t>心的自研产品体系。随着公司持续发力，自研产品持续放量，  20</w:t>
            </w:r>
            <w:r>
              <w:rPr>
                <w:color w:val="4C4D4F"/>
                <w:spacing w:val="5"/>
              </w:rPr>
              <w:t>22</w:t>
            </w:r>
            <w:r>
              <w:rPr>
                <w:color w:val="4C4D4F"/>
                <w:spacing w:val="37"/>
                <w:w w:val="101"/>
              </w:rPr>
              <w:t xml:space="preserve"> </w:t>
            </w:r>
            <w:r>
              <w:rPr>
                <w:color w:val="4C4D4F"/>
                <w:spacing w:val="5"/>
              </w:rPr>
              <w:t>年自研业务</w:t>
            </w:r>
            <w:r>
              <w:rPr>
                <w:color w:val="4C4D4F"/>
              </w:rPr>
              <w:t xml:space="preserve"> </w:t>
            </w:r>
            <w:r>
              <w:rPr>
                <w:color w:val="4C4D4F"/>
                <w:spacing w:val="3"/>
              </w:rPr>
              <w:t>收入达到 2.05 亿元，</w:t>
            </w:r>
            <w:r>
              <w:rPr>
                <w:color w:val="4C4D4F"/>
                <w:spacing w:val="52"/>
                <w:w w:val="101"/>
              </w:rPr>
              <w:t xml:space="preserve"> </w:t>
            </w:r>
            <w:r>
              <w:rPr>
                <w:color w:val="4C4D4F"/>
                <w:spacing w:val="3"/>
              </w:rPr>
              <w:t>占总营收比例为</w:t>
            </w:r>
            <w:r>
              <w:rPr>
                <w:color w:val="4C4D4F"/>
                <w:spacing w:val="15"/>
                <w:w w:val="101"/>
              </w:rPr>
              <w:t xml:space="preserve"> </w:t>
            </w:r>
            <w:r>
              <w:rPr>
                <w:color w:val="4C4D4F"/>
                <w:spacing w:val="3"/>
              </w:rPr>
              <w:t>17%，收入增速超过 50%。随着自</w:t>
            </w:r>
            <w:r>
              <w:rPr>
                <w:color w:val="4C4D4F"/>
                <w:spacing w:val="2"/>
              </w:rPr>
              <w:t>研产品</w:t>
            </w:r>
            <w:r>
              <w:rPr>
                <w:color w:val="4C4D4F"/>
              </w:rPr>
              <w:t xml:space="preserve"> </w:t>
            </w:r>
            <w:r>
              <w:rPr>
                <w:color w:val="4C4D4F"/>
                <w:spacing w:val="3"/>
              </w:rPr>
              <w:t>占比持续提升，</w:t>
            </w:r>
            <w:r>
              <w:rPr>
                <w:color w:val="4C4D4F"/>
                <w:spacing w:val="59"/>
                <w:w w:val="101"/>
              </w:rPr>
              <w:t xml:space="preserve"> </w:t>
            </w:r>
            <w:r>
              <w:rPr>
                <w:color w:val="4C4D4F"/>
                <w:spacing w:val="3"/>
              </w:rPr>
              <w:t>公司净利率、毛利率等指标持续改善，</w:t>
            </w:r>
            <w:r>
              <w:rPr>
                <w:color w:val="4C4D4F"/>
                <w:spacing w:val="29"/>
                <w:w w:val="101"/>
              </w:rPr>
              <w:t xml:space="preserve"> </w:t>
            </w:r>
            <w:r>
              <w:rPr>
                <w:color w:val="4C4D4F"/>
                <w:spacing w:val="3"/>
              </w:rPr>
              <w:t>综合盈利能力品质上行；</w:t>
            </w:r>
            <w:r>
              <w:rPr>
                <w:color w:val="4C4D4F"/>
              </w:rPr>
              <w:t xml:space="preserve"> </w:t>
            </w:r>
            <w:r>
              <w:rPr>
                <w:b/>
                <w:bCs/>
                <w:color w:val="4C4D4F"/>
                <w:spacing w:val="10"/>
              </w:rPr>
              <w:t>2）华为方面</w:t>
            </w:r>
            <w:r>
              <w:rPr>
                <w:color w:val="4C4D4F"/>
                <w:spacing w:val="10"/>
              </w:rPr>
              <w:t>：华为工业软件领域的核心主张：以</w:t>
            </w:r>
            <w:r>
              <w:rPr>
                <w:color w:val="4C4D4F"/>
                <w:spacing w:val="22"/>
                <w:w w:val="101"/>
              </w:rPr>
              <w:t xml:space="preserve"> </w:t>
            </w:r>
            <w:r>
              <w:rPr>
                <w:color w:val="4C4D4F"/>
              </w:rPr>
              <w:t>iDME</w:t>
            </w:r>
            <w:r>
              <w:rPr>
                <w:color w:val="4C4D4F"/>
                <w:spacing w:val="10"/>
              </w:rPr>
              <w:t xml:space="preserve"> 平台为牵引</w:t>
            </w:r>
            <w:r>
              <w:rPr>
                <w:color w:val="4C4D4F"/>
                <w:spacing w:val="9"/>
              </w:rPr>
              <w:t>，联合生态</w:t>
            </w:r>
            <w:r>
              <w:rPr>
                <w:color w:val="4C4D4F"/>
              </w:rPr>
              <w:t xml:space="preserve"> </w:t>
            </w:r>
            <w:r>
              <w:rPr>
                <w:color w:val="4C4D4F"/>
                <w:spacing w:val="3"/>
              </w:rPr>
              <w:t>伙伴，</w:t>
            </w:r>
            <w:r>
              <w:rPr>
                <w:color w:val="4C4D4F"/>
                <w:spacing w:val="40"/>
                <w:w w:val="101"/>
              </w:rPr>
              <w:t xml:space="preserve"> </w:t>
            </w:r>
            <w:r>
              <w:rPr>
                <w:color w:val="4C4D4F"/>
                <w:spacing w:val="3"/>
              </w:rPr>
              <w:t>在“云改数转”的新架构和新范式下</w:t>
            </w:r>
            <w:r>
              <w:rPr>
                <w:color w:val="4C4D4F"/>
                <w:spacing w:val="2"/>
              </w:rPr>
              <w:t>，  实现弯道超车。公司有望强强携手</w:t>
            </w:r>
            <w:r>
              <w:rPr>
                <w:color w:val="4C4D4F"/>
              </w:rPr>
              <w:t xml:space="preserve"> </w:t>
            </w:r>
            <w:r>
              <w:rPr>
                <w:color w:val="4C4D4F"/>
                <w:spacing w:val="2"/>
              </w:rPr>
              <w:t>华为，</w:t>
            </w:r>
            <w:r>
              <w:rPr>
                <w:color w:val="4C4D4F"/>
                <w:spacing w:val="42"/>
              </w:rPr>
              <w:t xml:space="preserve"> </w:t>
            </w:r>
            <w:r>
              <w:rPr>
                <w:color w:val="4C4D4F"/>
                <w:spacing w:val="2"/>
              </w:rPr>
              <w:t>开启工业软件国产替代新局面。产品方面，</w:t>
            </w:r>
            <w:r>
              <w:rPr>
                <w:color w:val="4C4D4F"/>
                <w:spacing w:val="19"/>
              </w:rPr>
              <w:t xml:space="preserve"> </w:t>
            </w:r>
            <w:r>
              <w:rPr>
                <w:color w:val="4C4D4F"/>
                <w:spacing w:val="1"/>
              </w:rPr>
              <w:t>公司与华为在硬件、软件、</w:t>
            </w:r>
            <w:r>
              <w:rPr>
                <w:color w:val="4C4D4F"/>
                <w:spacing w:val="21"/>
                <w:w w:val="101"/>
              </w:rPr>
              <w:t xml:space="preserve"> </w:t>
            </w:r>
            <w:r>
              <w:rPr>
                <w:color w:val="4C4D4F"/>
              </w:rPr>
              <w:t xml:space="preserve">AI </w:t>
            </w:r>
            <w:r>
              <w:rPr>
                <w:color w:val="4C4D4F"/>
                <w:spacing w:val="9"/>
              </w:rPr>
              <w:t>开发三方面开展互补合作。市场方面，公司有望借助于华为</w:t>
            </w:r>
            <w:r>
              <w:rPr>
                <w:color w:val="4C4D4F"/>
                <w:spacing w:val="8"/>
              </w:rPr>
              <w:t>强大的品牌和生态，</w:t>
            </w:r>
            <w:r>
              <w:rPr>
                <w:color w:val="4C4D4F"/>
              </w:rPr>
              <w:t xml:space="preserve"> </w:t>
            </w:r>
            <w:r>
              <w:rPr>
                <w:color w:val="4C4D4F"/>
                <w:spacing w:val="7"/>
              </w:rPr>
              <w:t>迅速拓展客户群体，实现新一轮大发展。</w:t>
            </w:r>
          </w:p>
          <w:p>
            <w:pPr>
              <w:pStyle w:val="TableText"/>
              <w:spacing w:before="90" w:line="216" w:lineRule="auto"/>
              <w:ind w:left="110" w:right="236" w:firstLine="13"/>
            </w:pPr>
            <w:r>
              <w:rPr>
                <w:color w:val="C00000"/>
                <w14:textOutline w14:w="2579">
                  <w14:solidFill>
                    <w14:srgbClr w14:val="C00000"/>
                  </w14:solidFill>
                  <w14:prstDash w14:val="solid"/>
                  <w14:round/>
                </w14:textOutline>
              </w:rPr>
              <w:drawing>
                <wp:inline distT="0" distB="0" distL="0" distR="0">
                  <wp:extent cx="85481" cy="8837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85481" cy="88370"/>
                          </a:xfrm>
                          <a:prstGeom prst="rect">
                            <a:avLst/>
                          </a:prstGeom>
                        </pic:spPr>
                      </pic:pic>
                    </a:graphicData>
                  </a:graphic>
                </wp:inline>
              </w:drawing>
            </w:r>
            <w:r>
              <w:rPr>
                <w:b/>
                <w:bCs/>
                <w:color w:val="C00000"/>
                <w:spacing w:val="11"/>
              </w:rPr>
              <w:t xml:space="preserve">    </w:t>
            </w:r>
            <w:r>
              <w:rPr>
                <w:b/>
                <w:bCs/>
                <w:color w:val="C00000"/>
                <w:spacing w:val="1"/>
              </w:rPr>
              <w:t>投资建议：</w:t>
            </w:r>
            <w:r>
              <w:rPr>
                <w:b/>
                <w:bCs/>
                <w:color w:val="C00000"/>
                <w:spacing w:val="22"/>
              </w:rPr>
              <w:t xml:space="preserve"> </w:t>
            </w:r>
            <w:r>
              <w:rPr>
                <w:color w:val="4C4D4F"/>
                <w:spacing w:val="1"/>
              </w:rPr>
              <w:t>预计公司 2023-2025 年分别实现</w:t>
            </w:r>
            <w:r>
              <w:rPr>
                <w:color w:val="4C4D4F"/>
              </w:rPr>
              <w:t>营业收入</w:t>
            </w:r>
            <w:r>
              <w:rPr>
                <w:color w:val="4C4D4F"/>
                <w:spacing w:val="17"/>
                <w:w w:val="101"/>
              </w:rPr>
              <w:t xml:space="preserve"> </w:t>
            </w:r>
            <w:r>
              <w:rPr>
                <w:color w:val="4C4D4F"/>
              </w:rPr>
              <w:t xml:space="preserve">16.78、20.78、25.47 </w:t>
            </w:r>
            <w:r>
              <w:rPr>
                <w:color w:val="4C4D4F"/>
                <w:spacing w:val="6"/>
              </w:rPr>
              <w:t>亿元，实现归母净利润</w:t>
            </w:r>
            <w:r>
              <w:rPr>
                <w:color w:val="4C4D4F"/>
                <w:spacing w:val="33"/>
              </w:rPr>
              <w:t xml:space="preserve"> </w:t>
            </w:r>
            <w:r>
              <w:rPr>
                <w:color w:val="4C4D4F"/>
                <w:spacing w:val="6"/>
              </w:rPr>
              <w:t>2.49、</w:t>
            </w:r>
            <w:r>
              <w:rPr>
                <w:color w:val="4C4D4F"/>
                <w:spacing w:val="-32"/>
              </w:rPr>
              <w:t xml:space="preserve"> </w:t>
            </w:r>
            <w:r>
              <w:rPr>
                <w:color w:val="4C4D4F"/>
                <w:spacing w:val="6"/>
              </w:rPr>
              <w:t>3.26、4.40 亿元，当前股价对应</w:t>
            </w:r>
            <w:r>
              <w:rPr>
                <w:color w:val="4C4D4F"/>
                <w:spacing w:val="18"/>
              </w:rPr>
              <w:t xml:space="preserve"> </w:t>
            </w:r>
            <w:r>
              <w:rPr>
                <w:color w:val="4C4D4F"/>
                <w:spacing w:val="6"/>
              </w:rPr>
              <w:t>23-25 年</w:t>
            </w:r>
            <w:r>
              <w:rPr>
                <w:color w:val="4C4D4F"/>
                <w:spacing w:val="26"/>
              </w:rPr>
              <w:t xml:space="preserve"> </w:t>
            </w:r>
            <w:r>
              <w:rPr>
                <w:color w:val="4C4D4F"/>
              </w:rPr>
              <w:t>PE</w:t>
            </w:r>
            <w:r>
              <w:rPr>
                <w:color w:val="4C4D4F"/>
                <w:spacing w:val="6"/>
              </w:rPr>
              <w:t xml:space="preserve"> 分</w:t>
            </w:r>
            <w:r>
              <w:rPr>
                <w:color w:val="4C4D4F"/>
              </w:rPr>
              <w:t xml:space="preserve"> </w:t>
            </w:r>
            <w:r>
              <w:rPr>
                <w:color w:val="4C4D4F"/>
                <w:spacing w:val="6"/>
              </w:rPr>
              <w:t>别为 22、</w:t>
            </w:r>
            <w:r>
              <w:rPr>
                <w:color w:val="4C4D4F"/>
                <w:spacing w:val="-33"/>
              </w:rPr>
              <w:t xml:space="preserve"> </w:t>
            </w:r>
            <w:r>
              <w:rPr>
                <w:color w:val="4C4D4F"/>
                <w:spacing w:val="6"/>
              </w:rPr>
              <w:t>17、</w:t>
            </w:r>
            <w:r>
              <w:rPr>
                <w:color w:val="4C4D4F"/>
                <w:spacing w:val="-35"/>
              </w:rPr>
              <w:t xml:space="preserve"> </w:t>
            </w:r>
            <w:r>
              <w:rPr>
                <w:color w:val="4C4D4F"/>
                <w:spacing w:val="6"/>
              </w:rPr>
              <w:t>12 倍。看好公司在新阶段的发展势头和业务前景，首次覆盖，给</w:t>
            </w:r>
            <w:r>
              <w:rPr>
                <w:color w:val="4C4D4F"/>
              </w:rPr>
              <w:t xml:space="preserve"> </w:t>
            </w:r>
            <w:r>
              <w:rPr>
                <w:color w:val="4C4D4F"/>
                <w:spacing w:val="7"/>
              </w:rPr>
              <w:t>予“推荐”评级。</w:t>
            </w:r>
          </w:p>
          <w:p>
            <w:pPr>
              <w:pStyle w:val="TableText"/>
              <w:spacing w:before="88" w:line="211" w:lineRule="auto"/>
              <w:ind w:left="131" w:right="244" w:hanging="8"/>
            </w:pPr>
            <w:r>
              <w:rPr>
                <w:color w:val="C00000"/>
                <w14:textOutline w14:w="2579">
                  <w14:solidFill>
                    <w14:srgbClr w14:val="C00000"/>
                  </w14:solidFill>
                  <w14:prstDash w14:val="solid"/>
                  <w14:round/>
                </w14:textOutline>
              </w:rPr>
              <w:drawing>
                <wp:inline distT="0" distB="0" distL="0" distR="0">
                  <wp:extent cx="85481" cy="8837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1"/>
                          <a:stretch>
                            <a:fillRect/>
                          </a:stretch>
                        </pic:blipFill>
                        <pic:spPr>
                          <a:xfrm>
                            <a:off x="0" y="0"/>
                            <a:ext cx="85481" cy="88370"/>
                          </a:xfrm>
                          <a:prstGeom prst="rect">
                            <a:avLst/>
                          </a:prstGeom>
                        </pic:spPr>
                      </pic:pic>
                    </a:graphicData>
                  </a:graphic>
                </wp:inline>
              </w:drawing>
            </w:r>
            <w:r>
              <w:rPr>
                <w:b/>
                <w:bCs/>
                <w:color w:val="C00000"/>
                <w:spacing w:val="11"/>
              </w:rPr>
              <w:t xml:space="preserve">    </w:t>
            </w:r>
            <w:r>
              <w:rPr>
                <w:b/>
                <w:bCs/>
                <w:color w:val="C00000"/>
                <w:spacing w:val="8"/>
              </w:rPr>
              <w:t>风险提示：</w:t>
            </w:r>
            <w:r>
              <w:rPr>
                <w:color w:val="4C4D4F"/>
                <w:spacing w:val="8"/>
              </w:rPr>
              <w:t>工业软件行业政策落地不及预期、工业软件行业竞争</w:t>
            </w:r>
            <w:r>
              <w:rPr>
                <w:color w:val="4C4D4F"/>
                <w:spacing w:val="7"/>
              </w:rPr>
              <w:t>加剧、公司</w:t>
            </w:r>
            <w:r>
              <w:rPr>
                <w:color w:val="4C4D4F"/>
              </w:rPr>
              <w:t xml:space="preserve"> </w:t>
            </w:r>
            <w:r>
              <w:rPr>
                <w:color w:val="4C4D4F"/>
                <w:spacing w:val="6"/>
              </w:rPr>
              <w:t>自研产品研发及商业推广节奏不及预期。</w:t>
            </w: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82" w:line="178" w:lineRule="auto"/>
              <w:ind w:left="109"/>
            </w:pPr>
            <w:bookmarkStart w:id="1" w:name="bookmark2"/>
            <w:bookmarkEnd w:id="1"/>
            <w:r>
              <w:rPr>
                <w:b/>
                <w:bCs/>
                <w:color w:val="4C4D4F"/>
                <w:spacing w:val="9"/>
              </w:rPr>
              <w:t>盈利预测与财务指标</w:t>
            </w:r>
          </w:p>
        </w:tc>
      </w:tr>
      <w:tr>
        <w:tblPrEx>
          <w:tblW w:w="7304" w:type="dxa"/>
          <w:tblInd w:w="707" w:type="dxa"/>
          <w:tblLayout w:type="fixed"/>
        </w:tblPrEx>
        <w:trPr>
          <w:trHeight w:val="285"/>
        </w:trPr>
        <w:tc>
          <w:tcPr>
            <w:tcW w:w="2972" w:type="dxa"/>
            <w:shd w:val="clear" w:color="auto" w:fill="C00000"/>
            <w:vAlign w:val="top"/>
          </w:tcPr>
          <w:p>
            <w:pPr>
              <w:pStyle w:val="TableText"/>
              <w:spacing w:before="63" w:line="164" w:lineRule="auto"/>
              <w:ind w:left="110"/>
              <w:rPr>
                <w:sz w:val="18"/>
                <w:szCs w:val="18"/>
              </w:rPr>
            </w:pPr>
            <w:r>
              <w:rPr>
                <w:b/>
                <w:bCs/>
                <w:color w:val="FFFFFF"/>
                <w:spacing w:val="-1"/>
                <w:sz w:val="18"/>
                <w:szCs w:val="18"/>
              </w:rPr>
              <w:t>项目/年度</w:t>
            </w:r>
          </w:p>
        </w:tc>
        <w:tc>
          <w:tcPr>
            <w:tcW w:w="1027" w:type="dxa"/>
            <w:shd w:val="clear" w:color="auto" w:fill="C00000"/>
            <w:vAlign w:val="top"/>
          </w:tcPr>
          <w:p>
            <w:pPr>
              <w:pStyle w:val="TableText"/>
              <w:spacing w:before="71" w:line="158" w:lineRule="auto"/>
              <w:ind w:left="350"/>
              <w:rPr>
                <w:sz w:val="18"/>
                <w:szCs w:val="18"/>
              </w:rPr>
            </w:pPr>
            <w:r>
              <w:rPr>
                <w:b/>
                <w:bCs/>
                <w:color w:val="FFFFFF"/>
                <w:spacing w:val="-2"/>
                <w:sz w:val="18"/>
                <w:szCs w:val="18"/>
              </w:rPr>
              <w:t>2022A</w:t>
            </w:r>
          </w:p>
        </w:tc>
        <w:tc>
          <w:tcPr>
            <w:tcW w:w="1025" w:type="dxa"/>
            <w:shd w:val="clear" w:color="auto" w:fill="C00000"/>
            <w:vAlign w:val="top"/>
          </w:tcPr>
          <w:p>
            <w:pPr>
              <w:pStyle w:val="TableText"/>
              <w:spacing w:before="71" w:line="158" w:lineRule="auto"/>
              <w:ind w:left="381"/>
              <w:rPr>
                <w:sz w:val="18"/>
                <w:szCs w:val="18"/>
              </w:rPr>
            </w:pPr>
            <w:r>
              <w:rPr>
                <w:b/>
                <w:bCs/>
                <w:color w:val="FFFFFF"/>
                <w:spacing w:val="-2"/>
                <w:sz w:val="18"/>
                <w:szCs w:val="18"/>
              </w:rPr>
              <w:t>2023E</w:t>
            </w:r>
          </w:p>
        </w:tc>
        <w:tc>
          <w:tcPr>
            <w:tcW w:w="1027" w:type="dxa"/>
            <w:shd w:val="clear" w:color="auto" w:fill="C00000"/>
            <w:vAlign w:val="top"/>
          </w:tcPr>
          <w:p>
            <w:pPr>
              <w:pStyle w:val="TableText"/>
              <w:spacing w:before="71" w:line="158" w:lineRule="auto"/>
              <w:ind w:left="381"/>
              <w:rPr>
                <w:sz w:val="18"/>
                <w:szCs w:val="18"/>
              </w:rPr>
            </w:pPr>
            <w:r>
              <w:rPr>
                <w:b/>
                <w:bCs/>
                <w:color w:val="FFFFFF"/>
                <w:spacing w:val="-2"/>
                <w:sz w:val="18"/>
                <w:szCs w:val="18"/>
              </w:rPr>
              <w:t>2024E</w:t>
            </w:r>
          </w:p>
        </w:tc>
        <w:tc>
          <w:tcPr>
            <w:tcW w:w="1253" w:type="dxa"/>
            <w:vAlign w:val="top"/>
          </w:tcPr>
          <w:p>
            <w:pPr>
              <w:pStyle w:val="TableText"/>
              <w:spacing w:before="5" w:line="270" w:lineRule="exact"/>
            </w:pPr>
            <w:r>
              <w:rPr>
                <w:position w:val="-7"/>
              </w:rPr>
              <w:pict>
                <v:shape id="_x0000_i1031" type="#_x0000_t202" style="width:51.4pt;height:14.3pt;mso-position-horizontal-relative:char;mso-position-vertical-relative:line" filled="t" fillcolor="#c00000" stroked="f">
                  <o:lock v:ext="edit" aspectratio="f"/>
                  <v:textbox inset="0,0,0,0">
                    <w:txbxContent>
                      <w:p>
                        <w:pPr>
                          <w:spacing w:before="65" w:line="172" w:lineRule="auto"/>
                          <w:ind w:left="381"/>
                          <w:rPr>
                            <w:rFonts w:ascii="Microsoft YaHei" w:eastAsia="Microsoft YaHei" w:hAnsi="Microsoft YaHei" w:cs="Microsoft YaHei"/>
                            <w:sz w:val="18"/>
                            <w:szCs w:val="18"/>
                          </w:rPr>
                        </w:pPr>
                        <w:r>
                          <w:rPr>
                            <w:rFonts w:ascii="Microsoft YaHei" w:eastAsia="Microsoft YaHei" w:hAnsi="Microsoft YaHei" w:cs="Microsoft YaHei"/>
                            <w:b/>
                            <w:bCs/>
                            <w:color w:val="FFFFFF"/>
                            <w:spacing w:val="-2"/>
                            <w:sz w:val="18"/>
                            <w:szCs w:val="18"/>
                          </w:rPr>
                          <w:t>2025E</w:t>
                        </w:r>
                      </w:p>
                    </w:txbxContent>
                  </v:textbox>
                  <w10:wrap type="none"/>
                </v:shape>
              </w:pict>
            </w:r>
          </w:p>
        </w:tc>
      </w:tr>
    </w:tbl>
    <w:p>
      <w:pPr>
        <w:sectPr>
          <w:headerReference w:type="default" r:id="rId12"/>
          <w:footerReference w:type="default" r:id="rId13"/>
          <w:pgSz w:w="11907" w:h="16839"/>
          <w:pgMar w:top="1" w:right="0" w:bottom="834" w:left="0" w:header="0" w:footer="464" w:gutter="0"/>
          <w:cols w:space="708"/>
        </w:sectPr>
      </w:pPr>
    </w:p>
    <w:tbl>
      <w:tblPr>
        <w:tblStyle w:val="TableNormal0"/>
        <w:tblW w:w="7304" w:type="dxa"/>
        <w:tblInd w:w="707" w:type="dxa"/>
        <w:tblBorders>
          <w:top w:val="nil"/>
          <w:left w:val="nil"/>
          <w:bottom w:val="nil"/>
          <w:right w:val="nil"/>
          <w:insideH w:val="nil"/>
          <w:insideV w:val="nil"/>
        </w:tblBorders>
        <w:tblLayout w:type="fixed"/>
      </w:tblPr>
      <w:tblGrid>
        <w:gridCol w:w="2972"/>
        <w:gridCol w:w="1027"/>
        <w:gridCol w:w="1025"/>
        <w:gridCol w:w="1027"/>
        <w:gridCol w:w="1253"/>
      </w:tblGrid>
      <w:tr>
        <w:tblPrEx>
          <w:tblW w:w="7304" w:type="dxa"/>
          <w:tblInd w:w="707" w:type="dxa"/>
          <w:tblBorders>
            <w:top w:val="nil"/>
            <w:left w:val="nil"/>
            <w:bottom w:val="nil"/>
            <w:right w:val="nil"/>
            <w:insideH w:val="nil"/>
            <w:insideV w:val="nil"/>
          </w:tblBorders>
          <w:tblLayout w:type="fixed"/>
        </w:tblPrEx>
        <w:trPr>
          <w:trHeight w:val="232"/>
        </w:trPr>
        <w:tc>
          <w:tcPr>
            <w:tcW w:w="2972" w:type="dxa"/>
            <w:vAlign w:val="top"/>
          </w:tcPr>
          <w:p>
            <w:pPr>
              <w:pStyle w:val="TableText"/>
              <w:spacing w:before="53" w:line="169" w:lineRule="exact"/>
              <w:ind w:left="111"/>
              <w:rPr>
                <w:sz w:val="16"/>
                <w:szCs w:val="16"/>
              </w:rPr>
            </w:pPr>
            <w:r>
              <w:rPr>
                <w:color w:val="4C4D4F"/>
                <w:spacing w:val="-2"/>
                <w:sz w:val="16"/>
                <w:szCs w:val="16"/>
              </w:rPr>
              <w:t>营业收入（百万元）</w:t>
            </w:r>
          </w:p>
        </w:tc>
        <w:tc>
          <w:tcPr>
            <w:tcW w:w="1027" w:type="dxa"/>
            <w:vAlign w:val="top"/>
          </w:tcPr>
          <w:p>
            <w:pPr>
              <w:pStyle w:val="TableText"/>
              <w:spacing w:before="53" w:line="169" w:lineRule="exact"/>
              <w:ind w:left="523"/>
              <w:rPr>
                <w:sz w:val="16"/>
                <w:szCs w:val="16"/>
              </w:rPr>
            </w:pPr>
            <w:r>
              <w:rPr>
                <w:color w:val="4C4D4F"/>
                <w:spacing w:val="-4"/>
                <w:sz w:val="16"/>
                <w:szCs w:val="16"/>
              </w:rPr>
              <w:t>1,235</w:t>
            </w:r>
          </w:p>
        </w:tc>
        <w:tc>
          <w:tcPr>
            <w:tcW w:w="1025" w:type="dxa"/>
            <w:vAlign w:val="top"/>
          </w:tcPr>
          <w:p>
            <w:pPr>
              <w:pStyle w:val="TableText"/>
              <w:spacing w:before="53" w:line="169" w:lineRule="exact"/>
              <w:ind w:left="523"/>
              <w:rPr>
                <w:sz w:val="16"/>
                <w:szCs w:val="16"/>
              </w:rPr>
            </w:pPr>
            <w:r>
              <w:rPr>
                <w:color w:val="4C4D4F"/>
                <w:spacing w:val="-4"/>
                <w:sz w:val="16"/>
                <w:szCs w:val="16"/>
              </w:rPr>
              <w:t>1,678</w:t>
            </w:r>
          </w:p>
        </w:tc>
        <w:tc>
          <w:tcPr>
            <w:tcW w:w="1027" w:type="dxa"/>
            <w:vAlign w:val="top"/>
          </w:tcPr>
          <w:p>
            <w:pPr>
              <w:pStyle w:val="TableText"/>
              <w:spacing w:before="53" w:line="169" w:lineRule="exact"/>
              <w:ind w:left="516"/>
              <w:rPr>
                <w:sz w:val="16"/>
                <w:szCs w:val="16"/>
              </w:rPr>
            </w:pPr>
            <w:r>
              <w:rPr>
                <w:color w:val="4C4D4F"/>
                <w:spacing w:val="-2"/>
                <w:sz w:val="16"/>
                <w:szCs w:val="16"/>
              </w:rPr>
              <w:t>2,078</w:t>
            </w:r>
          </w:p>
        </w:tc>
        <w:tc>
          <w:tcPr>
            <w:tcW w:w="1253" w:type="dxa"/>
            <w:vAlign w:val="top"/>
          </w:tcPr>
          <w:p>
            <w:pPr>
              <w:pStyle w:val="TableText"/>
              <w:spacing w:before="53" w:line="169" w:lineRule="exact"/>
              <w:ind w:left="516"/>
              <w:rPr>
                <w:sz w:val="16"/>
                <w:szCs w:val="16"/>
              </w:rPr>
            </w:pPr>
            <w:r>
              <w:rPr>
                <w:color w:val="4C4D4F"/>
                <w:spacing w:val="-2"/>
                <w:sz w:val="16"/>
                <w:szCs w:val="16"/>
              </w:rPr>
              <w:t>2,547</w:t>
            </w:r>
          </w:p>
        </w:tc>
      </w:tr>
      <w:tr>
        <w:tblPrEx>
          <w:tblW w:w="7304" w:type="dxa"/>
          <w:tblInd w:w="707" w:type="dxa"/>
          <w:tblLayout w:type="fixed"/>
        </w:tblPrEx>
        <w:trPr>
          <w:trHeight w:val="232"/>
        </w:trPr>
        <w:tc>
          <w:tcPr>
            <w:tcW w:w="2972" w:type="dxa"/>
            <w:shd w:val="clear" w:color="auto" w:fill="D9D9D9"/>
            <w:vAlign w:val="top"/>
          </w:tcPr>
          <w:p>
            <w:pPr>
              <w:pStyle w:val="TableText"/>
              <w:spacing w:before="53" w:line="169" w:lineRule="exact"/>
              <w:ind w:left="110"/>
              <w:rPr>
                <w:sz w:val="16"/>
                <w:szCs w:val="16"/>
              </w:rPr>
            </w:pPr>
            <w:r>
              <w:rPr>
                <w:color w:val="4C4D4F"/>
                <w:spacing w:val="-1"/>
                <w:sz w:val="16"/>
                <w:szCs w:val="16"/>
              </w:rPr>
              <w:t>增长率（%）</w:t>
            </w:r>
          </w:p>
        </w:tc>
        <w:tc>
          <w:tcPr>
            <w:tcW w:w="1027" w:type="dxa"/>
            <w:shd w:val="clear" w:color="auto" w:fill="D9D9D9"/>
            <w:vAlign w:val="top"/>
          </w:tcPr>
          <w:p>
            <w:pPr>
              <w:pStyle w:val="TableText"/>
              <w:spacing w:before="60" w:line="162" w:lineRule="exact"/>
              <w:ind w:left="701"/>
              <w:rPr>
                <w:sz w:val="16"/>
                <w:szCs w:val="16"/>
              </w:rPr>
            </w:pPr>
            <w:r>
              <w:rPr>
                <w:color w:val="4C4D4F"/>
                <w:spacing w:val="-3"/>
                <w:position w:val="-1"/>
                <w:sz w:val="16"/>
                <w:szCs w:val="16"/>
              </w:rPr>
              <w:t>8.3</w:t>
            </w:r>
          </w:p>
        </w:tc>
        <w:tc>
          <w:tcPr>
            <w:tcW w:w="1025" w:type="dxa"/>
            <w:shd w:val="clear" w:color="auto" w:fill="D9D9D9"/>
            <w:vAlign w:val="top"/>
          </w:tcPr>
          <w:p>
            <w:pPr>
              <w:pStyle w:val="TableText"/>
              <w:spacing w:before="60" w:line="162" w:lineRule="exact"/>
              <w:ind w:left="611"/>
              <w:rPr>
                <w:sz w:val="16"/>
                <w:szCs w:val="16"/>
              </w:rPr>
            </w:pPr>
            <w:r>
              <w:rPr>
                <w:color w:val="4C4D4F"/>
                <w:spacing w:val="-3"/>
                <w:position w:val="-1"/>
                <w:sz w:val="16"/>
                <w:szCs w:val="16"/>
              </w:rPr>
              <w:t>35.8</w:t>
            </w:r>
          </w:p>
        </w:tc>
        <w:tc>
          <w:tcPr>
            <w:tcW w:w="1027" w:type="dxa"/>
            <w:shd w:val="clear" w:color="auto" w:fill="D9D9D9"/>
            <w:vAlign w:val="top"/>
          </w:tcPr>
          <w:p>
            <w:pPr>
              <w:pStyle w:val="TableText"/>
              <w:spacing w:before="60" w:line="162" w:lineRule="exact"/>
              <w:ind w:left="609"/>
              <w:rPr>
                <w:sz w:val="16"/>
                <w:szCs w:val="16"/>
              </w:rPr>
            </w:pPr>
            <w:r>
              <w:rPr>
                <w:color w:val="4C4D4F"/>
                <w:spacing w:val="-3"/>
                <w:position w:val="-1"/>
                <w:sz w:val="16"/>
                <w:szCs w:val="16"/>
              </w:rPr>
              <w:t>23.8</w:t>
            </w:r>
          </w:p>
        </w:tc>
        <w:tc>
          <w:tcPr>
            <w:tcW w:w="1253" w:type="dxa"/>
            <w:vAlign w:val="top"/>
          </w:tcPr>
          <w:p>
            <w:pPr>
              <w:pStyle w:val="TableText"/>
              <w:spacing w:before="6" w:line="216" w:lineRule="exact"/>
            </w:pPr>
            <w:r>
              <w:rPr>
                <w:position w:val="-6"/>
              </w:rPr>
              <w:pict>
                <v:shape id="_x0000_i1032" type="#_x0000_t202" style="width:51.4pt;height:11.65pt;mso-position-horizontal-relative:char;mso-position-vertical-relative:line" filled="t" fillcolor="#d9d9d9" stroked="f">
                  <o:lock v:ext="edit" aspectratio="f"/>
                  <v:textbox inset="0,0,0,0">
                    <w:txbxContent>
                      <w:p>
                        <w:pPr>
                          <w:spacing w:before="54" w:line="172" w:lineRule="auto"/>
                          <w:ind w:left="609"/>
                          <w:rPr>
                            <w:rFonts w:ascii="Microsoft YaHei" w:eastAsia="Microsoft YaHei" w:hAnsi="Microsoft YaHei" w:cs="Microsoft YaHei"/>
                            <w:sz w:val="16"/>
                            <w:szCs w:val="16"/>
                          </w:rPr>
                        </w:pPr>
                        <w:r>
                          <w:rPr>
                            <w:rFonts w:ascii="Microsoft YaHei" w:eastAsia="Microsoft YaHei" w:hAnsi="Microsoft YaHei" w:cs="Microsoft YaHei"/>
                            <w:color w:val="4C4D4F"/>
                            <w:spacing w:val="-3"/>
                            <w:sz w:val="16"/>
                            <w:szCs w:val="16"/>
                          </w:rPr>
                          <w:t>22.6</w:t>
                        </w:r>
                      </w:p>
                    </w:txbxContent>
                  </v:textbox>
                  <w10:wrap type="none"/>
                </v:shape>
              </w:pict>
            </w:r>
          </w:p>
        </w:tc>
      </w:tr>
      <w:tr>
        <w:tblPrEx>
          <w:tblW w:w="7304" w:type="dxa"/>
          <w:tblInd w:w="707" w:type="dxa"/>
          <w:tblLayout w:type="fixed"/>
        </w:tblPrEx>
        <w:trPr>
          <w:trHeight w:val="232"/>
        </w:trPr>
        <w:tc>
          <w:tcPr>
            <w:tcW w:w="2972" w:type="dxa"/>
            <w:vAlign w:val="top"/>
          </w:tcPr>
          <w:p>
            <w:pPr>
              <w:pStyle w:val="TableText"/>
              <w:spacing w:before="54" w:line="167" w:lineRule="exact"/>
              <w:ind w:left="120"/>
              <w:rPr>
                <w:sz w:val="16"/>
                <w:szCs w:val="16"/>
              </w:rPr>
            </w:pPr>
            <w:r>
              <w:rPr>
                <w:color w:val="4C4D4F"/>
                <w:spacing w:val="-2"/>
                <w:sz w:val="16"/>
                <w:szCs w:val="16"/>
              </w:rPr>
              <w:t>归属母公司股东净利润（百万元）</w:t>
            </w:r>
          </w:p>
        </w:tc>
        <w:tc>
          <w:tcPr>
            <w:tcW w:w="1027" w:type="dxa"/>
            <w:vAlign w:val="top"/>
          </w:tcPr>
          <w:p>
            <w:pPr>
              <w:pStyle w:val="TableText"/>
              <w:spacing w:before="61" w:line="160" w:lineRule="exact"/>
              <w:ind w:left="655"/>
              <w:rPr>
                <w:sz w:val="16"/>
                <w:szCs w:val="16"/>
              </w:rPr>
            </w:pPr>
            <w:r>
              <w:rPr>
                <w:color w:val="4C4D4F"/>
                <w:spacing w:val="-4"/>
                <w:position w:val="-1"/>
                <w:sz w:val="16"/>
                <w:szCs w:val="16"/>
              </w:rPr>
              <w:t>198</w:t>
            </w:r>
          </w:p>
        </w:tc>
        <w:tc>
          <w:tcPr>
            <w:tcW w:w="1025" w:type="dxa"/>
            <w:vAlign w:val="top"/>
          </w:tcPr>
          <w:p>
            <w:pPr>
              <w:pStyle w:val="TableText"/>
              <w:spacing w:before="61" w:line="160" w:lineRule="exact"/>
              <w:ind w:left="648"/>
              <w:rPr>
                <w:sz w:val="16"/>
                <w:szCs w:val="16"/>
              </w:rPr>
            </w:pPr>
            <w:r>
              <w:rPr>
                <w:color w:val="4C4D4F"/>
                <w:spacing w:val="-3"/>
                <w:position w:val="-1"/>
                <w:sz w:val="16"/>
                <w:szCs w:val="16"/>
              </w:rPr>
              <w:t>249</w:t>
            </w:r>
          </w:p>
        </w:tc>
        <w:tc>
          <w:tcPr>
            <w:tcW w:w="1027" w:type="dxa"/>
            <w:vAlign w:val="top"/>
          </w:tcPr>
          <w:p>
            <w:pPr>
              <w:pStyle w:val="TableText"/>
              <w:spacing w:before="61" w:line="160" w:lineRule="exact"/>
              <w:ind w:left="650"/>
              <w:rPr>
                <w:sz w:val="16"/>
                <w:szCs w:val="16"/>
              </w:rPr>
            </w:pPr>
            <w:r>
              <w:rPr>
                <w:color w:val="4C4D4F"/>
                <w:spacing w:val="-3"/>
                <w:position w:val="-1"/>
                <w:sz w:val="16"/>
                <w:szCs w:val="16"/>
              </w:rPr>
              <w:t>326</w:t>
            </w:r>
          </w:p>
        </w:tc>
        <w:tc>
          <w:tcPr>
            <w:tcW w:w="1253" w:type="dxa"/>
            <w:vAlign w:val="top"/>
          </w:tcPr>
          <w:p>
            <w:pPr>
              <w:pStyle w:val="TableText"/>
              <w:spacing w:before="61" w:line="160" w:lineRule="exact"/>
              <w:ind w:left="640"/>
              <w:rPr>
                <w:sz w:val="16"/>
                <w:szCs w:val="16"/>
              </w:rPr>
            </w:pPr>
            <w:r>
              <w:rPr>
                <w:color w:val="4C4D4F"/>
                <w:spacing w:val="-1"/>
                <w:position w:val="-1"/>
                <w:sz w:val="16"/>
                <w:szCs w:val="16"/>
              </w:rPr>
              <w:t>440</w:t>
            </w:r>
          </w:p>
        </w:tc>
      </w:tr>
      <w:tr>
        <w:tblPrEx>
          <w:tblW w:w="7304" w:type="dxa"/>
          <w:tblInd w:w="707" w:type="dxa"/>
          <w:tblLayout w:type="fixed"/>
        </w:tblPrEx>
        <w:trPr>
          <w:trHeight w:val="232"/>
        </w:trPr>
        <w:tc>
          <w:tcPr>
            <w:tcW w:w="2972" w:type="dxa"/>
            <w:shd w:val="clear" w:color="auto" w:fill="D9D9D9"/>
            <w:vAlign w:val="top"/>
          </w:tcPr>
          <w:p>
            <w:pPr>
              <w:pStyle w:val="TableText"/>
              <w:spacing w:before="55" w:line="166" w:lineRule="exact"/>
              <w:ind w:left="110"/>
              <w:rPr>
                <w:sz w:val="16"/>
                <w:szCs w:val="16"/>
              </w:rPr>
            </w:pPr>
            <w:r>
              <w:rPr>
                <w:color w:val="4C4D4F"/>
                <w:spacing w:val="-1"/>
                <w:sz w:val="16"/>
                <w:szCs w:val="16"/>
              </w:rPr>
              <w:t>增长率（%）</w:t>
            </w:r>
          </w:p>
        </w:tc>
        <w:tc>
          <w:tcPr>
            <w:tcW w:w="1027" w:type="dxa"/>
            <w:shd w:val="clear" w:color="auto" w:fill="D9D9D9"/>
            <w:vAlign w:val="top"/>
          </w:tcPr>
          <w:p>
            <w:pPr>
              <w:pStyle w:val="TableText"/>
              <w:spacing w:before="62" w:line="159" w:lineRule="exact"/>
              <w:ind w:left="609"/>
              <w:rPr>
                <w:sz w:val="16"/>
                <w:szCs w:val="16"/>
              </w:rPr>
            </w:pPr>
            <w:r>
              <w:rPr>
                <w:color w:val="4C4D4F"/>
                <w:spacing w:val="-3"/>
                <w:position w:val="-1"/>
                <w:sz w:val="16"/>
                <w:szCs w:val="16"/>
              </w:rPr>
              <w:t>24.3</w:t>
            </w:r>
          </w:p>
        </w:tc>
        <w:tc>
          <w:tcPr>
            <w:tcW w:w="1025" w:type="dxa"/>
            <w:shd w:val="clear" w:color="auto" w:fill="D9D9D9"/>
            <w:vAlign w:val="top"/>
          </w:tcPr>
          <w:p>
            <w:pPr>
              <w:pStyle w:val="TableText"/>
              <w:spacing w:before="62" w:line="159" w:lineRule="exact"/>
              <w:ind w:left="609"/>
              <w:rPr>
                <w:sz w:val="16"/>
                <w:szCs w:val="16"/>
              </w:rPr>
            </w:pPr>
            <w:r>
              <w:rPr>
                <w:color w:val="4C4D4F"/>
                <w:spacing w:val="-3"/>
                <w:position w:val="-1"/>
                <w:sz w:val="16"/>
                <w:szCs w:val="16"/>
              </w:rPr>
              <w:t>25.9</w:t>
            </w:r>
          </w:p>
        </w:tc>
        <w:tc>
          <w:tcPr>
            <w:tcW w:w="1027" w:type="dxa"/>
            <w:shd w:val="clear" w:color="auto" w:fill="D9D9D9"/>
            <w:vAlign w:val="top"/>
          </w:tcPr>
          <w:p>
            <w:pPr>
              <w:pStyle w:val="TableText"/>
              <w:spacing w:before="62" w:line="159" w:lineRule="exact"/>
              <w:ind w:left="611"/>
              <w:rPr>
                <w:sz w:val="16"/>
                <w:szCs w:val="16"/>
              </w:rPr>
            </w:pPr>
            <w:r>
              <w:rPr>
                <w:color w:val="4C4D4F"/>
                <w:spacing w:val="-3"/>
                <w:position w:val="-1"/>
                <w:sz w:val="16"/>
                <w:szCs w:val="16"/>
              </w:rPr>
              <w:t>30.6</w:t>
            </w:r>
          </w:p>
        </w:tc>
        <w:tc>
          <w:tcPr>
            <w:tcW w:w="1253" w:type="dxa"/>
            <w:vAlign w:val="top"/>
          </w:tcPr>
          <w:p>
            <w:pPr>
              <w:pStyle w:val="TableText"/>
              <w:spacing w:before="8" w:line="213" w:lineRule="exact"/>
            </w:pPr>
            <w:r>
              <w:rPr>
                <w:position w:val="-6"/>
              </w:rPr>
              <w:pict>
                <v:shape id="_x0000_i1033" type="#_x0000_t202" style="width:51.4pt;height:11.65pt;mso-position-horizontal-relative:char;mso-position-vertical-relative:line" filled="t" fillcolor="#d9d9d9" stroked="f">
                  <o:lock v:ext="edit" aspectratio="f"/>
                  <v:textbox inset="0,0,0,0">
                    <w:txbxContent>
                      <w:p>
                        <w:pPr>
                          <w:spacing w:before="53" w:line="173" w:lineRule="auto"/>
                          <w:ind w:left="611"/>
                          <w:rPr>
                            <w:rFonts w:ascii="Microsoft YaHei" w:eastAsia="Microsoft YaHei" w:hAnsi="Microsoft YaHei" w:cs="Microsoft YaHei"/>
                            <w:sz w:val="16"/>
                            <w:szCs w:val="16"/>
                          </w:rPr>
                        </w:pPr>
                        <w:r>
                          <w:rPr>
                            <w:rFonts w:ascii="Microsoft YaHei" w:eastAsia="Microsoft YaHei" w:hAnsi="Microsoft YaHei" w:cs="Microsoft YaHei"/>
                            <w:color w:val="4C4D4F"/>
                            <w:spacing w:val="-3"/>
                            <w:sz w:val="16"/>
                            <w:szCs w:val="16"/>
                          </w:rPr>
                          <w:t>35.1</w:t>
                        </w:r>
                      </w:p>
                    </w:txbxContent>
                  </v:textbox>
                  <w10:wrap type="none"/>
                </v:shape>
              </w:pict>
            </w:r>
          </w:p>
        </w:tc>
      </w:tr>
      <w:tr>
        <w:tblPrEx>
          <w:tblW w:w="7304" w:type="dxa"/>
          <w:tblInd w:w="707" w:type="dxa"/>
          <w:tblLayout w:type="fixed"/>
        </w:tblPrEx>
        <w:trPr>
          <w:trHeight w:val="233"/>
        </w:trPr>
        <w:tc>
          <w:tcPr>
            <w:tcW w:w="2972" w:type="dxa"/>
            <w:vAlign w:val="top"/>
          </w:tcPr>
          <w:p>
            <w:pPr>
              <w:pStyle w:val="TableText"/>
              <w:spacing w:before="56" w:line="167" w:lineRule="exact"/>
              <w:ind w:left="110"/>
              <w:rPr>
                <w:sz w:val="16"/>
                <w:szCs w:val="16"/>
              </w:rPr>
            </w:pPr>
            <w:r>
              <w:rPr>
                <w:color w:val="4C4D4F"/>
                <w:spacing w:val="-3"/>
                <w:sz w:val="16"/>
                <w:szCs w:val="16"/>
              </w:rPr>
              <w:t>每股收益（元）</w:t>
            </w:r>
          </w:p>
        </w:tc>
        <w:tc>
          <w:tcPr>
            <w:tcW w:w="1027" w:type="dxa"/>
            <w:vAlign w:val="top"/>
          </w:tcPr>
          <w:p>
            <w:pPr>
              <w:pStyle w:val="TableText"/>
              <w:spacing w:before="63" w:line="160" w:lineRule="exact"/>
              <w:ind w:left="616"/>
              <w:rPr>
                <w:sz w:val="16"/>
                <w:szCs w:val="16"/>
              </w:rPr>
            </w:pPr>
            <w:r>
              <w:rPr>
                <w:color w:val="4C4D4F"/>
                <w:spacing w:val="-5"/>
                <w:position w:val="-1"/>
                <w:sz w:val="16"/>
                <w:szCs w:val="16"/>
              </w:rPr>
              <w:t>1.19</w:t>
            </w:r>
          </w:p>
        </w:tc>
        <w:tc>
          <w:tcPr>
            <w:tcW w:w="1025" w:type="dxa"/>
            <w:vAlign w:val="top"/>
          </w:tcPr>
          <w:p>
            <w:pPr>
              <w:pStyle w:val="TableText"/>
              <w:spacing w:before="63" w:line="160" w:lineRule="exact"/>
              <w:ind w:left="617"/>
              <w:rPr>
                <w:sz w:val="16"/>
                <w:szCs w:val="16"/>
              </w:rPr>
            </w:pPr>
            <w:r>
              <w:rPr>
                <w:color w:val="4C4D4F"/>
                <w:spacing w:val="-5"/>
                <w:position w:val="-1"/>
                <w:sz w:val="16"/>
                <w:szCs w:val="16"/>
              </w:rPr>
              <w:t>1.50</w:t>
            </w:r>
          </w:p>
        </w:tc>
        <w:tc>
          <w:tcPr>
            <w:tcW w:w="1027" w:type="dxa"/>
            <w:vAlign w:val="top"/>
          </w:tcPr>
          <w:p>
            <w:pPr>
              <w:pStyle w:val="TableText"/>
              <w:spacing w:before="63" w:line="160" w:lineRule="exact"/>
              <w:ind w:left="617"/>
              <w:rPr>
                <w:sz w:val="16"/>
                <w:szCs w:val="16"/>
              </w:rPr>
            </w:pPr>
            <w:r>
              <w:rPr>
                <w:color w:val="4C4D4F"/>
                <w:spacing w:val="-5"/>
                <w:position w:val="-1"/>
                <w:sz w:val="16"/>
                <w:szCs w:val="16"/>
              </w:rPr>
              <w:t>1.96</w:t>
            </w:r>
          </w:p>
        </w:tc>
        <w:tc>
          <w:tcPr>
            <w:tcW w:w="1253" w:type="dxa"/>
            <w:vAlign w:val="top"/>
          </w:tcPr>
          <w:p>
            <w:pPr>
              <w:pStyle w:val="TableText"/>
              <w:spacing w:before="63" w:line="160" w:lineRule="exact"/>
              <w:ind w:left="610"/>
              <w:rPr>
                <w:sz w:val="16"/>
                <w:szCs w:val="16"/>
              </w:rPr>
            </w:pPr>
            <w:r>
              <w:rPr>
                <w:color w:val="4C4D4F"/>
                <w:spacing w:val="-3"/>
                <w:position w:val="-1"/>
                <w:sz w:val="16"/>
                <w:szCs w:val="16"/>
              </w:rPr>
              <w:t>2.64</w:t>
            </w:r>
          </w:p>
        </w:tc>
      </w:tr>
      <w:tr>
        <w:tblPrEx>
          <w:tblW w:w="7304" w:type="dxa"/>
          <w:tblInd w:w="707" w:type="dxa"/>
          <w:tblLayout w:type="fixed"/>
        </w:tblPrEx>
        <w:trPr>
          <w:trHeight w:val="232"/>
        </w:trPr>
        <w:tc>
          <w:tcPr>
            <w:tcW w:w="2972" w:type="dxa"/>
            <w:shd w:val="clear" w:color="auto" w:fill="D9D9D9"/>
            <w:vAlign w:val="top"/>
          </w:tcPr>
          <w:p>
            <w:pPr>
              <w:pStyle w:val="TableText"/>
              <w:spacing w:before="65" w:line="156" w:lineRule="exact"/>
              <w:ind w:left="123"/>
              <w:rPr>
                <w:sz w:val="16"/>
                <w:szCs w:val="16"/>
              </w:rPr>
            </w:pPr>
            <w:r>
              <w:rPr>
                <w:color w:val="4C4D4F"/>
                <w:spacing w:val="-4"/>
                <w:position w:val="-1"/>
                <w:sz w:val="16"/>
                <w:szCs w:val="16"/>
              </w:rPr>
              <w:t>PE</w:t>
            </w:r>
          </w:p>
        </w:tc>
        <w:tc>
          <w:tcPr>
            <w:tcW w:w="1027" w:type="dxa"/>
            <w:shd w:val="clear" w:color="auto" w:fill="D9D9D9"/>
            <w:vAlign w:val="top"/>
          </w:tcPr>
          <w:p>
            <w:pPr>
              <w:pStyle w:val="TableText"/>
              <w:spacing w:before="63" w:line="158" w:lineRule="exact"/>
              <w:ind w:left="741"/>
              <w:rPr>
                <w:sz w:val="16"/>
                <w:szCs w:val="16"/>
              </w:rPr>
            </w:pPr>
            <w:r>
              <w:rPr>
                <w:color w:val="4C4D4F"/>
                <w:spacing w:val="-3"/>
                <w:position w:val="-1"/>
                <w:sz w:val="16"/>
                <w:szCs w:val="16"/>
              </w:rPr>
              <w:t>28</w:t>
            </w:r>
          </w:p>
        </w:tc>
        <w:tc>
          <w:tcPr>
            <w:tcW w:w="1025" w:type="dxa"/>
            <w:shd w:val="clear" w:color="auto" w:fill="D9D9D9"/>
            <w:vAlign w:val="top"/>
          </w:tcPr>
          <w:p>
            <w:pPr>
              <w:pStyle w:val="TableText"/>
              <w:spacing w:before="63" w:line="158" w:lineRule="exact"/>
              <w:ind w:left="741"/>
              <w:rPr>
                <w:sz w:val="16"/>
                <w:szCs w:val="16"/>
              </w:rPr>
            </w:pPr>
            <w:r>
              <w:rPr>
                <w:color w:val="4C4D4F"/>
                <w:spacing w:val="-3"/>
                <w:position w:val="-1"/>
                <w:sz w:val="16"/>
                <w:szCs w:val="16"/>
              </w:rPr>
              <w:t>22</w:t>
            </w:r>
          </w:p>
        </w:tc>
        <w:tc>
          <w:tcPr>
            <w:tcW w:w="1027" w:type="dxa"/>
            <w:shd w:val="clear" w:color="auto" w:fill="D9D9D9"/>
            <w:vAlign w:val="top"/>
          </w:tcPr>
          <w:p>
            <w:pPr>
              <w:pStyle w:val="TableText"/>
              <w:spacing w:before="62" w:line="159" w:lineRule="exact"/>
              <w:ind w:left="749"/>
              <w:rPr>
                <w:sz w:val="16"/>
                <w:szCs w:val="16"/>
              </w:rPr>
            </w:pPr>
            <w:r>
              <w:rPr>
                <w:color w:val="4C4D4F"/>
                <w:spacing w:val="-5"/>
                <w:position w:val="-1"/>
                <w:sz w:val="16"/>
                <w:szCs w:val="16"/>
              </w:rPr>
              <w:t>17</w:t>
            </w:r>
          </w:p>
        </w:tc>
        <w:tc>
          <w:tcPr>
            <w:tcW w:w="1253" w:type="dxa"/>
            <w:vAlign w:val="top"/>
          </w:tcPr>
          <w:p>
            <w:pPr>
              <w:pStyle w:val="TableText"/>
              <w:spacing w:before="9" w:line="212" w:lineRule="exact"/>
            </w:pPr>
            <w:r>
              <w:rPr>
                <w:position w:val="-6"/>
              </w:rPr>
              <w:pict>
                <v:shape id="_x0000_i1034" type="#_x0000_t202" style="width:51.4pt;height:11.65pt;mso-position-horizontal-relative:char;mso-position-vertical-relative:line" filled="t" fillcolor="#d9d9d9" stroked="f">
                  <o:lock v:ext="edit" aspectratio="f"/>
                  <v:textbox inset="0,0,0,0">
                    <w:txbxContent>
                      <w:p>
                        <w:pPr>
                          <w:spacing w:before="53" w:line="173" w:lineRule="auto"/>
                          <w:ind w:left="748"/>
                          <w:rPr>
                            <w:rFonts w:ascii="Microsoft YaHei" w:eastAsia="Microsoft YaHei" w:hAnsi="Microsoft YaHei" w:cs="Microsoft YaHei"/>
                            <w:sz w:val="16"/>
                            <w:szCs w:val="16"/>
                          </w:rPr>
                        </w:pPr>
                        <w:r>
                          <w:rPr>
                            <w:rFonts w:ascii="Microsoft YaHei" w:eastAsia="Microsoft YaHei" w:hAnsi="Microsoft YaHei" w:cs="Microsoft YaHei"/>
                            <w:color w:val="4C4D4F"/>
                            <w:spacing w:val="-5"/>
                            <w:sz w:val="16"/>
                            <w:szCs w:val="16"/>
                          </w:rPr>
                          <w:t>12</w:t>
                        </w:r>
                      </w:p>
                    </w:txbxContent>
                  </v:textbox>
                  <w10:wrap type="none"/>
                </v:shape>
              </w:pict>
            </w:r>
          </w:p>
        </w:tc>
      </w:tr>
      <w:tr>
        <w:tblPrEx>
          <w:tblW w:w="7304" w:type="dxa"/>
          <w:tblInd w:w="707" w:type="dxa"/>
          <w:tblLayout w:type="fixed"/>
        </w:tblPrEx>
        <w:trPr>
          <w:trHeight w:val="247"/>
        </w:trPr>
        <w:tc>
          <w:tcPr>
            <w:tcW w:w="2972" w:type="dxa"/>
            <w:tcBorders>
              <w:bottom w:val="single" w:sz="4" w:space="0" w:color="C00000"/>
            </w:tcBorders>
            <w:vAlign w:val="top"/>
          </w:tcPr>
          <w:p>
            <w:pPr>
              <w:pStyle w:val="TableText"/>
              <w:spacing w:before="66" w:line="170" w:lineRule="exact"/>
              <w:ind w:left="123"/>
              <w:rPr>
                <w:sz w:val="16"/>
                <w:szCs w:val="16"/>
              </w:rPr>
            </w:pPr>
            <w:r>
              <w:rPr>
                <w:color w:val="4C4D4F"/>
                <w:spacing w:val="-4"/>
                <w:position w:val="-1"/>
                <w:sz w:val="16"/>
                <w:szCs w:val="16"/>
              </w:rPr>
              <w:t>PB</w:t>
            </w:r>
          </w:p>
        </w:tc>
        <w:tc>
          <w:tcPr>
            <w:tcW w:w="1027" w:type="dxa"/>
            <w:tcBorders>
              <w:bottom w:val="single" w:sz="4" w:space="0" w:color="C00000"/>
            </w:tcBorders>
            <w:vAlign w:val="top"/>
          </w:tcPr>
          <w:p>
            <w:pPr>
              <w:pStyle w:val="TableText"/>
              <w:spacing w:before="64" w:line="172" w:lineRule="exact"/>
              <w:ind w:left="703"/>
              <w:rPr>
                <w:sz w:val="16"/>
                <w:szCs w:val="16"/>
              </w:rPr>
            </w:pPr>
            <w:r>
              <w:rPr>
                <w:color w:val="4C4D4F"/>
                <w:spacing w:val="-3"/>
                <w:position w:val="-1"/>
                <w:sz w:val="16"/>
                <w:szCs w:val="16"/>
              </w:rPr>
              <w:t>2.2</w:t>
            </w:r>
          </w:p>
        </w:tc>
        <w:tc>
          <w:tcPr>
            <w:tcW w:w="1025" w:type="dxa"/>
            <w:tcBorders>
              <w:bottom w:val="single" w:sz="4" w:space="0" w:color="C00000"/>
            </w:tcBorders>
            <w:vAlign w:val="top"/>
          </w:tcPr>
          <w:p>
            <w:pPr>
              <w:pStyle w:val="TableText"/>
              <w:spacing w:before="64" w:line="172" w:lineRule="exact"/>
              <w:ind w:left="703"/>
              <w:rPr>
                <w:sz w:val="16"/>
                <w:szCs w:val="16"/>
              </w:rPr>
            </w:pPr>
            <w:r>
              <w:rPr>
                <w:color w:val="4C4D4F"/>
                <w:spacing w:val="-3"/>
                <w:position w:val="-1"/>
                <w:sz w:val="16"/>
                <w:szCs w:val="16"/>
              </w:rPr>
              <w:t>2.0</w:t>
            </w:r>
          </w:p>
        </w:tc>
        <w:tc>
          <w:tcPr>
            <w:tcW w:w="1027" w:type="dxa"/>
            <w:tcBorders>
              <w:bottom w:val="single" w:sz="4" w:space="0" w:color="C00000"/>
            </w:tcBorders>
            <w:vAlign w:val="top"/>
          </w:tcPr>
          <w:p>
            <w:pPr>
              <w:pStyle w:val="TableText"/>
              <w:spacing w:before="63" w:line="173" w:lineRule="exact"/>
              <w:ind w:left="710"/>
              <w:rPr>
                <w:sz w:val="16"/>
                <w:szCs w:val="16"/>
              </w:rPr>
            </w:pPr>
            <w:r>
              <w:rPr>
                <w:color w:val="4C4D4F"/>
                <w:spacing w:val="-6"/>
                <w:position w:val="-1"/>
                <w:sz w:val="16"/>
                <w:szCs w:val="16"/>
              </w:rPr>
              <w:t>1.8</w:t>
            </w:r>
          </w:p>
        </w:tc>
        <w:tc>
          <w:tcPr>
            <w:tcW w:w="1253" w:type="dxa"/>
            <w:tcBorders>
              <w:bottom w:val="single" w:sz="4" w:space="0" w:color="C00000"/>
            </w:tcBorders>
            <w:vAlign w:val="top"/>
          </w:tcPr>
          <w:p>
            <w:pPr>
              <w:pStyle w:val="TableText"/>
              <w:spacing w:before="63" w:line="173" w:lineRule="exact"/>
              <w:ind w:left="711"/>
              <w:rPr>
                <w:sz w:val="16"/>
                <w:szCs w:val="16"/>
              </w:rPr>
            </w:pPr>
            <w:r>
              <w:rPr>
                <w:color w:val="4C4D4F"/>
                <w:spacing w:val="-6"/>
                <w:position w:val="-1"/>
                <w:sz w:val="16"/>
                <w:szCs w:val="16"/>
              </w:rPr>
              <w:t>1.6</w:t>
            </w:r>
          </w:p>
        </w:tc>
      </w:tr>
    </w:tbl>
    <w:p>
      <w:pPr>
        <w:spacing w:before="67" w:line="190" w:lineRule="auto"/>
        <w:ind w:left="818"/>
        <w:rPr>
          <w:rFonts w:ascii="Microsoft YaHei" w:eastAsia="Microsoft YaHei" w:hAnsi="Microsoft YaHei" w:cs="Microsoft YaHei"/>
          <w:sz w:val="15"/>
          <w:szCs w:val="15"/>
        </w:rPr>
      </w:pPr>
      <w:r>
        <w:rPr>
          <w:rFonts w:ascii="Microsoft YaHei" w:eastAsia="Microsoft YaHei" w:hAnsi="Microsoft YaHei" w:cs="Microsoft YaHei"/>
          <w:color w:val="4C4D4F"/>
          <w:spacing w:val="-4"/>
          <w:sz w:val="15"/>
          <w:szCs w:val="15"/>
        </w:rPr>
        <w:t>资料来源： Wind，民生证券研究院预测</w:t>
      </w:r>
      <w:r>
        <w:rPr>
          <w:rFonts w:ascii="Microsoft YaHei" w:eastAsia="Microsoft YaHei" w:hAnsi="Microsoft YaHei" w:cs="Microsoft YaHei"/>
          <w:color w:val="4C4D4F"/>
          <w:spacing w:val="-36"/>
          <w:w w:val="99"/>
          <w:sz w:val="15"/>
          <w:szCs w:val="15"/>
        </w:rPr>
        <w:t>；（</w:t>
      </w:r>
      <w:r>
        <w:rPr>
          <w:rFonts w:ascii="Microsoft YaHei" w:eastAsia="Microsoft YaHei" w:hAnsi="Microsoft YaHei" w:cs="Microsoft YaHei"/>
          <w:color w:val="4C4D4F"/>
          <w:spacing w:val="-4"/>
          <w:sz w:val="15"/>
          <w:szCs w:val="15"/>
        </w:rPr>
        <w:t>注：</w:t>
      </w:r>
      <w:r>
        <w:rPr>
          <w:rFonts w:ascii="Microsoft YaHei" w:eastAsia="Microsoft YaHei" w:hAnsi="Microsoft YaHei" w:cs="Microsoft YaHei"/>
          <w:color w:val="4C4D4F"/>
          <w:spacing w:val="15"/>
          <w:w w:val="101"/>
          <w:sz w:val="15"/>
          <w:szCs w:val="15"/>
        </w:rPr>
        <w:t xml:space="preserve"> </w:t>
      </w:r>
      <w:r>
        <w:rPr>
          <w:rFonts w:ascii="Microsoft YaHei" w:eastAsia="Microsoft YaHei" w:hAnsi="Microsoft YaHei" w:cs="Microsoft YaHei"/>
          <w:color w:val="4C4D4F"/>
          <w:spacing w:val="-4"/>
          <w:sz w:val="15"/>
          <w:szCs w:val="15"/>
        </w:rPr>
        <w:t>股价为 2024 年 2 月 8</w:t>
      </w:r>
      <w:r>
        <w:rPr>
          <w:rFonts w:ascii="Microsoft YaHei" w:eastAsia="Microsoft YaHei" w:hAnsi="Microsoft YaHei" w:cs="Microsoft YaHei"/>
          <w:color w:val="4C4D4F"/>
          <w:spacing w:val="15"/>
          <w:sz w:val="15"/>
          <w:szCs w:val="15"/>
        </w:rPr>
        <w:t xml:space="preserve"> </w:t>
      </w:r>
      <w:r>
        <w:rPr>
          <w:rFonts w:ascii="Microsoft YaHei" w:eastAsia="Microsoft YaHei" w:hAnsi="Microsoft YaHei" w:cs="Microsoft YaHei"/>
          <w:color w:val="4C4D4F"/>
          <w:spacing w:val="-4"/>
          <w:sz w:val="15"/>
          <w:szCs w:val="15"/>
        </w:rPr>
        <w:t>日收盘价）</w:t>
      </w:r>
    </w:p>
    <w:p>
      <w:pPr>
        <w:spacing w:line="190" w:lineRule="auto"/>
        <w:rPr>
          <w:rFonts w:ascii="Microsoft YaHei" w:eastAsia="Microsoft YaHei" w:hAnsi="Microsoft YaHei" w:cs="Microsoft YaHei"/>
          <w:sz w:val="15"/>
          <w:szCs w:val="15"/>
        </w:rPr>
        <w:sectPr>
          <w:headerReference w:type="default" r:id="rId14"/>
          <w:footerReference w:type="default" r:id="rId15"/>
          <w:type w:val="nextPage"/>
          <w:pgSz w:w="11907" w:h="16839"/>
          <w:pgMar w:top="1" w:right="0" w:bottom="834" w:left="0" w:header="0" w:footer="464" w:gutter="0"/>
          <w:pgNumType w:start="2"/>
          <w:cols w:space="708"/>
          <w:titlePg w:val="0"/>
        </w:sectPr>
      </w:pPr>
    </w:p>
    <w:p>
      <w:pPr>
        <w:spacing w:line="296" w:lineRule="auto"/>
        <w:rPr>
          <w:rFonts w:ascii="Arial"/>
          <w:sz w:val="21"/>
        </w:rPr>
      </w:pPr>
    </w:p>
    <w:p>
      <w:pPr>
        <w:spacing w:line="297" w:lineRule="auto"/>
        <w:rPr>
          <w:rFonts w:ascii="Arial"/>
          <w:sz w:val="21"/>
        </w:rPr>
      </w:pPr>
    </w:p>
    <w:sdt>
      <w:sdtPr>
        <w:rPr>
          <w:rFonts w:ascii="Microsoft YaHei" w:eastAsia="Microsoft YaHei" w:hAnsi="Microsoft YaHei" w:cs="Microsoft YaHei"/>
          <w:sz w:val="43"/>
          <w:szCs w:val="43"/>
        </w:rPr>
        <w:id w:val="2132283865"/>
        <w:docPartObj>
          <w:docPartGallery w:val="Table of Contents"/>
          <w:docPartUnique/>
        </w:docPartObj>
      </w:sdtPr>
      <w:sdtEndPr>
        <w:rPr>
          <w:rFonts w:ascii="Microsoft YaHei" w:eastAsia="Microsoft YaHei" w:hAnsi="Microsoft YaHei" w:cs="Microsoft YaHei"/>
          <w:sz w:val="19"/>
          <w:szCs w:val="19"/>
        </w:rPr>
      </w:sdtEndPr>
      <w:sdtContent>
        <w:p>
          <w:pPr>
            <w:pStyle w:val="BodyText"/>
            <w:spacing w:before="185" w:line="197" w:lineRule="auto"/>
            <w:ind w:left="4852"/>
            <w:rPr>
              <w:sz w:val="43"/>
              <w:szCs w:val="43"/>
            </w:rPr>
          </w:pPr>
          <w:bookmarkStart w:id="2" w:name="bookmark3"/>
          <w:bookmarkEnd w:id="2"/>
          <w:r>
            <w:rPr>
              <w:b/>
              <w:bCs/>
              <w:color w:val="C00000"/>
              <w:spacing w:val="-9"/>
              <w:sz w:val="43"/>
              <w:szCs w:val="43"/>
            </w:rPr>
            <w:t>目录</w:t>
          </w:r>
        </w:p>
        <w:p>
          <w:pPr>
            <w:pStyle w:val="BodyText"/>
            <w:tabs>
              <w:tab w:val="right" w:leader="dot" w:pos="10480"/>
            </w:tabs>
            <w:spacing w:before="152" w:line="212" w:lineRule="exact"/>
            <w:ind w:left="17"/>
          </w:pPr>
          <w:hyperlink w:anchor="bookmark4" w:history="1">
            <w:r>
              <w:rPr>
                <w:b/>
                <w:bCs/>
                <w:color w:val="C00000"/>
                <w:spacing w:val="8"/>
              </w:rPr>
              <w:t>1</w:t>
            </w:r>
            <w:r>
              <w:rPr>
                <w:b/>
                <w:bCs/>
                <w:color w:val="C00000"/>
                <w:spacing w:val="59"/>
              </w:rPr>
              <w:t xml:space="preserve"> </w:t>
            </w:r>
            <w:r>
              <w:rPr>
                <w:b/>
                <w:bCs/>
                <w:color w:val="C00000"/>
                <w:spacing w:val="8"/>
              </w:rPr>
              <w:t>能科是智能制造企业数字化转型领域领军企业</w:t>
            </w:r>
            <w:r>
              <w:rPr>
                <w:b/>
                <w:bCs/>
                <w:color w:val="C00000"/>
                <w:spacing w:val="-21"/>
              </w:rPr>
              <w:t xml:space="preserve"> </w:t>
            </w:r>
            <w:r>
              <w:rPr>
                <w:b/>
                <w:bCs/>
                <w:color w:val="C00000"/>
              </w:rPr>
              <w:tab/>
            </w:r>
            <w:r>
              <w:rPr>
                <w:b/>
                <w:bCs/>
                <w:color w:val="C00000"/>
                <w:spacing w:val="12"/>
              </w:rPr>
              <w:t>3</w:t>
            </w:r>
          </w:hyperlink>
        </w:p>
        <w:p>
          <w:pPr>
            <w:pStyle w:val="BodyText"/>
            <w:tabs>
              <w:tab w:val="right" w:leader="dot" w:pos="10478"/>
            </w:tabs>
            <w:spacing w:before="128" w:line="212" w:lineRule="exact"/>
            <w:ind w:left="19"/>
          </w:pPr>
          <w:hyperlink w:anchor="bookmark5" w:history="1">
            <w:r>
              <w:rPr>
                <w:color w:val="4C4D4F"/>
                <w:spacing w:val="8"/>
              </w:rPr>
              <w:t>1.1</w:t>
            </w:r>
            <w:r>
              <w:rPr>
                <w:color w:val="4C4D4F"/>
                <w:spacing w:val="53"/>
              </w:rPr>
              <w:t xml:space="preserve"> </w:t>
            </w:r>
            <w:r>
              <w:rPr>
                <w:color w:val="4C4D4F"/>
                <w:spacing w:val="8"/>
              </w:rPr>
              <w:t>能科是国内智能制造企业数字化转型领域领军企业</w:t>
            </w:r>
            <w:r>
              <w:rPr>
                <w:color w:val="4C4D4F"/>
                <w:spacing w:val="-12"/>
              </w:rPr>
              <w:t xml:space="preserve"> </w:t>
            </w:r>
            <w:r>
              <w:rPr>
                <w:color w:val="4C4D4F"/>
              </w:rPr>
              <w:tab/>
            </w:r>
            <w:r>
              <w:rPr>
                <w:color w:val="4C4D4F"/>
                <w:spacing w:val="26"/>
                <w:w w:val="107"/>
              </w:rPr>
              <w:t>3</w:t>
            </w:r>
          </w:hyperlink>
        </w:p>
        <w:p>
          <w:pPr>
            <w:pStyle w:val="BodyText"/>
            <w:tabs>
              <w:tab w:val="right" w:leader="dot" w:pos="10478"/>
            </w:tabs>
            <w:spacing w:before="128" w:line="212" w:lineRule="exact"/>
            <w:ind w:left="19"/>
          </w:pPr>
          <w:hyperlink w:anchor="bookmark6" w:history="1">
            <w:r>
              <w:rPr>
                <w:color w:val="4C4D4F"/>
                <w:spacing w:val="8"/>
              </w:rPr>
              <w:t>1.2</w:t>
            </w:r>
            <w:r>
              <w:rPr>
                <w:color w:val="4C4D4F"/>
                <w:spacing w:val="48"/>
                <w:w w:val="101"/>
              </w:rPr>
              <w:t xml:space="preserve"> </w:t>
            </w:r>
            <w:r>
              <w:rPr>
                <w:color w:val="4C4D4F"/>
                <w:spacing w:val="8"/>
              </w:rPr>
              <w:t>公司核心业务包括智能制造和智能电气两</w:t>
            </w:r>
            <w:r>
              <w:rPr>
                <w:color w:val="4C4D4F"/>
                <w:spacing w:val="7"/>
              </w:rPr>
              <w:t xml:space="preserve">大类 </w:t>
            </w:r>
            <w:r>
              <w:rPr>
                <w:color w:val="4C4D4F"/>
              </w:rPr>
              <w:tab/>
            </w:r>
            <w:r>
              <w:rPr>
                <w:color w:val="4C4D4F"/>
                <w:spacing w:val="26"/>
                <w:w w:val="107"/>
              </w:rPr>
              <w:t>3</w:t>
            </w:r>
          </w:hyperlink>
        </w:p>
        <w:p>
          <w:pPr>
            <w:pStyle w:val="BodyText"/>
            <w:tabs>
              <w:tab w:val="right" w:leader="dot" w:pos="10478"/>
            </w:tabs>
            <w:spacing w:before="126" w:line="212" w:lineRule="exact"/>
            <w:ind w:left="19"/>
          </w:pPr>
          <w:hyperlink w:anchor="bookmark7" w:history="1">
            <w:r>
              <w:rPr>
                <w:color w:val="4C4D4F"/>
                <w:spacing w:val="8"/>
              </w:rPr>
              <w:t>1.3</w:t>
            </w:r>
            <w:r>
              <w:rPr>
                <w:color w:val="4C4D4F"/>
                <w:spacing w:val="50"/>
              </w:rPr>
              <w:t xml:space="preserve"> </w:t>
            </w:r>
            <w:r>
              <w:rPr>
                <w:color w:val="4C4D4F"/>
                <w:spacing w:val="8"/>
              </w:rPr>
              <w:t>业绩持续高速增长，自研产品提升盈</w:t>
            </w:r>
            <w:r>
              <w:rPr>
                <w:color w:val="4C4D4F"/>
                <w:spacing w:val="7"/>
              </w:rPr>
              <w:t>利能力</w:t>
            </w:r>
            <w:r>
              <w:rPr>
                <w:color w:val="4C4D4F"/>
              </w:rPr>
              <w:tab/>
            </w:r>
            <w:r>
              <w:rPr>
                <w:color w:val="4C4D4F"/>
                <w:spacing w:val="6"/>
                <w:w w:val="125"/>
              </w:rPr>
              <w:t>4</w:t>
            </w:r>
          </w:hyperlink>
        </w:p>
        <w:p>
          <w:pPr>
            <w:pStyle w:val="BodyText"/>
            <w:tabs>
              <w:tab w:val="right" w:leader="dot" w:pos="10478"/>
            </w:tabs>
            <w:spacing w:before="128" w:line="213" w:lineRule="exact"/>
            <w:ind w:left="19"/>
          </w:pPr>
          <w:hyperlink w:anchor="bookmark8" w:history="1">
            <w:r>
              <w:rPr>
                <w:color w:val="4C4D4F"/>
                <w:spacing w:val="6"/>
              </w:rPr>
              <w:t>1.4</w:t>
            </w:r>
            <w:r>
              <w:rPr>
                <w:color w:val="4C4D4F"/>
                <w:spacing w:val="65"/>
                <w:w w:val="101"/>
              </w:rPr>
              <w:t xml:space="preserve"> </w:t>
            </w:r>
            <w:r>
              <w:rPr>
                <w:color w:val="4C4D4F"/>
                <w:spacing w:val="6"/>
              </w:rPr>
              <w:t xml:space="preserve">祖军、赵岚夫妇为公司实际控制人 </w:t>
            </w:r>
            <w:r>
              <w:rPr>
                <w:color w:val="4C4D4F"/>
              </w:rPr>
              <w:tab/>
            </w:r>
            <w:r>
              <w:rPr>
                <w:color w:val="4C4D4F"/>
                <w:spacing w:val="16"/>
                <w:w w:val="116"/>
              </w:rPr>
              <w:t>6</w:t>
            </w:r>
          </w:hyperlink>
        </w:p>
        <w:p>
          <w:pPr>
            <w:pStyle w:val="BodyText"/>
            <w:tabs>
              <w:tab w:val="right" w:leader="dot" w:pos="10480"/>
            </w:tabs>
            <w:spacing w:before="128" w:line="212" w:lineRule="exact"/>
            <w:ind w:left="9"/>
          </w:pPr>
          <w:hyperlink w:anchor="bookmark9" w:history="1">
            <w:r>
              <w:rPr>
                <w:b/>
                <w:bCs/>
                <w:color w:val="C00000"/>
                <w:spacing w:val="5"/>
              </w:rPr>
              <w:t>2</w:t>
            </w:r>
            <w:r>
              <w:rPr>
                <w:b/>
                <w:bCs/>
                <w:color w:val="C00000"/>
                <w:spacing w:val="51"/>
              </w:rPr>
              <w:t xml:space="preserve"> </w:t>
            </w:r>
            <w:r>
              <w:rPr>
                <w:b/>
                <w:bCs/>
                <w:color w:val="C00000"/>
                <w:spacing w:val="5"/>
              </w:rPr>
              <w:t>工业软件是制造之魂，</w:t>
            </w:r>
            <w:r>
              <w:rPr>
                <w:b/>
                <w:bCs/>
                <w:color w:val="C00000"/>
                <w:spacing w:val="48"/>
              </w:rPr>
              <w:t xml:space="preserve"> </w:t>
            </w:r>
            <w:r>
              <w:rPr>
                <w:b/>
                <w:bCs/>
                <w:color w:val="C00000"/>
                <w:spacing w:val="5"/>
              </w:rPr>
              <w:t>政策持续加持，行业有望加速发展</w:t>
            </w:r>
            <w:r>
              <w:rPr>
                <w:b/>
                <w:bCs/>
                <w:color w:val="C00000"/>
              </w:rPr>
              <w:tab/>
            </w:r>
            <w:r>
              <w:rPr>
                <w:b/>
                <w:bCs/>
                <w:color w:val="C00000"/>
                <w:spacing w:val="12"/>
              </w:rPr>
              <w:t>7</w:t>
            </w:r>
          </w:hyperlink>
        </w:p>
        <w:p>
          <w:pPr>
            <w:pStyle w:val="BodyText"/>
            <w:tabs>
              <w:tab w:val="right" w:leader="dot" w:pos="10478"/>
            </w:tabs>
            <w:spacing w:before="127" w:line="212" w:lineRule="exact"/>
            <w:ind w:left="10"/>
          </w:pPr>
          <w:hyperlink w:anchor="bookmark10" w:history="1">
            <w:r>
              <w:rPr>
                <w:color w:val="4C4D4F"/>
                <w:spacing w:val="8"/>
              </w:rPr>
              <w:t>2.1</w:t>
            </w:r>
            <w:r>
              <w:rPr>
                <w:color w:val="4C4D4F"/>
                <w:spacing w:val="55"/>
              </w:rPr>
              <w:t xml:space="preserve"> </w:t>
            </w:r>
            <w:r>
              <w:rPr>
                <w:color w:val="4C4D4F"/>
                <w:spacing w:val="8"/>
              </w:rPr>
              <w:t>工业软件行业是工业之魂，市场空间广阔</w:t>
            </w:r>
            <w:r>
              <w:rPr>
                <w:color w:val="4C4D4F"/>
              </w:rPr>
              <w:tab/>
            </w:r>
            <w:r>
              <w:rPr>
                <w:color w:val="4C4D4F"/>
                <w:spacing w:val="20"/>
                <w:w w:val="113"/>
              </w:rPr>
              <w:t>7</w:t>
            </w:r>
          </w:hyperlink>
        </w:p>
        <w:p>
          <w:pPr>
            <w:pStyle w:val="BodyText"/>
            <w:tabs>
              <w:tab w:val="right" w:leader="dot" w:pos="10478"/>
            </w:tabs>
            <w:spacing w:before="129" w:line="212" w:lineRule="exact"/>
            <w:ind w:left="10"/>
          </w:pPr>
          <w:hyperlink w:anchor="bookmark11" w:history="1">
            <w:r>
              <w:rPr>
                <w:color w:val="4C4D4F"/>
                <w:spacing w:val="1"/>
              </w:rPr>
              <w:t>2.2</w:t>
            </w:r>
            <w:r>
              <w:rPr>
                <w:color w:val="4C4D4F"/>
                <w:spacing w:val="29"/>
              </w:rPr>
              <w:t xml:space="preserve"> </w:t>
            </w:r>
            <w:r>
              <w:rPr>
                <w:color w:val="4C4D4F"/>
              </w:rPr>
              <w:t>PLM</w:t>
            </w:r>
            <w:r>
              <w:rPr>
                <w:color w:val="4C4D4F"/>
                <w:spacing w:val="1"/>
              </w:rPr>
              <w:t xml:space="preserve"> 是制造业数字化关键部分，</w:t>
            </w:r>
            <w:r>
              <w:rPr>
                <w:color w:val="4C4D4F"/>
                <w:spacing w:val="16"/>
              </w:rPr>
              <w:t xml:space="preserve">  </w:t>
            </w:r>
            <w:r>
              <w:rPr>
                <w:color w:val="4C4D4F"/>
                <w:spacing w:val="1"/>
              </w:rPr>
              <w:t>行业空间广阔</w:t>
            </w:r>
            <w:r>
              <w:rPr>
                <w:color w:val="4C4D4F"/>
              </w:rPr>
              <w:tab/>
            </w:r>
            <w:r>
              <w:rPr>
                <w:color w:val="4C4D4F"/>
                <w:spacing w:val="18"/>
                <w:w w:val="114"/>
              </w:rPr>
              <w:t>8</w:t>
            </w:r>
          </w:hyperlink>
        </w:p>
        <w:p>
          <w:pPr>
            <w:pStyle w:val="BodyText"/>
            <w:tabs>
              <w:tab w:val="right" w:leader="dot" w:pos="10478"/>
            </w:tabs>
            <w:spacing w:before="129" w:line="212" w:lineRule="exact"/>
            <w:ind w:left="10"/>
          </w:pPr>
          <w:hyperlink w:anchor="bookmark12" w:history="1">
            <w:r>
              <w:rPr>
                <w:color w:val="4C4D4F"/>
                <w:spacing w:val="7"/>
              </w:rPr>
              <w:t>2.3</w:t>
            </w:r>
            <w:r>
              <w:rPr>
                <w:color w:val="4C4D4F"/>
                <w:spacing w:val="55"/>
                <w:w w:val="101"/>
              </w:rPr>
              <w:t xml:space="preserve"> </w:t>
            </w:r>
            <w:r>
              <w:rPr>
                <w:color w:val="4C4D4F"/>
                <w:spacing w:val="7"/>
              </w:rPr>
              <w:t xml:space="preserve">政策东风频吹，行业发展有望加速 </w:t>
            </w:r>
            <w:r>
              <w:rPr>
                <w:color w:val="4C4D4F"/>
              </w:rPr>
              <w:tab/>
            </w:r>
            <w:r>
              <w:rPr>
                <w:color w:val="4C4D4F"/>
                <w:spacing w:val="9"/>
              </w:rPr>
              <w:t>10</w:t>
            </w:r>
          </w:hyperlink>
        </w:p>
        <w:p>
          <w:pPr>
            <w:pStyle w:val="BodyText"/>
            <w:tabs>
              <w:tab w:val="right" w:leader="dot" w:pos="10476"/>
            </w:tabs>
            <w:spacing w:before="126" w:line="212" w:lineRule="exact"/>
            <w:ind w:left="14"/>
          </w:pPr>
          <w:hyperlink w:anchor="bookmark13" w:history="1">
            <w:r>
              <w:rPr>
                <w:b/>
                <w:bCs/>
                <w:color w:val="C00000"/>
                <w:spacing w:val="4"/>
              </w:rPr>
              <w:t>3  自研业务驱动盈利能力品质上行，  华为合作驱动新一轮发展</w:t>
            </w:r>
            <w:r>
              <w:rPr>
                <w:b/>
                <w:bCs/>
                <w:color w:val="C00000"/>
                <w:spacing w:val="3"/>
              </w:rPr>
              <w:t xml:space="preserve">机遇 </w:t>
            </w:r>
            <w:r>
              <w:rPr>
                <w:b/>
                <w:bCs/>
                <w:color w:val="C00000"/>
              </w:rPr>
              <w:tab/>
            </w:r>
            <w:r>
              <w:rPr>
                <w:b/>
                <w:bCs/>
                <w:color w:val="C00000"/>
                <w:spacing w:val="32"/>
              </w:rPr>
              <w:t>11</w:t>
            </w:r>
          </w:hyperlink>
        </w:p>
        <w:p>
          <w:pPr>
            <w:pStyle w:val="BodyText"/>
            <w:tabs>
              <w:tab w:val="right" w:leader="dot" w:pos="10478"/>
            </w:tabs>
            <w:spacing w:before="129" w:line="212" w:lineRule="exact"/>
            <w:ind w:left="12"/>
          </w:pPr>
          <w:hyperlink w:anchor="bookmark14" w:history="1">
            <w:r>
              <w:rPr>
                <w:color w:val="4C4D4F"/>
                <w:spacing w:val="7"/>
              </w:rPr>
              <w:t>3.1  自研业务高速增长，驱动盈利能力品质上行</w:t>
            </w:r>
            <w:r>
              <w:rPr>
                <w:color w:val="4C4D4F"/>
              </w:rPr>
              <w:tab/>
            </w:r>
            <w:r>
              <w:rPr>
                <w:color w:val="4C4D4F"/>
                <w:spacing w:val="9"/>
              </w:rPr>
              <w:t>11</w:t>
            </w:r>
          </w:hyperlink>
        </w:p>
        <w:p>
          <w:pPr>
            <w:pStyle w:val="BodyText"/>
            <w:tabs>
              <w:tab w:val="right" w:leader="dot" w:pos="10478"/>
            </w:tabs>
            <w:spacing w:before="129" w:line="212" w:lineRule="exact"/>
            <w:ind w:left="12"/>
          </w:pPr>
          <w:hyperlink w:anchor="bookmark15" w:history="1">
            <w:r>
              <w:rPr>
                <w:color w:val="4C4D4F"/>
                <w:spacing w:val="4"/>
              </w:rPr>
              <w:t>3.2</w:t>
            </w:r>
            <w:r>
              <w:rPr>
                <w:color w:val="4C4D4F"/>
                <w:spacing w:val="62"/>
                <w:w w:val="101"/>
              </w:rPr>
              <w:t xml:space="preserve"> </w:t>
            </w:r>
            <w:r>
              <w:rPr>
                <w:color w:val="4C4D4F"/>
                <w:spacing w:val="4"/>
              </w:rPr>
              <w:t>战略携手华为工业云，</w:t>
            </w:r>
            <w:r>
              <w:rPr>
                <w:color w:val="4C4D4F"/>
                <w:spacing w:val="27"/>
                <w:w w:val="101"/>
              </w:rPr>
              <w:t xml:space="preserve"> </w:t>
            </w:r>
            <w:r>
              <w:rPr>
                <w:color w:val="4C4D4F"/>
                <w:spacing w:val="4"/>
              </w:rPr>
              <w:t xml:space="preserve">有望驱动新一轮发展机遇 </w:t>
            </w:r>
            <w:r>
              <w:rPr>
                <w:color w:val="4C4D4F"/>
              </w:rPr>
              <w:tab/>
            </w:r>
            <w:r>
              <w:rPr>
                <w:color w:val="4C4D4F"/>
                <w:spacing w:val="9"/>
              </w:rPr>
              <w:t>13</w:t>
            </w:r>
          </w:hyperlink>
        </w:p>
        <w:p>
          <w:pPr>
            <w:pStyle w:val="BodyText"/>
            <w:tabs>
              <w:tab w:val="right" w:leader="dot" w:pos="10476"/>
            </w:tabs>
            <w:spacing w:before="126" w:line="212" w:lineRule="exact"/>
            <w:ind w:left="2"/>
          </w:pPr>
          <w:hyperlink w:anchor="bookmark16" w:history="1">
            <w:r>
              <w:rPr>
                <w:b/>
                <w:bCs/>
                <w:color w:val="C00000"/>
                <w:spacing w:val="8"/>
              </w:rPr>
              <w:t>4</w:t>
            </w:r>
            <w:r>
              <w:rPr>
                <w:b/>
                <w:bCs/>
                <w:color w:val="C00000"/>
                <w:spacing w:val="52"/>
              </w:rPr>
              <w:t xml:space="preserve"> </w:t>
            </w:r>
            <w:r>
              <w:rPr>
                <w:b/>
                <w:bCs/>
                <w:color w:val="C00000"/>
                <w:spacing w:val="8"/>
              </w:rPr>
              <w:t>盈利预测与投资建议</w:t>
            </w:r>
            <w:r>
              <w:rPr>
                <w:b/>
                <w:bCs/>
                <w:color w:val="C00000"/>
                <w:spacing w:val="-10"/>
              </w:rPr>
              <w:t xml:space="preserve"> </w:t>
            </w:r>
            <w:r>
              <w:rPr>
                <w:b/>
                <w:bCs/>
                <w:color w:val="C00000"/>
              </w:rPr>
              <w:tab/>
            </w:r>
            <w:r>
              <w:rPr>
                <w:b/>
                <w:bCs/>
                <w:color w:val="C00000"/>
                <w:spacing w:val="24"/>
                <w:w w:val="107"/>
              </w:rPr>
              <w:t>16</w:t>
            </w:r>
          </w:hyperlink>
        </w:p>
        <w:p>
          <w:pPr>
            <w:pStyle w:val="BodyText"/>
            <w:tabs>
              <w:tab w:val="right" w:leader="dot" w:pos="10478"/>
            </w:tabs>
            <w:spacing w:before="129" w:line="212" w:lineRule="exact"/>
          </w:pPr>
          <w:hyperlink w:anchor="bookmark17" w:history="1">
            <w:r>
              <w:rPr>
                <w:color w:val="4C4D4F"/>
                <w:spacing w:val="8"/>
              </w:rPr>
              <w:t>4.1</w:t>
            </w:r>
            <w:r>
              <w:rPr>
                <w:color w:val="4C4D4F"/>
                <w:spacing w:val="52"/>
              </w:rPr>
              <w:t xml:space="preserve"> </w:t>
            </w:r>
            <w:r>
              <w:rPr>
                <w:color w:val="4C4D4F"/>
                <w:spacing w:val="8"/>
              </w:rPr>
              <w:t>盈利预测假设与业务拆分</w:t>
            </w:r>
            <w:r>
              <w:rPr>
                <w:color w:val="4C4D4F"/>
              </w:rPr>
              <w:tab/>
            </w:r>
            <w:r>
              <w:rPr>
                <w:color w:val="4C4D4F"/>
                <w:spacing w:val="9"/>
              </w:rPr>
              <w:t>16</w:t>
            </w:r>
          </w:hyperlink>
        </w:p>
        <w:p>
          <w:pPr>
            <w:pStyle w:val="BodyText"/>
            <w:tabs>
              <w:tab w:val="right" w:leader="dot" w:pos="10478"/>
            </w:tabs>
            <w:spacing w:before="129" w:line="212" w:lineRule="exact"/>
          </w:pPr>
          <w:hyperlink w:anchor="bookmark18" w:history="1">
            <w:r>
              <w:rPr>
                <w:color w:val="4C4D4F"/>
                <w:spacing w:val="7"/>
              </w:rPr>
              <w:t>4.2</w:t>
            </w:r>
            <w:r>
              <w:rPr>
                <w:color w:val="4C4D4F"/>
                <w:spacing w:val="47"/>
              </w:rPr>
              <w:t xml:space="preserve"> </w:t>
            </w:r>
            <w:r>
              <w:rPr>
                <w:color w:val="4C4D4F"/>
                <w:spacing w:val="7"/>
              </w:rPr>
              <w:t xml:space="preserve">估值分析与投资建议 </w:t>
            </w:r>
            <w:r>
              <w:rPr>
                <w:color w:val="4C4D4F"/>
              </w:rPr>
              <w:tab/>
            </w:r>
            <w:r>
              <w:rPr>
                <w:color w:val="4C4D4F"/>
                <w:spacing w:val="9"/>
              </w:rPr>
              <w:t>17</w:t>
            </w:r>
          </w:hyperlink>
        </w:p>
        <w:p>
          <w:pPr>
            <w:pStyle w:val="BodyText"/>
            <w:tabs>
              <w:tab w:val="right" w:leader="dot" w:pos="10476"/>
            </w:tabs>
            <w:spacing w:before="126" w:line="212" w:lineRule="exact"/>
            <w:ind w:left="15"/>
          </w:pPr>
          <w:hyperlink w:anchor="bookmark19" w:history="1">
            <w:r>
              <w:rPr>
                <w:b/>
                <w:bCs/>
                <w:color w:val="C00000"/>
                <w:spacing w:val="5"/>
              </w:rPr>
              <w:t>5</w:t>
            </w:r>
            <w:r>
              <w:rPr>
                <w:b/>
                <w:bCs/>
                <w:color w:val="C00000"/>
                <w:spacing w:val="44"/>
              </w:rPr>
              <w:t xml:space="preserve"> </w:t>
            </w:r>
            <w:r>
              <w:rPr>
                <w:b/>
                <w:bCs/>
                <w:color w:val="C00000"/>
                <w:spacing w:val="5"/>
              </w:rPr>
              <w:t>风险提示</w:t>
            </w:r>
            <w:r>
              <w:rPr>
                <w:b/>
                <w:bCs/>
                <w:color w:val="C00000"/>
                <w:spacing w:val="11"/>
              </w:rPr>
              <w:t xml:space="preserve"> </w:t>
            </w:r>
            <w:r>
              <w:rPr>
                <w:b/>
                <w:bCs/>
                <w:color w:val="C00000"/>
              </w:rPr>
              <w:tab/>
            </w:r>
            <w:r>
              <w:rPr>
                <w:b/>
                <w:bCs/>
                <w:color w:val="C00000"/>
                <w:spacing w:val="24"/>
                <w:w w:val="107"/>
              </w:rPr>
              <w:t>18</w:t>
            </w:r>
          </w:hyperlink>
        </w:p>
        <w:p>
          <w:pPr>
            <w:pStyle w:val="BodyText"/>
            <w:tabs>
              <w:tab w:val="right" w:leader="dot" w:pos="10476"/>
            </w:tabs>
            <w:spacing w:before="129" w:line="213" w:lineRule="exact"/>
            <w:ind w:left="1"/>
          </w:pPr>
          <w:hyperlink w:anchor="bookmark20" w:history="1">
            <w:r>
              <w:rPr>
                <w:b/>
                <w:bCs/>
                <w:color w:val="C00000"/>
                <w:spacing w:val="7"/>
              </w:rPr>
              <w:t xml:space="preserve">插图目录 </w:t>
            </w:r>
            <w:r>
              <w:rPr>
                <w:b/>
                <w:bCs/>
                <w:color w:val="C00000"/>
              </w:rPr>
              <w:tab/>
            </w:r>
            <w:r>
              <w:rPr>
                <w:b/>
                <w:bCs/>
                <w:color w:val="C00000"/>
                <w:spacing w:val="17"/>
                <w:w w:val="113"/>
              </w:rPr>
              <w:t>20</w:t>
            </w:r>
          </w:hyperlink>
        </w:p>
        <w:p>
          <w:pPr>
            <w:pStyle w:val="BodyText"/>
            <w:tabs>
              <w:tab w:val="right" w:leader="dot" w:pos="10476"/>
            </w:tabs>
            <w:spacing w:before="128" w:line="201" w:lineRule="auto"/>
            <w:ind w:left="1"/>
          </w:pPr>
          <w:hyperlink w:anchor="bookmark21" w:history="1">
            <w:r>
              <w:rPr>
                <w:b/>
                <w:bCs/>
                <w:color w:val="C00000"/>
                <w:spacing w:val="7"/>
              </w:rPr>
              <w:t xml:space="preserve">表格目录 </w:t>
            </w:r>
            <w:r>
              <w:rPr>
                <w:b/>
                <w:bCs/>
                <w:color w:val="C00000"/>
              </w:rPr>
              <w:tab/>
            </w:r>
            <w:r>
              <w:rPr>
                <w:b/>
                <w:bCs/>
                <w:color w:val="C00000"/>
                <w:spacing w:val="17"/>
                <w:w w:val="113"/>
              </w:rPr>
              <w:t>20</w:t>
            </w:r>
          </w:hyperlink>
        </w:p>
      </w:sdtContent>
    </w:sdt>
    <w:p>
      <w:pPr>
        <w:spacing w:line="201" w:lineRule="auto"/>
        <w:sectPr>
          <w:headerReference w:type="default" r:id="rId16"/>
          <w:footerReference w:type="default" r:id="rId17"/>
          <w:pgSz w:w="11907" w:h="16839"/>
          <w:pgMar w:top="1378" w:right="709" w:bottom="834" w:left="709" w:header="691" w:footer="464" w:gutter="0"/>
          <w:pgNumType w:start="3"/>
          <w:cols w:space="708"/>
        </w:sectPr>
      </w:pPr>
    </w:p>
    <w:p>
      <w:pPr>
        <w:spacing w:line="295" w:lineRule="auto"/>
        <w:rPr>
          <w:rFonts w:ascii="Arial"/>
          <w:sz w:val="21"/>
        </w:rPr>
      </w:pPr>
      <w:r>
        <w:drawing>
          <wp:anchor distT="0" distB="0" distL="0" distR="0" simplePos="0" relativeHeight="251659264" behindDoc="1" locked="0" layoutInCell="0" allowOverlap="1">
            <wp:simplePos x="0" y="0"/>
            <wp:positionH relativeFrom="page">
              <wp:posOffset>711200</wp:posOffset>
            </wp:positionH>
            <wp:positionV relativeFrom="page">
              <wp:posOffset>4936363</wp:posOffset>
            </wp:positionV>
            <wp:extent cx="5838063" cy="2555874"/>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8"/>
                    <a:stretch>
                      <a:fillRect/>
                    </a:stretch>
                  </pic:blipFill>
                  <pic:spPr>
                    <a:xfrm>
                      <a:off x="0" y="0"/>
                      <a:ext cx="5838063" cy="2555874"/>
                    </a:xfrm>
                    <a:prstGeom prst="rect">
                      <a:avLst/>
                    </a:prstGeom>
                  </pic:spPr>
                </pic:pic>
              </a:graphicData>
            </a:graphic>
          </wp:anchor>
        </w:drawing>
      </w:r>
    </w:p>
    <w:p>
      <w:pPr>
        <w:spacing w:line="295" w:lineRule="auto"/>
        <w:rPr>
          <w:rFonts w:ascii="Arial"/>
          <w:sz w:val="21"/>
        </w:rPr>
      </w:pPr>
    </w:p>
    <w:p>
      <w:pPr>
        <w:pStyle w:val="BodyText"/>
        <w:spacing w:before="133" w:line="198" w:lineRule="auto"/>
        <w:ind w:left="29"/>
        <w:rPr>
          <w:sz w:val="31"/>
          <w:szCs w:val="31"/>
        </w:rPr>
      </w:pPr>
      <w:bookmarkStart w:id="3" w:name="bookmark4"/>
      <w:bookmarkEnd w:id="3"/>
      <w:bookmarkStart w:id="4" w:name="bookmark5"/>
      <w:bookmarkEnd w:id="4"/>
      <w:bookmarkStart w:id="5" w:name="bookmark22"/>
      <w:bookmarkEnd w:id="5"/>
      <w:r>
        <w:rPr>
          <w:b/>
          <w:bCs/>
          <w:color w:val="C00000"/>
          <w:spacing w:val="7"/>
          <w:sz w:val="31"/>
          <w:szCs w:val="31"/>
        </w:rPr>
        <w:t>1 能科是智能制造企业数字化转型领域领军企业</w:t>
      </w:r>
    </w:p>
    <w:p>
      <w:pPr>
        <w:pStyle w:val="BodyText"/>
        <w:spacing w:before="158" w:line="194" w:lineRule="auto"/>
        <w:ind w:left="25"/>
        <w:outlineLvl w:val="0"/>
        <w:rPr>
          <w:sz w:val="28"/>
          <w:szCs w:val="28"/>
        </w:rPr>
      </w:pPr>
      <w:r>
        <w:rPr>
          <w:b/>
          <w:bCs/>
          <w:color w:val="4C4D4F"/>
          <w:spacing w:val="-1"/>
          <w:sz w:val="28"/>
          <w:szCs w:val="28"/>
        </w:rPr>
        <w:t>1.1 能科是国内智能制造企业数字化转型领</w:t>
      </w:r>
      <w:r>
        <w:rPr>
          <w:b/>
          <w:bCs/>
          <w:color w:val="4C4D4F"/>
          <w:spacing w:val="-2"/>
          <w:sz w:val="28"/>
          <w:szCs w:val="28"/>
        </w:rPr>
        <w:t>域领军企业</w:t>
      </w:r>
    </w:p>
    <w:p>
      <w:pPr>
        <w:spacing w:line="249" w:lineRule="auto"/>
        <w:rPr>
          <w:rFonts w:ascii="Arial"/>
          <w:sz w:val="21"/>
        </w:rPr>
      </w:pPr>
    </w:p>
    <w:p>
      <w:pPr>
        <w:pStyle w:val="BodyText"/>
        <w:spacing w:before="82" w:line="360" w:lineRule="exact"/>
        <w:ind w:left="403"/>
      </w:pPr>
      <w:r>
        <w:rPr>
          <w:b/>
          <w:bCs/>
          <w:color w:val="4C4D4F"/>
          <w:spacing w:val="8"/>
          <w:position w:val="12"/>
        </w:rPr>
        <w:t>能科科技国内智能制造企业数字化转型领域领军企业。</w:t>
      </w:r>
      <w:r>
        <w:rPr>
          <w:color w:val="4C4D4F"/>
          <w:spacing w:val="8"/>
          <w:position w:val="12"/>
        </w:rPr>
        <w:t>公司前身成立于 2006</w:t>
      </w:r>
    </w:p>
    <w:p>
      <w:pPr>
        <w:pStyle w:val="BodyText"/>
        <w:spacing w:line="200" w:lineRule="auto"/>
        <w:ind w:left="3"/>
      </w:pPr>
      <w:r>
        <w:rPr>
          <w:color w:val="4C4D4F"/>
        </w:rPr>
        <w:t>年，</w:t>
      </w:r>
      <w:r>
        <w:rPr>
          <w:color w:val="4C4D4F"/>
          <w:spacing w:val="28"/>
        </w:rPr>
        <w:t xml:space="preserve"> </w:t>
      </w:r>
      <w:r>
        <w:rPr>
          <w:color w:val="4C4D4F"/>
        </w:rPr>
        <w:t>早期主营业务为工业能效管理，  主要产品为变频器。2014 年起，  公司布局智</w:t>
      </w:r>
    </w:p>
    <w:p>
      <w:pPr>
        <w:pStyle w:val="BodyText"/>
        <w:spacing w:before="87" w:line="201" w:lineRule="auto"/>
        <w:ind w:left="3"/>
      </w:pPr>
      <w:r>
        <w:rPr>
          <w:color w:val="4C4D4F"/>
          <w:spacing w:val="4"/>
        </w:rPr>
        <w:t>能制造产业，</w:t>
      </w:r>
      <w:r>
        <w:rPr>
          <w:color w:val="4C4D4F"/>
          <w:spacing w:val="-6"/>
        </w:rPr>
        <w:t xml:space="preserve"> </w:t>
      </w:r>
      <w:r>
        <w:rPr>
          <w:color w:val="4C4D4F"/>
          <w:spacing w:val="4"/>
        </w:rPr>
        <w:t>并于 2015 年设立控股子公司能科瑞元，</w:t>
      </w:r>
      <w:r>
        <w:rPr>
          <w:color w:val="4C4D4F"/>
          <w:spacing w:val="-12"/>
        </w:rPr>
        <w:t xml:space="preserve"> </w:t>
      </w:r>
      <w:r>
        <w:rPr>
          <w:color w:val="4C4D4F"/>
          <w:spacing w:val="4"/>
        </w:rPr>
        <w:t>筹建智能制造系统集成业务</w:t>
      </w:r>
    </w:p>
    <w:p>
      <w:pPr>
        <w:pStyle w:val="BodyText"/>
        <w:spacing w:before="87" w:line="201" w:lineRule="auto"/>
        <w:ind w:left="11"/>
      </w:pPr>
      <w:r>
        <w:rPr>
          <w:color w:val="4C4D4F"/>
          <w:spacing w:val="2"/>
        </w:rPr>
        <w:t>的专业团队。此后，  公司继续聚焦并大力</w:t>
      </w:r>
      <w:r>
        <w:rPr>
          <w:color w:val="4C4D4F"/>
          <w:spacing w:val="1"/>
        </w:rPr>
        <w:t>拓展高端制造市场。发展至今， 公司已成</w:t>
      </w:r>
    </w:p>
    <w:p>
      <w:pPr>
        <w:pStyle w:val="BodyText"/>
        <w:spacing w:before="88" w:line="200" w:lineRule="auto"/>
        <w:ind w:left="2"/>
      </w:pPr>
      <w:r>
        <w:rPr>
          <w:color w:val="4C4D4F"/>
          <w:spacing w:val="11"/>
        </w:rPr>
        <w:t>功实现智能电气向智能制造的战略转型，</w:t>
      </w:r>
      <w:r>
        <w:rPr>
          <w:color w:val="4C4D4F"/>
          <w:spacing w:val="-18"/>
        </w:rPr>
        <w:t xml:space="preserve"> </w:t>
      </w:r>
      <w:r>
        <w:rPr>
          <w:color w:val="4C4D4F"/>
          <w:spacing w:val="11"/>
        </w:rPr>
        <w:t>当前定位为制造业企业的数字化转型合</w:t>
      </w:r>
    </w:p>
    <w:p>
      <w:pPr>
        <w:pStyle w:val="BodyText"/>
        <w:spacing w:before="88" w:line="201" w:lineRule="auto"/>
        <w:ind w:left="2"/>
      </w:pPr>
      <w:r>
        <w:rPr>
          <w:color w:val="4C4D4F"/>
          <w:spacing w:val="8"/>
        </w:rPr>
        <w:t>作伙伴，服务央企重工、高科技电子 5G、汽车及轨道交通、装备制造、能源</w:t>
      </w:r>
      <w:r>
        <w:rPr>
          <w:color w:val="4C4D4F"/>
          <w:spacing w:val="7"/>
        </w:rPr>
        <w:t>动力</w:t>
      </w:r>
    </w:p>
    <w:p>
      <w:pPr>
        <w:pStyle w:val="BodyText"/>
        <w:spacing w:before="87" w:line="201" w:lineRule="auto"/>
        <w:ind w:left="2"/>
      </w:pPr>
      <w:r>
        <w:rPr>
          <w:color w:val="4C4D4F"/>
          <w:spacing w:val="7"/>
        </w:rPr>
        <w:t>等行业，为各行业内头部客户提供定制化智能</w:t>
      </w:r>
      <w:r>
        <w:rPr>
          <w:color w:val="4C4D4F"/>
          <w:spacing w:val="6"/>
        </w:rPr>
        <w:t>技术服务。得益于行业高景气与业务</w:t>
      </w:r>
    </w:p>
    <w:p>
      <w:pPr>
        <w:pStyle w:val="BodyText"/>
        <w:spacing w:before="87" w:line="201" w:lineRule="auto"/>
        <w:ind w:left="4"/>
      </w:pPr>
      <w:r>
        <w:rPr>
          <w:color w:val="4C4D4F"/>
          <w:spacing w:val="5"/>
        </w:rPr>
        <w:t>覆盖面的不断拓展，</w:t>
      </w:r>
      <w:r>
        <w:rPr>
          <w:color w:val="4C4D4F"/>
          <w:spacing w:val="-2"/>
        </w:rPr>
        <w:t xml:space="preserve"> </w:t>
      </w:r>
      <w:r>
        <w:rPr>
          <w:color w:val="4C4D4F"/>
          <w:spacing w:val="5"/>
        </w:rPr>
        <w:t>近年来公司营业收入持续高增，净利润加速增长，盈利能力稳</w:t>
      </w:r>
    </w:p>
    <w:p>
      <w:pPr>
        <w:pStyle w:val="BodyText"/>
        <w:spacing w:before="87" w:line="201" w:lineRule="auto"/>
        <w:ind w:left="5"/>
      </w:pPr>
      <w:r>
        <w:rPr>
          <w:color w:val="4C4D4F"/>
          <w:spacing w:val="6"/>
        </w:rPr>
        <w:t>步上行。公司于 2020 年启动定增，打造基于云原生的生产力中台、服务中小企业</w:t>
      </w:r>
    </w:p>
    <w:p>
      <w:pPr>
        <w:pStyle w:val="BodyText"/>
        <w:spacing w:before="87" w:line="200" w:lineRule="auto"/>
        <w:ind w:left="11"/>
      </w:pPr>
      <w:r>
        <w:rPr>
          <w:color w:val="4C4D4F"/>
          <w:spacing w:val="5"/>
        </w:rPr>
        <w:t>的工业创新服务云、面向工业大数据应用的数据资产</w:t>
      </w:r>
      <w:r>
        <w:rPr>
          <w:color w:val="4C4D4F"/>
          <w:spacing w:val="4"/>
        </w:rPr>
        <w:t>平台， 目前相关自研产品已开</w:t>
      </w:r>
    </w:p>
    <w:p>
      <w:pPr>
        <w:pStyle w:val="BodyText"/>
        <w:spacing w:before="88" w:line="201" w:lineRule="auto"/>
        <w:ind w:left="2"/>
      </w:pPr>
      <w:r>
        <w:rPr>
          <w:color w:val="4C4D4F"/>
          <w:spacing w:val="3"/>
        </w:rPr>
        <w:t>始落地，  成为公司向平台化、云服务化转型核心抓手。</w:t>
      </w:r>
    </w:p>
    <w:p>
      <w:pPr>
        <w:pStyle w:val="BodyText"/>
        <w:spacing w:before="231" w:line="211" w:lineRule="exact"/>
        <w:ind w:left="119"/>
      </w:pPr>
      <w:bookmarkStart w:id="6" w:name="bookmark23"/>
      <w:bookmarkEnd w:id="6"/>
      <w:r>
        <w:rPr>
          <w:b/>
          <w:bCs/>
          <w:color w:val="4C4D4F"/>
          <w:spacing w:val="8"/>
        </w:rPr>
        <w:t>图1：公司的发展历程</w:t>
      </w:r>
    </w:p>
    <w:p>
      <w:pPr>
        <w:spacing w:line="4097" w:lineRule="exact"/>
      </w:pPr>
      <w:r>
        <w:rPr>
          <w:position w:val="-81"/>
        </w:rPr>
        <w:pict>
          <v:group id="_x0000_i1035" style="width:518.9pt;height:204.85pt;mso-position-horizontal-relative:char;mso-position-vertical-relative:line" coordorigin="0,0" coordsize="10378,4097" filled="f" stroked="f">
            <v:rect id="_x0000_s1036" style="width:10378;height:20;position:absolute;top:-1" filled="t" fillcolor="#4c4d4f" stroked="f"/>
            <v:rect id="_x0000_s1037" style="width:10378;height:20;position:absolute;top:4077" filled="t" fillcolor="#4c4d4f" stroked="f"/>
            <w10:wrap type="none"/>
          </v:group>
        </w:pict>
      </w:r>
    </w:p>
    <w:p>
      <w:pPr>
        <w:pStyle w:val="BodyText"/>
        <w:spacing w:before="64" w:line="195" w:lineRule="auto"/>
        <w:ind w:left="110"/>
        <w:rPr>
          <w:sz w:val="15"/>
          <w:szCs w:val="15"/>
        </w:rPr>
      </w:pPr>
      <w:r>
        <w:rPr>
          <w:color w:val="4C4D4F"/>
          <w:spacing w:val="-6"/>
          <w:sz w:val="15"/>
          <w:szCs w:val="15"/>
        </w:rPr>
        <w:t>资料来源： 公司官网等，</w:t>
      </w:r>
      <w:r>
        <w:rPr>
          <w:color w:val="4C4D4F"/>
          <w:spacing w:val="23"/>
          <w:w w:val="101"/>
          <w:sz w:val="15"/>
          <w:szCs w:val="15"/>
        </w:rPr>
        <w:t xml:space="preserve"> </w:t>
      </w:r>
      <w:r>
        <w:rPr>
          <w:color w:val="4C4D4F"/>
          <w:spacing w:val="-6"/>
          <w:sz w:val="15"/>
          <w:szCs w:val="15"/>
        </w:rPr>
        <w:t>民生证券研究院</w:t>
      </w:r>
    </w:p>
    <w:p>
      <w:pPr>
        <w:spacing w:line="299" w:lineRule="auto"/>
        <w:rPr>
          <w:rFonts w:ascii="Arial"/>
          <w:sz w:val="21"/>
        </w:rPr>
      </w:pPr>
    </w:p>
    <w:p>
      <w:pPr>
        <w:spacing w:line="300" w:lineRule="auto"/>
        <w:rPr>
          <w:rFonts w:ascii="Arial"/>
          <w:sz w:val="21"/>
        </w:rPr>
      </w:pPr>
    </w:p>
    <w:p>
      <w:pPr>
        <w:pStyle w:val="BodyText"/>
        <w:spacing w:before="121" w:line="194" w:lineRule="auto"/>
        <w:ind w:left="25"/>
        <w:outlineLvl w:val="0"/>
        <w:rPr>
          <w:sz w:val="28"/>
          <w:szCs w:val="28"/>
        </w:rPr>
      </w:pPr>
      <w:bookmarkStart w:id="7" w:name="bookmark6"/>
      <w:bookmarkEnd w:id="7"/>
      <w:r>
        <w:rPr>
          <w:b/>
          <w:bCs/>
          <w:color w:val="4C4D4F"/>
          <w:spacing w:val="-2"/>
          <w:sz w:val="28"/>
          <w:szCs w:val="28"/>
        </w:rPr>
        <w:t>1.2 公司核心业务包括智能制造和智能电气两大类</w:t>
      </w:r>
    </w:p>
    <w:p>
      <w:pPr>
        <w:spacing w:line="249" w:lineRule="auto"/>
        <w:rPr>
          <w:rFonts w:ascii="Arial"/>
          <w:sz w:val="21"/>
        </w:rPr>
        <w:sectPr>
          <w:headerReference w:type="default" r:id="rId19"/>
          <w:footerReference w:type="default" r:id="rId20"/>
          <w:pgSz w:w="11907" w:h="16839"/>
          <w:pgMar w:top="1378" w:right="709" w:bottom="834" w:left="708" w:header="691" w:footer="464" w:gutter="0"/>
          <w:pgNumType w:start="4"/>
          <w:cols w:space="708"/>
        </w:sectPr>
      </w:pPr>
    </w:p>
    <w:p>
      <w:pPr>
        <w:pStyle w:val="BodyText"/>
        <w:spacing w:before="82" w:line="360" w:lineRule="exact"/>
        <w:ind w:left="404"/>
      </w:pPr>
      <w:r>
        <w:rPr>
          <w:b/>
          <w:bCs/>
          <w:color w:val="4C4D4F"/>
          <w:spacing w:val="2"/>
          <w:position w:val="12"/>
        </w:rPr>
        <w:t>智能制造业务：1）软件系统与服务</w:t>
      </w:r>
      <w:r>
        <w:rPr>
          <w:color w:val="4C4D4F"/>
          <w:spacing w:val="2"/>
          <w:position w:val="12"/>
        </w:rPr>
        <w:t>：主要代理西门子等公司</w:t>
      </w:r>
      <w:r>
        <w:rPr>
          <w:color w:val="4C4D4F"/>
          <w:spacing w:val="1"/>
          <w:position w:val="12"/>
        </w:rPr>
        <w:t>的工业软件产品，</w:t>
      </w:r>
    </w:p>
    <w:p>
      <w:pPr>
        <w:pStyle w:val="BodyText"/>
        <w:spacing w:before="1" w:line="200" w:lineRule="auto"/>
        <w:ind w:left="6"/>
      </w:pPr>
      <w:r>
        <w:rPr>
          <w:color w:val="4C4D4F"/>
          <w:spacing w:val="6"/>
        </w:rPr>
        <w:t>为客户提供实施、二次开发和咨询类服务。其中，西门子是最核心的合作伙伴，公</w:t>
      </w:r>
    </w:p>
    <w:p>
      <w:pPr>
        <w:pStyle w:val="BodyText"/>
        <w:spacing w:before="87" w:line="197" w:lineRule="auto"/>
        <w:ind w:left="5"/>
      </w:pPr>
      <w:r>
        <w:rPr>
          <w:color w:val="4C4D4F"/>
          <w:spacing w:val="6"/>
        </w:rPr>
        <w:t xml:space="preserve">司代理西门子的产品包括 </w:t>
      </w:r>
      <w:r>
        <w:rPr>
          <w:color w:val="4C4D4F"/>
        </w:rPr>
        <w:t>CAD</w:t>
      </w:r>
      <w:r>
        <w:rPr>
          <w:color w:val="4C4D4F"/>
          <w:spacing w:val="6"/>
        </w:rPr>
        <w:t>、</w:t>
      </w:r>
      <w:r>
        <w:rPr>
          <w:color w:val="4C4D4F"/>
        </w:rPr>
        <w:t>CAE</w:t>
      </w:r>
      <w:r>
        <w:rPr>
          <w:color w:val="4C4D4F"/>
          <w:spacing w:val="6"/>
        </w:rPr>
        <w:t>、</w:t>
      </w:r>
      <w:r>
        <w:rPr>
          <w:color w:val="4C4D4F"/>
          <w:spacing w:val="-27"/>
        </w:rPr>
        <w:t xml:space="preserve"> </w:t>
      </w:r>
      <w:r>
        <w:rPr>
          <w:color w:val="4C4D4F"/>
        </w:rPr>
        <w:t>PLM</w:t>
      </w:r>
      <w:r>
        <w:rPr>
          <w:color w:val="4C4D4F"/>
          <w:spacing w:val="6"/>
        </w:rPr>
        <w:t>、</w:t>
      </w:r>
      <w:r>
        <w:rPr>
          <w:color w:val="4C4D4F"/>
          <w:spacing w:val="-30"/>
        </w:rPr>
        <w:t xml:space="preserve"> </w:t>
      </w:r>
      <w:r>
        <w:rPr>
          <w:color w:val="4C4D4F"/>
        </w:rPr>
        <w:t>MES</w:t>
      </w:r>
      <w:r>
        <w:rPr>
          <w:color w:val="4C4D4F"/>
          <w:spacing w:val="6"/>
        </w:rPr>
        <w:t>/</w:t>
      </w:r>
      <w:r>
        <w:rPr>
          <w:color w:val="4C4D4F"/>
        </w:rPr>
        <w:t>MoM</w:t>
      </w:r>
      <w:r>
        <w:rPr>
          <w:color w:val="4C4D4F"/>
          <w:spacing w:val="6"/>
        </w:rPr>
        <w:t xml:space="preserve"> 等；</w:t>
      </w:r>
      <w:r>
        <w:rPr>
          <w:color w:val="4C4D4F"/>
          <w:spacing w:val="33"/>
        </w:rPr>
        <w:t xml:space="preserve"> </w:t>
      </w:r>
      <w:r>
        <w:rPr>
          <w:b/>
          <w:bCs/>
          <w:color w:val="4C4D4F"/>
          <w:spacing w:val="6"/>
        </w:rPr>
        <w:t>2）</w:t>
      </w:r>
      <w:r>
        <w:rPr>
          <w:b/>
          <w:bCs/>
          <w:color w:val="4C4D4F"/>
          <w:spacing w:val="-27"/>
        </w:rPr>
        <w:t xml:space="preserve"> </w:t>
      </w:r>
      <w:r>
        <w:rPr>
          <w:b/>
          <w:bCs/>
          <w:color w:val="4C4D4F"/>
          <w:spacing w:val="6"/>
        </w:rPr>
        <w:t>自研产品体系</w:t>
      </w:r>
    </w:p>
    <w:p>
      <w:pPr>
        <w:pStyle w:val="BodyText"/>
        <w:spacing w:before="92" w:line="197" w:lineRule="auto"/>
        <w:ind w:left="31"/>
      </w:pPr>
      <w:r>
        <w:rPr>
          <w:b/>
          <w:bCs/>
          <w:color w:val="4C4D4F"/>
          <w:spacing w:val="8"/>
        </w:rPr>
        <w:t>（云计算产品与服务</w:t>
      </w:r>
      <w:r>
        <w:rPr>
          <w:b/>
          <w:bCs/>
          <w:color w:val="4C4D4F"/>
          <w:spacing w:val="-45"/>
          <w:w w:val="98"/>
        </w:rPr>
        <w:t>）</w:t>
      </w:r>
      <w:r>
        <w:rPr>
          <w:color w:val="4C4D4F"/>
          <w:spacing w:val="-45"/>
          <w:w w:val="98"/>
        </w:rPr>
        <w:t>：</w:t>
      </w:r>
      <w:r>
        <w:rPr>
          <w:color w:val="4C4D4F"/>
          <w:spacing w:val="-25"/>
        </w:rPr>
        <w:t xml:space="preserve"> </w:t>
      </w:r>
      <w:r>
        <w:rPr>
          <w:color w:val="4C4D4F"/>
          <w:spacing w:val="8"/>
        </w:rPr>
        <w:t>公司围绕代理业务进行自有产品的突破，核心产品包括乐</w:t>
      </w:r>
    </w:p>
    <w:p>
      <w:pPr>
        <w:pStyle w:val="BodyText"/>
        <w:spacing w:before="94" w:line="200" w:lineRule="auto"/>
        <w:ind w:left="1"/>
      </w:pPr>
      <w:r>
        <w:rPr>
          <w:color w:val="4C4D4F"/>
          <w:spacing w:val="10"/>
        </w:rPr>
        <w:t>仓生产力中台、乐造工业</w:t>
      </w:r>
      <w:r>
        <w:rPr>
          <w:color w:val="4C4D4F"/>
          <w:spacing w:val="58"/>
        </w:rPr>
        <w:t xml:space="preserve"> </w:t>
      </w:r>
      <w:r>
        <w:rPr>
          <w:color w:val="4C4D4F"/>
        </w:rPr>
        <w:t>APP</w:t>
      </w:r>
      <w:r>
        <w:rPr>
          <w:color w:val="4C4D4F"/>
          <w:spacing w:val="10"/>
        </w:rPr>
        <w:t>、乐数数据资产平台、乐研一体化企业应用交付平</w:t>
      </w:r>
    </w:p>
    <w:p>
      <w:pPr>
        <w:pStyle w:val="BodyText"/>
        <w:spacing w:before="87" w:line="201" w:lineRule="auto"/>
        <w:ind w:left="8"/>
      </w:pPr>
      <w:r>
        <w:rPr>
          <w:color w:val="4C4D4F"/>
          <w:spacing w:val="4"/>
        </w:rPr>
        <w:t>台、后厂造等。</w:t>
      </w:r>
      <w:r>
        <w:rPr>
          <w:color w:val="4C4D4F"/>
        </w:rPr>
        <w:t xml:space="preserve">  </w:t>
      </w:r>
      <w:r>
        <w:rPr>
          <w:color w:val="4C4D4F"/>
          <w:spacing w:val="4"/>
        </w:rPr>
        <w:t>2022 年自研产品收入 2.05 亿元，占总收入的比重为 17%。</w:t>
      </w:r>
    </w:p>
    <w:p>
      <w:pPr>
        <w:spacing w:line="201" w:lineRule="auto"/>
        <w:sectPr>
          <w:headerReference w:type="default" r:id="rId21"/>
          <w:footerReference w:type="default" r:id="rId22"/>
          <w:type w:val="nextPage"/>
          <w:pgSz w:w="11907" w:h="16839"/>
          <w:pgMar w:top="1378" w:right="709" w:bottom="834" w:left="708" w:header="691" w:footer="464" w:gutter="0"/>
          <w:pgNumType w:start="5"/>
          <w:cols w:space="708"/>
          <w:titlePg w:val="0"/>
        </w:sectPr>
      </w:pPr>
    </w:p>
    <w:p>
      <w:pPr>
        <w:spacing w:line="267" w:lineRule="auto"/>
        <w:rPr>
          <w:rFonts w:ascii="Arial"/>
          <w:sz w:val="21"/>
        </w:rPr>
      </w:pPr>
      <w:r>
        <w:pict>
          <v:rect id="_x0000_s1038" style="width:252.45pt;height:1pt;margin-top:382.61pt;margin-left:35.4pt;mso-position-horizontal-relative:page;mso-position-vertical-relative:page;position:absolute;z-index:251666432" o:allowincell="f" filled="t" fillcolor="#4c4d4f" stroked="f"/>
        </w:pict>
      </w:r>
      <w:r>
        <w:pict>
          <v:rect id="_x0000_s1039" style="width:252.3pt;height:1pt;margin-top:382.61pt;margin-left:301.99pt;mso-position-horizontal-relative:page;mso-position-vertical-relative:page;position:absolute;z-index:251665408" o:allowincell="f" filled="t" fillcolor="#4c4d4f" stroked="f"/>
        </w:pict>
      </w:r>
      <w:r>
        <w:drawing>
          <wp:anchor distT="0" distB="0" distL="0" distR="0" simplePos="0" relativeHeight="251663360" behindDoc="0" locked="0" layoutInCell="0" allowOverlap="1">
            <wp:simplePos x="0" y="0"/>
            <wp:positionH relativeFrom="page">
              <wp:posOffset>904620</wp:posOffset>
            </wp:positionH>
            <wp:positionV relativeFrom="page">
              <wp:posOffset>4284472</wp:posOffset>
            </wp:positionV>
            <wp:extent cx="236486" cy="236473"/>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3"/>
                    <a:stretch>
                      <a:fillRect/>
                    </a:stretch>
                  </pic:blipFill>
                  <pic:spPr>
                    <a:xfrm>
                      <a:off x="0" y="0"/>
                      <a:ext cx="236486" cy="236473"/>
                    </a:xfrm>
                    <a:prstGeom prst="rect">
                      <a:avLst/>
                    </a:prstGeom>
                  </pic:spPr>
                </pic:pic>
              </a:graphicData>
            </a:graphic>
          </wp:anchor>
        </w:drawing>
      </w:r>
      <w:r>
        <w:drawing>
          <wp:anchor distT="0" distB="0" distL="0" distR="0" simplePos="0" relativeHeight="251664384" behindDoc="0" locked="0" layoutInCell="0" allowOverlap="1">
            <wp:simplePos x="0" y="0"/>
            <wp:positionH relativeFrom="page">
              <wp:posOffset>709282</wp:posOffset>
            </wp:positionH>
            <wp:positionV relativeFrom="page">
              <wp:posOffset>4531741</wp:posOffset>
            </wp:positionV>
            <wp:extent cx="171310" cy="173735"/>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4"/>
                    <a:stretch>
                      <a:fillRect/>
                    </a:stretch>
                  </pic:blipFill>
                  <pic:spPr>
                    <a:xfrm>
                      <a:off x="0" y="0"/>
                      <a:ext cx="171310" cy="173735"/>
                    </a:xfrm>
                    <a:prstGeom prst="rect">
                      <a:avLst/>
                    </a:prstGeom>
                  </pic:spPr>
                </pic:pic>
              </a:graphicData>
            </a:graphic>
          </wp:anchor>
        </w:drawing>
      </w:r>
      <w:r>
        <w:drawing>
          <wp:anchor distT="0" distB="0" distL="0" distR="0" simplePos="0" relativeHeight="251662336" behindDoc="0" locked="0" layoutInCell="0" allowOverlap="1">
            <wp:simplePos x="0" y="0"/>
            <wp:positionH relativeFrom="page">
              <wp:posOffset>1803019</wp:posOffset>
            </wp:positionH>
            <wp:positionV relativeFrom="page">
              <wp:posOffset>4284345</wp:posOffset>
            </wp:positionV>
            <wp:extent cx="416686" cy="406019"/>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5"/>
                    <a:stretch>
                      <a:fillRect/>
                    </a:stretch>
                  </pic:blipFill>
                  <pic:spPr>
                    <a:xfrm>
                      <a:off x="0" y="0"/>
                      <a:ext cx="416686" cy="406019"/>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2319147</wp:posOffset>
            </wp:positionH>
            <wp:positionV relativeFrom="page">
              <wp:posOffset>4284345</wp:posOffset>
            </wp:positionV>
            <wp:extent cx="439927" cy="427482"/>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6"/>
                    <a:stretch>
                      <a:fillRect/>
                    </a:stretch>
                  </pic:blipFill>
                  <pic:spPr>
                    <a:xfrm>
                      <a:off x="0" y="0"/>
                      <a:ext cx="439927" cy="427482"/>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2857245</wp:posOffset>
            </wp:positionH>
            <wp:positionV relativeFrom="page">
              <wp:posOffset>4284472</wp:posOffset>
            </wp:positionV>
            <wp:extent cx="441071" cy="42862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7"/>
                    <a:stretch>
                      <a:fillRect/>
                    </a:stretch>
                  </pic:blipFill>
                  <pic:spPr>
                    <a:xfrm>
                      <a:off x="0" y="0"/>
                      <a:ext cx="441071" cy="428625"/>
                    </a:xfrm>
                    <a:prstGeom prst="rect">
                      <a:avLst/>
                    </a:prstGeom>
                  </pic:spPr>
                </pic:pic>
              </a:graphicData>
            </a:graphic>
          </wp:anchor>
        </w:drawing>
      </w:r>
    </w:p>
    <w:p>
      <w:pPr>
        <w:spacing w:line="268" w:lineRule="auto"/>
        <w:rPr>
          <w:rFonts w:ascii="Arial"/>
          <w:sz w:val="21"/>
        </w:rPr>
      </w:pPr>
    </w:p>
    <w:p>
      <w:pPr>
        <w:pStyle w:val="BodyText"/>
        <w:spacing w:before="81" w:line="360" w:lineRule="exact"/>
        <w:ind w:left="405"/>
      </w:pPr>
      <w:r>
        <w:rPr>
          <w:b/>
          <w:bCs/>
          <w:color w:val="4C4D4F"/>
          <w:spacing w:val="6"/>
          <w:position w:val="12"/>
        </w:rPr>
        <w:t>工业电气产品与系统集成</w:t>
      </w:r>
      <w:r>
        <w:rPr>
          <w:color w:val="4C4D4F"/>
          <w:spacing w:val="6"/>
          <w:position w:val="12"/>
        </w:rPr>
        <w:t>：公司产品分为工业电气节能系统解决方案、能源管</w:t>
      </w:r>
    </w:p>
    <w:p>
      <w:pPr>
        <w:pStyle w:val="BodyText"/>
        <w:spacing w:before="1" w:line="200" w:lineRule="auto"/>
        <w:ind w:left="1"/>
      </w:pPr>
      <w:r>
        <w:rPr>
          <w:color w:val="4C4D4F"/>
          <w:spacing w:val="7"/>
        </w:rPr>
        <w:t>理系统平台解决方案两大类。其中，工业电气节能系</w:t>
      </w:r>
      <w:r>
        <w:rPr>
          <w:color w:val="4C4D4F"/>
          <w:spacing w:val="6"/>
        </w:rPr>
        <w:t>统解决方案属于生产控制执行</w:t>
      </w:r>
    </w:p>
    <w:p>
      <w:pPr>
        <w:pStyle w:val="BodyText"/>
        <w:spacing w:before="86" w:line="201" w:lineRule="auto"/>
        <w:ind w:left="1"/>
      </w:pPr>
      <w:r>
        <w:rPr>
          <w:color w:val="4C4D4F"/>
          <w:spacing w:val="6"/>
        </w:rPr>
        <w:t>层，</w:t>
      </w:r>
      <w:r>
        <w:rPr>
          <w:color w:val="4C4D4F"/>
          <w:spacing w:val="-31"/>
        </w:rPr>
        <w:t xml:space="preserve"> </w:t>
      </w:r>
      <w:r>
        <w:rPr>
          <w:color w:val="4C4D4F"/>
          <w:spacing w:val="6"/>
        </w:rPr>
        <w:t>主要工作内容是完成工业生产系统中生产工艺控制及节能增效控制的</w:t>
      </w:r>
      <w:r>
        <w:rPr>
          <w:color w:val="4C4D4F"/>
          <w:spacing w:val="5"/>
        </w:rPr>
        <w:t>任务；能</w:t>
      </w:r>
    </w:p>
    <w:p>
      <w:pPr>
        <w:pStyle w:val="BodyText"/>
        <w:spacing w:before="87" w:line="200" w:lineRule="auto"/>
        <w:ind w:left="2"/>
      </w:pPr>
      <w:r>
        <w:rPr>
          <w:color w:val="4C4D4F"/>
          <w:spacing w:val="11"/>
        </w:rPr>
        <w:t>源管理系统平台解决方案属于企业管理执行层，</w:t>
      </w:r>
      <w:r>
        <w:rPr>
          <w:color w:val="4C4D4F"/>
          <w:spacing w:val="-18"/>
        </w:rPr>
        <w:t xml:space="preserve"> </w:t>
      </w:r>
      <w:r>
        <w:rPr>
          <w:color w:val="4C4D4F"/>
          <w:spacing w:val="11"/>
        </w:rPr>
        <w:t>主要工作内容是从能源数据入手</w:t>
      </w:r>
    </w:p>
    <w:p>
      <w:pPr>
        <w:pStyle w:val="BodyText"/>
        <w:spacing w:before="88" w:line="200" w:lineRule="auto"/>
        <w:ind w:left="3"/>
      </w:pPr>
      <w:r>
        <w:rPr>
          <w:color w:val="4C4D4F"/>
          <w:spacing w:val="1"/>
        </w:rPr>
        <w:t>实现企业各流程数据的交换、保存、更新、共享。2022 年该业务实现收入约为</w:t>
      </w:r>
      <w:r>
        <w:rPr>
          <w:color w:val="4C4D4F"/>
          <w:spacing w:val="21"/>
        </w:rPr>
        <w:t xml:space="preserve"> </w:t>
      </w:r>
      <w:r>
        <w:rPr>
          <w:color w:val="4C4D4F"/>
          <w:spacing w:val="1"/>
        </w:rPr>
        <w:t>1.58</w:t>
      </w:r>
    </w:p>
    <w:p>
      <w:pPr>
        <w:pStyle w:val="BodyText"/>
        <w:spacing w:before="88" w:line="201" w:lineRule="auto"/>
        <w:ind w:left="2"/>
      </w:pPr>
      <w:r>
        <w:rPr>
          <w:color w:val="4C4D4F"/>
          <w:spacing w:val="7"/>
        </w:rPr>
        <w:t>亿元，占公司收入比重为 12.8%。</w:t>
      </w:r>
    </w:p>
    <w:p>
      <w:pPr>
        <w:spacing w:line="189" w:lineRule="exact"/>
      </w:pPr>
    </w:p>
    <w:p>
      <w:pPr>
        <w:spacing w:line="189" w:lineRule="exact"/>
        <w:sectPr>
          <w:headerReference w:type="default" r:id="rId28"/>
          <w:footerReference w:type="default" r:id="rId29"/>
          <w:pgSz w:w="11907" w:h="16839"/>
          <w:pgMar w:top="1378" w:right="709" w:bottom="834" w:left="708" w:header="691" w:footer="464" w:gutter="0"/>
          <w:pgNumType w:start="6"/>
          <w:cols w:num="1" w:space="708" w:equalWidth="0">
            <w:col w:w="10489" w:space="0"/>
          </w:cols>
        </w:sectPr>
      </w:pPr>
    </w:p>
    <w:p>
      <w:pPr>
        <w:pStyle w:val="BodyText"/>
        <w:spacing w:before="42" w:line="201" w:lineRule="auto"/>
        <w:ind w:left="119"/>
      </w:pPr>
      <w:r>
        <w:pict>
          <v:shape id="_x0000_s1040" style="width:252.45pt;height:1pt;margin-top:12.6pt;margin-left:0;position:absolute;z-index:251669504" coordorigin="0,0" coordsize="5048,20" path="m,19l5048,19l5048,l,l,19xe" filled="t" fillcolor="#4c4d4f" stroked="f"/>
        </w:pict>
      </w:r>
      <w:bookmarkStart w:id="8" w:name="bookmark25"/>
      <w:bookmarkEnd w:id="8"/>
      <w:r>
        <w:rPr>
          <w:b/>
          <w:bCs/>
          <w:color w:val="4C4D4F"/>
          <w:spacing w:val="7"/>
        </w:rPr>
        <w:t>图2：</w:t>
      </w:r>
      <w:r>
        <w:rPr>
          <w:b/>
          <w:bCs/>
          <w:color w:val="4C4D4F"/>
          <w:spacing w:val="-34"/>
        </w:rPr>
        <w:t xml:space="preserve"> </w:t>
      </w:r>
      <w:r>
        <w:rPr>
          <w:b/>
          <w:bCs/>
          <w:color w:val="4C4D4F"/>
          <w:spacing w:val="7"/>
        </w:rPr>
        <w:t>2022 西门子在工业软件各细分领域市场份额</w:t>
      </w:r>
    </w:p>
    <w:p>
      <w:pPr>
        <w:spacing w:before="6"/>
      </w:pPr>
    </w:p>
    <w:tbl>
      <w:tblPr>
        <w:tblStyle w:val="TableNormal1"/>
        <w:tblW w:w="4787" w:type="dxa"/>
        <w:tblInd w:w="149" w:type="dxa"/>
        <w:tblBorders>
          <w:top w:val="nil"/>
          <w:left w:val="nil"/>
          <w:bottom w:val="nil"/>
          <w:right w:val="nil"/>
          <w:insideH w:val="nil"/>
          <w:insideV w:val="nil"/>
        </w:tblBorders>
        <w:tblLayout w:type="fixed"/>
      </w:tblPr>
      <w:tblGrid>
        <w:gridCol w:w="420"/>
        <w:gridCol w:w="4367"/>
      </w:tblGrid>
      <w:tr>
        <w:tblPrEx>
          <w:tblW w:w="4787" w:type="dxa"/>
          <w:tblInd w:w="149" w:type="dxa"/>
          <w:tblBorders>
            <w:top w:val="nil"/>
            <w:left w:val="nil"/>
            <w:bottom w:val="nil"/>
            <w:right w:val="nil"/>
            <w:insideH w:val="nil"/>
            <w:insideV w:val="nil"/>
          </w:tblBorders>
          <w:tblLayout w:type="fixed"/>
        </w:tblPrEx>
        <w:trPr>
          <w:trHeight w:val="1721"/>
        </w:trPr>
        <w:tc>
          <w:tcPr>
            <w:tcW w:w="420" w:type="dxa"/>
            <w:vAlign w:val="top"/>
          </w:tcPr>
          <w:p>
            <w:pPr>
              <w:pStyle w:val="TableText"/>
              <w:spacing w:before="88" w:line="288" w:lineRule="auto"/>
              <w:ind w:left="8" w:right="59" w:hanging="8"/>
              <w:jc w:val="right"/>
              <w:rPr>
                <w:sz w:val="18"/>
                <w:szCs w:val="18"/>
              </w:rPr>
            </w:pPr>
            <w:r>
              <w:rPr>
                <w:color w:val="4C4D4F"/>
                <w:spacing w:val="-4"/>
                <w:sz w:val="18"/>
                <w:szCs w:val="18"/>
              </w:rPr>
              <w:t>20%</w:t>
            </w:r>
            <w:r>
              <w:rPr>
                <w:color w:val="4C4D4F"/>
                <w:sz w:val="18"/>
                <w:szCs w:val="18"/>
              </w:rPr>
              <w:t xml:space="preserve"> </w:t>
            </w:r>
            <w:r>
              <w:rPr>
                <w:color w:val="4C4D4F"/>
                <w:spacing w:val="-7"/>
                <w:sz w:val="18"/>
                <w:szCs w:val="18"/>
              </w:rPr>
              <w:t>15%</w:t>
            </w:r>
            <w:r>
              <w:rPr>
                <w:color w:val="4C4D4F"/>
                <w:spacing w:val="1"/>
                <w:sz w:val="18"/>
                <w:szCs w:val="18"/>
              </w:rPr>
              <w:t xml:space="preserve"> </w:t>
            </w:r>
            <w:r>
              <w:rPr>
                <w:color w:val="4C4D4F"/>
                <w:spacing w:val="-7"/>
                <w:sz w:val="18"/>
                <w:szCs w:val="18"/>
              </w:rPr>
              <w:t>10%</w:t>
            </w:r>
            <w:r>
              <w:rPr>
                <w:color w:val="4C4D4F"/>
                <w:spacing w:val="1"/>
                <w:sz w:val="18"/>
                <w:szCs w:val="18"/>
              </w:rPr>
              <w:t xml:space="preserve"> </w:t>
            </w:r>
            <w:r>
              <w:rPr>
                <w:color w:val="4C4D4F"/>
                <w:spacing w:val="-4"/>
                <w:sz w:val="18"/>
                <w:szCs w:val="18"/>
              </w:rPr>
              <w:t>5%</w:t>
            </w:r>
          </w:p>
          <w:p>
            <w:pPr>
              <w:pStyle w:val="TableText"/>
              <w:spacing w:line="139" w:lineRule="exact"/>
              <w:ind w:left="103"/>
              <w:rPr>
                <w:sz w:val="18"/>
                <w:szCs w:val="18"/>
              </w:rPr>
            </w:pPr>
            <w:r>
              <w:rPr>
                <w:color w:val="4C4D4F"/>
                <w:spacing w:val="-2"/>
                <w:position w:val="-3"/>
                <w:sz w:val="18"/>
                <w:szCs w:val="18"/>
              </w:rPr>
              <w:t>0%</w:t>
            </w:r>
          </w:p>
        </w:tc>
        <w:tc>
          <w:tcPr>
            <w:tcW w:w="4367" w:type="dxa"/>
            <w:vAlign w:val="top"/>
          </w:tcPr>
          <w:p>
            <w:pPr>
              <w:pStyle w:val="TableText"/>
              <w:spacing w:line="1661" w:lineRule="exact"/>
              <w:ind w:firstLine="59"/>
            </w:pPr>
            <w:r>
              <w:drawing>
                <wp:anchor distT="0" distB="0" distL="0" distR="0" simplePos="0" relativeHeight="251668480" behindDoc="0" locked="0" layoutInCell="1" allowOverlap="1">
                  <wp:simplePos x="0" y="0"/>
                  <wp:positionH relativeFrom="rightMargin">
                    <wp:posOffset>-2735287</wp:posOffset>
                  </wp:positionH>
                  <wp:positionV relativeFrom="topMargin">
                    <wp:posOffset>1050187</wp:posOffset>
                  </wp:positionV>
                  <wp:extent cx="2735389" cy="40576"/>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0"/>
                          <a:stretch>
                            <a:fillRect/>
                          </a:stretch>
                        </pic:blipFill>
                        <pic:spPr>
                          <a:xfrm>
                            <a:off x="0" y="0"/>
                            <a:ext cx="2735389" cy="40576"/>
                          </a:xfrm>
                          <a:prstGeom prst="rect">
                            <a:avLst/>
                          </a:prstGeom>
                        </pic:spPr>
                      </pic:pic>
                    </a:graphicData>
                  </a:graphic>
                </wp:anchor>
              </w:drawing>
            </w:r>
            <w:r>
              <w:rPr>
                <w:position w:val="-33"/>
              </w:rPr>
              <w:pict>
                <v:group id="_x0000_i1041" style="width:207.35pt;height:83.1pt;mso-position-horizontal-relative:char;mso-position-vertical-relative:line" coordorigin="0,0" coordsize="4147,1661" filled="f" stroked="f">
                  <v:shape id="_x0000_s1042" type="#_x0000_t75" style="width:3662;height:1351;left:354;position:absolute;top:310" filled="f" stroked="f">
                    <v:imagedata r:id="rId31" o:title=""/>
                  </v:shape>
                  <v:shape id="_x0000_s1043" type="#_x0000_t202" style="width:4187;height:1701;left:-20;position:absolute;top:-20" filled="f" stroked="f">
                    <o:lock v:ext="edit" aspectratio="f"/>
                    <v:textbox inset="0,0,0,0">
                      <w:txbxContent>
                        <w:p>
                          <w:pPr>
                            <w:spacing w:line="20" w:lineRule="exact"/>
                          </w:pPr>
                        </w:p>
                        <w:tbl>
                          <w:tblPr>
                            <w:tblStyle w:val="TableNormal1"/>
                            <w:tblW w:w="4146" w:type="dxa"/>
                            <w:tblInd w:w="20" w:type="dxa"/>
                            <w:tblBorders>
                              <w:top w:val="nil"/>
                              <w:left w:val="nil"/>
                              <w:bottom w:val="nil"/>
                              <w:right w:val="nil"/>
                              <w:insideH w:val="nil"/>
                              <w:insideV w:val="nil"/>
                            </w:tblBorders>
                            <w:tblLayout w:type="fixed"/>
                          </w:tblPr>
                          <w:tblGrid>
                            <w:gridCol w:w="133"/>
                            <w:gridCol w:w="790"/>
                            <w:gridCol w:w="1698"/>
                            <w:gridCol w:w="1525"/>
                          </w:tblGrid>
                          <w:tr>
                            <w:tblPrEx>
                              <w:tblW w:w="4146" w:type="dxa"/>
                              <w:tblInd w:w="20" w:type="dxa"/>
                              <w:tblBorders>
                                <w:top w:val="nil"/>
                                <w:left w:val="nil"/>
                                <w:bottom w:val="nil"/>
                                <w:right w:val="nil"/>
                                <w:insideH w:val="nil"/>
                                <w:insideV w:val="nil"/>
                              </w:tblBorders>
                              <w:tblLayout w:type="fixed"/>
                            </w:tblPrEx>
                            <w:trPr>
                              <w:trHeight w:val="1661"/>
                            </w:trPr>
                            <w:tc>
                              <w:tcPr>
                                <w:tcW w:w="133" w:type="dxa"/>
                                <w:vAlign w:val="top"/>
                              </w:tcPr>
                              <w:p>
                                <w:pPr>
                                  <w:spacing w:before="162" w:line="1488" w:lineRule="exact"/>
                                </w:pPr>
                                <w:r>
                                  <w:rPr>
                                    <w:position w:val="-29"/>
                                  </w:rPr>
                                  <w:drawing>
                                    <wp:inline distT="0" distB="0" distL="0" distR="0">
                                      <wp:extent cx="45084" cy="945363"/>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2"/>
                                              <a:stretch>
                                                <a:fillRect/>
                                              </a:stretch>
                                            </pic:blipFill>
                                            <pic:spPr>
                                              <a:xfrm>
                                                <a:off x="0" y="0"/>
                                                <a:ext cx="45084" cy="945363"/>
                                              </a:xfrm>
                                              <a:prstGeom prst="rect">
                                                <a:avLst/>
                                              </a:prstGeom>
                                            </pic:spPr>
                                          </pic:pic>
                                        </a:graphicData>
                                      </a:graphic>
                                    </wp:inline>
                                  </w:drawing>
                                </w:r>
                              </w:p>
                            </w:tc>
                            <w:tc>
                              <w:tcPr>
                                <w:tcW w:w="790" w:type="dxa"/>
                                <w:vAlign w:val="top"/>
                              </w:tcPr>
                              <w:p>
                                <w:pPr>
                                  <w:spacing w:before="209" w:line="172" w:lineRule="auto"/>
                                  <w:ind w:left="61"/>
                                  <w:rPr>
                                    <w:rFonts w:ascii="Microsoft YaHei" w:eastAsia="Microsoft YaHei" w:hAnsi="Microsoft YaHei" w:cs="Microsoft YaHei"/>
                                    <w:sz w:val="18"/>
                                    <w:szCs w:val="18"/>
                                  </w:rPr>
                                </w:pPr>
                                <w:r>
                                  <w:rPr>
                                    <w:rFonts w:ascii="Microsoft YaHei" w:eastAsia="Microsoft YaHei" w:hAnsi="Microsoft YaHei" w:cs="Microsoft YaHei"/>
                                    <w:color w:val="404040"/>
                                    <w:spacing w:val="-4"/>
                                    <w:sz w:val="18"/>
                                    <w:szCs w:val="18"/>
                                  </w:rPr>
                                  <w:t>15.30%</w:t>
                                </w:r>
                              </w:p>
                            </w:tc>
                            <w:tc>
                              <w:tcPr>
                                <w:tcW w:w="1698" w:type="dxa"/>
                                <w:vAlign w:val="top"/>
                              </w:tcPr>
                              <w:p>
                                <w:pPr>
                                  <w:spacing w:before="111" w:line="142" w:lineRule="exact"/>
                                  <w:ind w:left="121"/>
                                  <w:rPr>
                                    <w:rFonts w:ascii="Microsoft YaHei" w:eastAsia="Microsoft YaHei" w:hAnsi="Microsoft YaHei" w:cs="Microsoft YaHei"/>
                                    <w:sz w:val="18"/>
                                    <w:szCs w:val="18"/>
                                  </w:rPr>
                                </w:pPr>
                                <w:r>
                                  <w:rPr>
                                    <w:rFonts w:ascii="Microsoft YaHei" w:eastAsia="Microsoft YaHei" w:hAnsi="Microsoft YaHei" w:cs="Microsoft YaHei"/>
                                    <w:color w:val="404040"/>
                                    <w:spacing w:val="-4"/>
                                    <w:position w:val="-3"/>
                                    <w:sz w:val="18"/>
                                    <w:szCs w:val="18"/>
                                  </w:rPr>
                                  <w:t>16.60%</w:t>
                                </w:r>
                              </w:p>
                              <w:p>
                                <w:pPr>
                                  <w:spacing w:line="172" w:lineRule="auto"/>
                                  <w:ind w:left="970"/>
                                  <w:rPr>
                                    <w:rFonts w:ascii="Microsoft YaHei" w:eastAsia="Microsoft YaHei" w:hAnsi="Microsoft YaHei" w:cs="Microsoft YaHei"/>
                                    <w:sz w:val="18"/>
                                    <w:szCs w:val="18"/>
                                  </w:rPr>
                                </w:pPr>
                                <w:r>
                                  <w:rPr>
                                    <w:rFonts w:ascii="Microsoft YaHei" w:eastAsia="Microsoft YaHei" w:hAnsi="Microsoft YaHei" w:cs="Microsoft YaHei"/>
                                    <w:color w:val="404040"/>
                                    <w:spacing w:val="-4"/>
                                    <w:sz w:val="18"/>
                                    <w:szCs w:val="18"/>
                                  </w:rPr>
                                  <w:t>14.70%</w:t>
                                </w:r>
                              </w:p>
                            </w:tc>
                            <w:tc>
                              <w:tcPr>
                                <w:tcW w:w="1525" w:type="dxa"/>
                                <w:vAlign w:val="top"/>
                              </w:tcPr>
                              <w:p>
                                <w:pPr>
                                  <w:spacing w:line="172" w:lineRule="auto"/>
                                  <w:ind w:left="121"/>
                                  <w:rPr>
                                    <w:rFonts w:ascii="Microsoft YaHei" w:eastAsia="Microsoft YaHei" w:hAnsi="Microsoft YaHei" w:cs="Microsoft YaHei"/>
                                    <w:sz w:val="18"/>
                                    <w:szCs w:val="18"/>
                                  </w:rPr>
                                </w:pPr>
                                <w:r>
                                  <w:rPr>
                                    <w:rFonts w:ascii="Microsoft YaHei" w:eastAsia="Microsoft YaHei" w:hAnsi="Microsoft YaHei" w:cs="Microsoft YaHei"/>
                                    <w:color w:val="404040"/>
                                    <w:spacing w:val="-4"/>
                                    <w:sz w:val="18"/>
                                    <w:szCs w:val="18"/>
                                  </w:rPr>
                                  <w:t>18.10%</w:t>
                                </w:r>
                              </w:p>
                              <w:p>
                                <w:pPr>
                                  <w:spacing w:line="348" w:lineRule="auto"/>
                                  <w:rPr>
                                    <w:rFonts w:ascii="Arial"/>
                                    <w:sz w:val="21"/>
                                  </w:rPr>
                                </w:pPr>
                              </w:p>
                              <w:p>
                                <w:pPr>
                                  <w:spacing w:before="77" w:line="172" w:lineRule="auto"/>
                                  <w:jc w:val="right"/>
                                  <w:rPr>
                                    <w:rFonts w:ascii="Microsoft YaHei" w:eastAsia="Microsoft YaHei" w:hAnsi="Microsoft YaHei" w:cs="Microsoft YaHei"/>
                                    <w:sz w:val="18"/>
                                    <w:szCs w:val="18"/>
                                  </w:rPr>
                                </w:pPr>
                                <w:r>
                                  <w:rPr>
                                    <w:rFonts w:ascii="Microsoft YaHei" w:eastAsia="Microsoft YaHei" w:hAnsi="Microsoft YaHei" w:cs="Microsoft YaHei"/>
                                    <w:color w:val="404040"/>
                                    <w:spacing w:val="-2"/>
                                    <w:sz w:val="18"/>
                                    <w:szCs w:val="18"/>
                                  </w:rPr>
                                  <w:t>9.40%</w:t>
                                </w:r>
                              </w:p>
                            </w:tc>
                          </w:tr>
                        </w:tbl>
                        <w:p>
                          <w:pPr>
                            <w:rPr>
                              <w:rFonts w:ascii="Arial"/>
                              <w:sz w:val="21"/>
                            </w:rPr>
                          </w:pPr>
                        </w:p>
                      </w:txbxContent>
                    </v:textbox>
                  </v:shape>
                  <w10:wrap type="none"/>
                </v:group>
              </w:pict>
            </w:r>
          </w:p>
        </w:tc>
      </w:tr>
    </w:tbl>
    <w:p>
      <w:pPr>
        <w:spacing w:before="203" w:line="665" w:lineRule="exact"/>
        <w:ind w:firstLine="1253"/>
      </w:pPr>
      <w:r>
        <w:rPr>
          <w:position w:val="-13"/>
        </w:rPr>
        <w:drawing>
          <wp:inline distT="0" distB="0" distL="0" distR="0">
            <wp:extent cx="434581" cy="422148"/>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3"/>
                    <a:stretch>
                      <a:fillRect/>
                    </a:stretch>
                  </pic:blipFill>
                  <pic:spPr>
                    <a:xfrm>
                      <a:off x="0" y="0"/>
                      <a:ext cx="434581" cy="422148"/>
                    </a:xfrm>
                    <a:prstGeom prst="rect">
                      <a:avLst/>
                    </a:prstGeom>
                  </pic:spPr>
                </pic:pic>
              </a:graphicData>
            </a:graphic>
          </wp:inline>
        </w:drawing>
      </w:r>
    </w:p>
    <w:p>
      <w:pPr>
        <w:spacing w:line="257" w:lineRule="auto"/>
        <w:rPr>
          <w:rFonts w:ascii="Arial"/>
          <w:sz w:val="21"/>
        </w:rPr>
      </w:pPr>
    </w:p>
    <w:p>
      <w:pPr>
        <w:pStyle w:val="BodyText"/>
        <w:spacing w:before="65" w:line="161" w:lineRule="exact"/>
        <w:ind w:left="110"/>
        <w:rPr>
          <w:sz w:val="15"/>
          <w:szCs w:val="15"/>
        </w:rPr>
      </w:pPr>
      <w:r>
        <w:rPr>
          <w:color w:val="4C4D4F"/>
          <w:spacing w:val="-8"/>
          <w:sz w:val="15"/>
          <w:szCs w:val="15"/>
        </w:rPr>
        <w:t>资料来源：</w:t>
      </w:r>
      <w:r>
        <w:rPr>
          <w:color w:val="4C4D4F"/>
          <w:spacing w:val="28"/>
          <w:sz w:val="15"/>
          <w:szCs w:val="15"/>
        </w:rPr>
        <w:t xml:space="preserve"> </w:t>
      </w:r>
      <w:r>
        <w:rPr>
          <w:color w:val="4C4D4F"/>
          <w:spacing w:val="-8"/>
          <w:sz w:val="15"/>
          <w:szCs w:val="15"/>
        </w:rPr>
        <w:t>IDC 等，</w:t>
      </w:r>
      <w:r>
        <w:rPr>
          <w:color w:val="4C4D4F"/>
          <w:spacing w:val="19"/>
          <w:w w:val="101"/>
          <w:sz w:val="15"/>
          <w:szCs w:val="15"/>
        </w:rPr>
        <w:t xml:space="preserve"> </w:t>
      </w:r>
      <w:r>
        <w:rPr>
          <w:color w:val="4C4D4F"/>
          <w:spacing w:val="-8"/>
          <w:sz w:val="15"/>
          <w:szCs w:val="15"/>
        </w:rPr>
        <w:t>民生证券研究院</w:t>
      </w:r>
    </w:p>
    <w:p>
      <w:pPr>
        <w:spacing w:line="14" w:lineRule="auto"/>
        <w:rPr>
          <w:rFonts w:ascii="Arial"/>
          <w:sz w:val="2"/>
        </w:rPr>
      </w:pPr>
      <w:r>
        <w:rPr>
          <w:rFonts w:ascii="Arial" w:eastAsia="Arial" w:hAnsi="Arial" w:cs="Arial"/>
          <w:sz w:val="2"/>
          <w:szCs w:val="2"/>
        </w:rPr>
        <w:br w:type="column"/>
      </w:r>
    </w:p>
    <w:p>
      <w:pPr>
        <w:pStyle w:val="BodyText"/>
        <w:spacing w:before="41" w:line="201" w:lineRule="auto"/>
        <w:ind w:left="119"/>
      </w:pPr>
      <w:r>
        <w:pict>
          <v:rect id="_x0000_s1044" style="width:252.3pt;height:1pt;margin-top:12.56pt;margin-left:0;position:absolute;z-index:251667456" filled="t" fillcolor="#4c4d4f" stroked="f"/>
        </w:pict>
      </w:r>
      <w:bookmarkStart w:id="9" w:name="bookmark26"/>
      <w:bookmarkEnd w:id="9"/>
      <w:r>
        <w:rPr>
          <w:b/>
          <w:bCs/>
          <w:color w:val="4C4D4F"/>
          <w:spacing w:val="7"/>
        </w:rPr>
        <w:t>图3：公司产品矩阵</w:t>
      </w:r>
    </w:p>
    <w:p>
      <w:pPr>
        <w:spacing w:line="313" w:lineRule="auto"/>
        <w:rPr>
          <w:rFonts w:ascii="Arial"/>
          <w:sz w:val="21"/>
        </w:rPr>
      </w:pPr>
    </w:p>
    <w:p>
      <w:pPr>
        <w:spacing w:line="2394" w:lineRule="exact"/>
        <w:ind w:firstLine="494"/>
      </w:pPr>
      <w:r>
        <w:rPr>
          <w:position w:val="-47"/>
        </w:rPr>
        <w:drawing>
          <wp:inline distT="0" distB="0" distL="0" distR="0">
            <wp:extent cx="2574544" cy="1520189"/>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4"/>
                    <a:stretch>
                      <a:fillRect/>
                    </a:stretch>
                  </pic:blipFill>
                  <pic:spPr>
                    <a:xfrm>
                      <a:off x="0" y="0"/>
                      <a:ext cx="2574544" cy="1520189"/>
                    </a:xfrm>
                    <a:prstGeom prst="rect">
                      <a:avLst/>
                    </a:prstGeom>
                  </pic:spPr>
                </pic:pic>
              </a:graphicData>
            </a:graphic>
          </wp:inline>
        </w:drawing>
      </w:r>
    </w:p>
    <w:p>
      <w:pPr>
        <w:spacing w:line="384" w:lineRule="auto"/>
        <w:rPr>
          <w:rFonts w:ascii="Arial"/>
          <w:sz w:val="21"/>
        </w:rPr>
      </w:pPr>
    </w:p>
    <w:p>
      <w:pPr>
        <w:pStyle w:val="BodyText"/>
        <w:spacing w:before="65" w:line="161" w:lineRule="exact"/>
        <w:ind w:left="110"/>
        <w:rPr>
          <w:sz w:val="15"/>
          <w:szCs w:val="15"/>
        </w:rPr>
      </w:pPr>
      <w:r>
        <w:rPr>
          <w:color w:val="4C4D4F"/>
          <w:spacing w:val="-3"/>
          <w:sz w:val="15"/>
          <w:szCs w:val="15"/>
        </w:rPr>
        <w:t>资料来源： 公司官网，民生证券研究院</w:t>
      </w:r>
    </w:p>
    <w:p>
      <w:pPr>
        <w:spacing w:line="161" w:lineRule="exact"/>
        <w:rPr>
          <w:sz w:val="15"/>
          <w:szCs w:val="15"/>
        </w:rPr>
        <w:sectPr>
          <w:headerReference w:type="default" r:id="rId35"/>
          <w:footerReference w:type="default" r:id="rId36"/>
          <w:type w:val="continuous"/>
          <w:pgSz w:w="11907" w:h="16839"/>
          <w:pgMar w:top="1378" w:right="709" w:bottom="834" w:left="708" w:header="691" w:footer="464" w:gutter="0"/>
          <w:pgNumType w:start="7"/>
          <w:cols w:num="2" w:space="708" w:equalWidth="0">
            <w:col w:w="5232" w:space="100"/>
            <w:col w:w="5158" w:space="0"/>
          </w:cols>
        </w:sectPr>
      </w:pPr>
    </w:p>
    <w:p>
      <w:pPr>
        <w:pStyle w:val="BodyText"/>
        <w:spacing w:before="278" w:line="360" w:lineRule="exact"/>
        <w:ind w:left="404"/>
      </w:pPr>
      <w:r>
        <w:rPr>
          <w:b/>
          <w:bCs/>
          <w:color w:val="4C4D4F"/>
          <w:spacing w:val="8"/>
          <w:position w:val="12"/>
        </w:rPr>
        <w:t>公司主要深耕高科技电子与 5G、汽车轨道与交通、装备</w:t>
      </w:r>
      <w:r>
        <w:rPr>
          <w:b/>
          <w:bCs/>
          <w:color w:val="4C4D4F"/>
          <w:spacing w:val="7"/>
          <w:position w:val="12"/>
        </w:rPr>
        <w:t>制造四大重点行业的</w:t>
      </w:r>
    </w:p>
    <w:p>
      <w:pPr>
        <w:pStyle w:val="BodyText"/>
        <w:spacing w:before="1" w:line="200" w:lineRule="auto"/>
        <w:ind w:left="4"/>
      </w:pPr>
      <w:r>
        <w:rPr>
          <w:b/>
          <w:bCs/>
          <w:color w:val="4C4D4F"/>
          <w:spacing w:val="5"/>
        </w:rPr>
        <w:t>头部客户</w:t>
      </w:r>
      <w:r>
        <w:rPr>
          <w:color w:val="4C4D4F"/>
          <w:spacing w:val="5"/>
        </w:rPr>
        <w:t>，四大行业收入占比约 90%，其</w:t>
      </w:r>
      <w:r>
        <w:rPr>
          <w:color w:val="4C4D4F"/>
          <w:spacing w:val="4"/>
        </w:rPr>
        <w:t>中央企重工行业占比最大， 2022 年其占</w:t>
      </w:r>
    </w:p>
    <w:p>
      <w:pPr>
        <w:pStyle w:val="BodyText"/>
        <w:spacing w:before="87" w:line="201" w:lineRule="auto"/>
        <w:ind w:left="2"/>
      </w:pPr>
      <w:r>
        <w:rPr>
          <w:color w:val="4C4D4F"/>
          <w:spacing w:val="3"/>
        </w:rPr>
        <w:t>总收入的比重为 43%。代表性客户如中航工业集团、中国商飞、华为等。近年来，</w:t>
      </w:r>
    </w:p>
    <w:p>
      <w:pPr>
        <w:pStyle w:val="BodyText"/>
        <w:spacing w:before="88" w:line="201" w:lineRule="auto"/>
        <w:ind w:left="2"/>
      </w:pPr>
      <w:r>
        <w:rPr>
          <w:color w:val="4C4D4F"/>
          <w:spacing w:val="8"/>
        </w:rPr>
        <w:t>公司积极拓展能源与基础设施、新能源、消费等行业。</w:t>
      </w:r>
    </w:p>
    <w:p>
      <w:pPr>
        <w:pStyle w:val="BodyText"/>
        <w:spacing w:before="230" w:line="211" w:lineRule="exact"/>
        <w:ind w:left="119"/>
      </w:pPr>
      <w:bookmarkStart w:id="10" w:name="bookmark27"/>
      <w:bookmarkEnd w:id="10"/>
      <w:r>
        <w:rPr>
          <w:b/>
          <w:bCs/>
          <w:color w:val="4C4D4F"/>
          <w:spacing w:val="6"/>
        </w:rPr>
        <w:t>图4：按行业拆分的收入结构占比（2022 年）</w:t>
      </w:r>
    </w:p>
    <w:tbl>
      <w:tblPr>
        <w:tblStyle w:val="TableNormal1"/>
        <w:tblW w:w="7088" w:type="dxa"/>
        <w:tblInd w:w="0" w:type="dxa"/>
        <w:tblBorders>
          <w:top w:val="nil"/>
          <w:left w:val="nil"/>
          <w:bottom w:val="nil"/>
          <w:right w:val="nil"/>
          <w:insideH w:val="nil"/>
          <w:insideV w:val="nil"/>
        </w:tblBorders>
        <w:tblLayout w:type="fixed"/>
      </w:tblPr>
      <w:tblGrid>
        <w:gridCol w:w="1308"/>
        <w:gridCol w:w="4474"/>
        <w:gridCol w:w="1306"/>
      </w:tblGrid>
      <w:tr>
        <w:tblPrEx>
          <w:tblW w:w="7088" w:type="dxa"/>
          <w:tblInd w:w="0" w:type="dxa"/>
          <w:tblBorders>
            <w:top w:val="nil"/>
            <w:left w:val="nil"/>
            <w:bottom w:val="nil"/>
            <w:right w:val="nil"/>
            <w:insideH w:val="nil"/>
            <w:insideV w:val="nil"/>
          </w:tblBorders>
          <w:tblLayout w:type="fixed"/>
        </w:tblPrEx>
        <w:trPr>
          <w:trHeight w:val="2818"/>
        </w:trPr>
        <w:tc>
          <w:tcPr>
            <w:tcW w:w="1308" w:type="dxa"/>
            <w:tcBorders>
              <w:top w:val="single" w:sz="6" w:space="0" w:color="4C4D4F"/>
              <w:bottom w:val="single" w:sz="6" w:space="0" w:color="4C4D4F"/>
            </w:tcBorders>
            <w:vAlign w:val="top"/>
          </w:tcPr>
          <w:p>
            <w:pPr>
              <w:rPr>
                <w:rFonts w:ascii="Arial"/>
                <w:sz w:val="21"/>
              </w:rPr>
            </w:pPr>
          </w:p>
        </w:tc>
        <w:tc>
          <w:tcPr>
            <w:tcW w:w="4474" w:type="dxa"/>
            <w:tcBorders>
              <w:top w:val="single" w:sz="6" w:space="0" w:color="4C4D4F"/>
              <w:bottom w:val="single" w:sz="6" w:space="0" w:color="4C4D4F"/>
            </w:tcBorders>
            <w:vAlign w:val="top"/>
          </w:tcPr>
          <w:p>
            <w:pPr>
              <w:spacing w:before="22" w:line="2770" w:lineRule="exact"/>
            </w:pPr>
            <w:r>
              <w:rPr>
                <w:position w:val="-55"/>
              </w:rPr>
              <w:drawing>
                <wp:inline distT="0" distB="0" distL="0" distR="0">
                  <wp:extent cx="2840989" cy="1759204"/>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7"/>
                          <a:stretch>
                            <a:fillRect/>
                          </a:stretch>
                        </pic:blipFill>
                        <pic:spPr>
                          <a:xfrm>
                            <a:off x="0" y="0"/>
                            <a:ext cx="2840989" cy="1759204"/>
                          </a:xfrm>
                          <a:prstGeom prst="rect">
                            <a:avLst/>
                          </a:prstGeom>
                        </pic:spPr>
                      </pic:pic>
                    </a:graphicData>
                  </a:graphic>
                </wp:inline>
              </w:drawing>
            </w:r>
          </w:p>
        </w:tc>
        <w:tc>
          <w:tcPr>
            <w:tcW w:w="1306" w:type="dxa"/>
            <w:tcBorders>
              <w:top w:val="single" w:sz="6" w:space="0" w:color="4C4D4F"/>
              <w:bottom w:val="single" w:sz="6" w:space="0" w:color="4C4D4F"/>
            </w:tcBorders>
            <w:vAlign w:val="top"/>
          </w:tcPr>
          <w:p>
            <w:pPr>
              <w:rPr>
                <w:rFonts w:ascii="Arial"/>
                <w:sz w:val="21"/>
              </w:rPr>
            </w:pPr>
          </w:p>
        </w:tc>
      </w:tr>
    </w:tbl>
    <w:p>
      <w:pPr>
        <w:pStyle w:val="BodyText"/>
        <w:spacing w:before="64" w:line="195" w:lineRule="auto"/>
        <w:ind w:left="110"/>
        <w:rPr>
          <w:sz w:val="15"/>
          <w:szCs w:val="15"/>
        </w:rPr>
      </w:pPr>
      <w:r>
        <w:rPr>
          <w:color w:val="4C4D4F"/>
          <w:spacing w:val="-3"/>
          <w:sz w:val="15"/>
          <w:szCs w:val="15"/>
        </w:rPr>
        <w:t>资料来源： 公司 2022 年年报，民生证券研究院</w:t>
      </w:r>
      <w:r>
        <w:rPr>
          <w:sz w:val="15"/>
          <w:szCs w:val="15"/>
        </w:rPr>
        <w:br/>
      </w:r>
      <w:r>
        <w:rPr>
          <w:sz w:val="15"/>
          <w:szCs w:val="15"/>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8" w:history="1">
        <w:r>
          <w:rPr>
            <w:rFonts w:ascii="SimSun" w:eastAsia="SimSun" w:hAnsi="SimSun" w:cs="SimSun"/>
            <w:b/>
            <w:bCs/>
            <w:noProof w:val="0"/>
            <w:snapToGrid/>
            <w:color w:val="0000EE"/>
            <w:kern w:val="0"/>
            <w:sz w:val="30"/>
            <w:szCs w:val="30"/>
            <w:u w:val="single" w:color="0000EE"/>
          </w:rPr>
          <w:t>https://d.book118.com/686234101240010045</w:t>
        </w:r>
      </w:hyperlink>
    </w:p>
    <w:p>
      <w:pPr>
        <w:pStyle w:val="BodyText"/>
        <w:spacing w:before="64" w:line="195" w:lineRule="auto"/>
        <w:ind w:left="110"/>
        <w:rPr>
          <w:sz w:val="15"/>
          <w:szCs w:val="15"/>
        </w:rPr>
      </w:pPr>
    </w:p>
    <w:sectPr>
      <w:headerReference w:type="default" r:id="rId39"/>
      <w:footerReference w:type="default" r:id="rId40"/>
      <w:type w:val="continuous"/>
      <w:pgSz w:w="11907" w:h="16839"/>
      <w:pgMar w:top="1378" w:right="709" w:bottom="834" w:left="708" w:header="691" w:footer="464" w:gutter="0"/>
      <w:pgNumType w:start="8"/>
      <w:cols w:num="1" w:space="708" w:equalWidth="0">
        <w:col w:w="10489"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30921293"/>
      <w:docPartObj>
        <w:docPartGallery w:val="Table of Contents"/>
        <w:docPartUnique/>
      </w:docPartObj>
    </w:sdtPr>
    <w:sdtEndPr>
      <w:rPr>
        <w:rFonts w:ascii="Arial" w:eastAsia="Arial" w:hAnsi="Arial" w:cs="Arial"/>
        <w:sz w:val="16"/>
        <w:szCs w:val="16"/>
      </w:rPr>
    </w:sdtEndPr>
    <w:sdtContent>
      <w:p>
        <w:pPr>
          <w:spacing w:before="187" w:line="200" w:lineRule="auto"/>
          <w:ind w:left="722"/>
          <w:rPr>
            <w:rFonts w:ascii="Arial" w:eastAsia="Arial" w:hAnsi="Arial" w:cs="Arial"/>
            <w:sz w:val="16"/>
            <w:szCs w:val="16"/>
          </w:rPr>
        </w:pPr>
        <w:r>
          <w:pict>
            <v:shape id="_x0000_s2049" style="width:524.4pt;height:0.75pt;margin-top:800.18pt;margin-left:35.45pt;mso-position-horizontal-relative:page;mso-position-vertical-relative:page;position:absolute;z-index:25165824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1" w:history="1">
          <w:r>
            <w:rPr>
              <w:rFonts w:ascii="Arial" w:eastAsia="Arial" w:hAnsi="Arial" w:cs="Arial"/>
              <w:b/>
              <w:bCs/>
              <w:color w:val="4C4D4F"/>
              <w:sz w:val="16"/>
              <w:szCs w:val="16"/>
            </w:rPr>
            <w:t>1</w:t>
          </w:r>
        </w:hyperlink>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231041186"/>
      <w:docPartObj>
        <w:docPartGallery w:val="Table of Contents"/>
        <w:docPartUnique/>
      </w:docPartObj>
    </w:sdtPr>
    <w:sdtEndPr>
      <w:rPr>
        <w:rFonts w:ascii="Arial" w:eastAsia="Arial" w:hAnsi="Arial" w:cs="Arial"/>
        <w:sz w:val="16"/>
        <w:szCs w:val="16"/>
      </w:rPr>
    </w:sdtEndPr>
    <w:sdtContent>
      <w:p>
        <w:pPr>
          <w:spacing w:before="187" w:line="200" w:lineRule="auto"/>
          <w:ind w:left="722"/>
          <w:rPr>
            <w:rFonts w:ascii="Arial" w:eastAsia="Arial" w:hAnsi="Arial" w:cs="Arial"/>
            <w:sz w:val="16"/>
            <w:szCs w:val="16"/>
          </w:rPr>
        </w:pPr>
        <w:r>
          <w:pict>
            <v:shape id="_x0000_s2050" style="width:524.4pt;height:0.75pt;margin-top:800.18pt;margin-left:35.45pt;mso-position-horizontal-relative:page;mso-position-vertical-relative:page;position:absolute;z-index:25165926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1" w:history="1">
          <w:r>
            <w:rPr>
              <w:rFonts w:ascii="Arial" w:eastAsia="Arial" w:hAnsi="Arial" w:cs="Arial"/>
              <w:b/>
              <w:bCs/>
              <w:color w:val="4C4D4F"/>
              <w:sz w:val="16"/>
              <w:szCs w:val="16"/>
            </w:rPr>
            <w:t>1</w:t>
          </w:r>
        </w:hyperlink>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608448401"/>
      <w:docPartObj>
        <w:docPartGallery w:val="Table of Contents"/>
        <w:docPartUnique/>
      </w:docPartObj>
    </w:sdtPr>
    <w:sdtEndPr>
      <w:rPr>
        <w:rFonts w:ascii="Arial" w:eastAsia="Arial" w:hAnsi="Arial" w:cs="Arial"/>
        <w:sz w:val="16"/>
        <w:szCs w:val="16"/>
      </w:rPr>
    </w:sdtEndPr>
    <w:sdtContent>
      <w:p>
        <w:pPr>
          <w:spacing w:before="187" w:line="200" w:lineRule="auto"/>
          <w:ind w:left="13"/>
          <w:rPr>
            <w:rFonts w:ascii="Arial" w:eastAsia="Arial" w:hAnsi="Arial" w:cs="Arial"/>
            <w:sz w:val="16"/>
            <w:szCs w:val="16"/>
          </w:rPr>
        </w:pPr>
        <w:r>
          <w:pict>
            <v:shape id="_x0000_s2052" style="width:524.4pt;height:0.75pt;margin-top:800.18pt;margin-left:35.45pt;mso-position-horizontal-relative:page;mso-position-vertical-relative:page;position:absolute;z-index:25166028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3" w:history="1">
          <w:r>
            <w:rPr>
              <w:rFonts w:ascii="Arial" w:eastAsia="Arial" w:hAnsi="Arial" w:cs="Arial"/>
              <w:b/>
              <w:bCs/>
              <w:color w:val="4C4D4F"/>
              <w:sz w:val="16"/>
              <w:szCs w:val="16"/>
            </w:rPr>
            <w:t>2</w:t>
          </w:r>
        </w:hyperlink>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746052706"/>
      <w:docPartObj>
        <w:docPartGallery w:val="Table of Contents"/>
        <w:docPartUnique/>
      </w:docPartObj>
    </w:sdtPr>
    <w:sdtEndPr>
      <w:rPr>
        <w:rFonts w:ascii="Arial" w:eastAsia="Arial" w:hAnsi="Arial" w:cs="Arial"/>
        <w:sz w:val="16"/>
        <w:szCs w:val="16"/>
      </w:rPr>
    </w:sdtEndPr>
    <w:sdtContent>
      <w:p>
        <w:pPr>
          <w:spacing w:before="187" w:line="200" w:lineRule="auto"/>
          <w:ind w:left="14"/>
          <w:rPr>
            <w:rFonts w:ascii="Arial" w:eastAsia="Arial" w:hAnsi="Arial" w:cs="Arial"/>
            <w:sz w:val="16"/>
            <w:szCs w:val="16"/>
          </w:rPr>
        </w:pPr>
        <w:r>
          <w:pict>
            <v:shape id="_x0000_s2054" style="width:524.4pt;height:0.75pt;margin-top:800.18pt;margin-left:35.45pt;mso-position-horizontal-relative:page;mso-position-vertical-relative:page;position:absolute;z-index:251661312"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22" w:history="1">
          <w:r>
            <w:rPr>
              <w:rFonts w:ascii="Arial" w:eastAsia="Arial" w:hAnsi="Arial" w:cs="Arial"/>
              <w:b/>
              <w:bCs/>
              <w:color w:val="4C4D4F"/>
              <w:sz w:val="16"/>
              <w:szCs w:val="16"/>
            </w:rPr>
            <w:t>3</w:t>
          </w:r>
        </w:hyperlink>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721912300"/>
      <w:docPartObj>
        <w:docPartGallery w:val="Table of Contents"/>
        <w:docPartUnique/>
      </w:docPartObj>
    </w:sdtPr>
    <w:sdtEndPr>
      <w:rPr>
        <w:rFonts w:ascii="Arial" w:eastAsia="Arial" w:hAnsi="Arial" w:cs="Arial"/>
        <w:sz w:val="16"/>
        <w:szCs w:val="16"/>
      </w:rPr>
    </w:sdtEndPr>
    <w:sdtContent>
      <w:p>
        <w:pPr>
          <w:spacing w:before="187" w:line="200" w:lineRule="auto"/>
          <w:ind w:left="14"/>
          <w:rPr>
            <w:rFonts w:ascii="Arial" w:eastAsia="Arial" w:hAnsi="Arial" w:cs="Arial"/>
            <w:sz w:val="16"/>
            <w:szCs w:val="16"/>
          </w:rPr>
        </w:pPr>
        <w:r>
          <w:pict>
            <v:shape id="_x0000_s2056" style="width:524.4pt;height:0.75pt;margin-top:800.18pt;margin-left:35.45pt;mso-position-horizontal-relative:page;mso-position-vertical-relative:page;position:absolute;z-index:251662336"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22" w:history="1">
          <w:r>
            <w:rPr>
              <w:rFonts w:ascii="Arial" w:eastAsia="Arial" w:hAnsi="Arial" w:cs="Arial"/>
              <w:b/>
              <w:bCs/>
              <w:color w:val="4C4D4F"/>
              <w:sz w:val="16"/>
              <w:szCs w:val="16"/>
            </w:rPr>
            <w:t>3</w:t>
          </w:r>
        </w:hyperlink>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936017709"/>
      <w:docPartObj>
        <w:docPartGallery w:val="Table of Contents"/>
        <w:docPartUnique/>
      </w:docPartObj>
    </w:sdtPr>
    <w:sdtEndPr>
      <w:rPr>
        <w:rFonts w:ascii="Arial" w:eastAsia="Arial" w:hAnsi="Arial" w:cs="Arial"/>
        <w:sz w:val="16"/>
        <w:szCs w:val="16"/>
      </w:rPr>
    </w:sdtEndPr>
    <w:sdtContent>
      <w:p>
        <w:pPr>
          <w:spacing w:before="187" w:line="200" w:lineRule="auto"/>
          <w:ind w:left="14"/>
          <w:rPr>
            <w:rFonts w:ascii="Arial" w:eastAsia="Arial" w:hAnsi="Arial" w:cs="Arial"/>
            <w:sz w:val="16"/>
            <w:szCs w:val="16"/>
          </w:rPr>
        </w:pPr>
        <w:r>
          <w:pict>
            <v:shape id="_x0000_s2057" style="width:524.4pt;height:0.75pt;margin-top:800.18pt;margin-left:35.45pt;mso-position-horizontal-relative:page;mso-position-vertical-relative:page;position:absolute;z-index:251663360"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24" w:history="1">
          <w:r>
            <w:rPr>
              <w:rFonts w:ascii="Arial" w:eastAsia="Arial" w:hAnsi="Arial" w:cs="Arial"/>
              <w:b/>
              <w:bCs/>
              <w:color w:val="4C4D4F"/>
              <w:sz w:val="16"/>
              <w:szCs w:val="16"/>
            </w:rPr>
            <w:t>4</w:t>
          </w:r>
        </w:hyperlink>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030014896"/>
      <w:docPartObj>
        <w:docPartGallery w:val="Table of Contents"/>
        <w:docPartUnique/>
      </w:docPartObj>
    </w:sdtPr>
    <w:sdtEndPr>
      <w:rPr>
        <w:rFonts w:ascii="Arial" w:eastAsia="Arial" w:hAnsi="Arial" w:cs="Arial"/>
        <w:sz w:val="16"/>
        <w:szCs w:val="16"/>
      </w:rPr>
    </w:sdtEndPr>
    <w:sdtContent>
      <w:p>
        <w:pPr>
          <w:spacing w:before="187" w:line="200" w:lineRule="auto"/>
          <w:ind w:left="14"/>
          <w:rPr>
            <w:rFonts w:ascii="Arial" w:eastAsia="Arial" w:hAnsi="Arial" w:cs="Arial"/>
            <w:sz w:val="16"/>
            <w:szCs w:val="16"/>
          </w:rPr>
        </w:pPr>
        <w:r>
          <w:pict>
            <v:shape id="_x0000_s2059" style="width:524.4pt;height:0.75pt;margin-top:800.18pt;margin-left:35.45pt;mso-position-horizontal-relative:page;mso-position-vertical-relative:page;position:absolute;z-index:251664384"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24" w:history="1">
          <w:r>
            <w:rPr>
              <w:rFonts w:ascii="Arial" w:eastAsia="Arial" w:hAnsi="Arial" w:cs="Arial"/>
              <w:b/>
              <w:bCs/>
              <w:color w:val="4C4D4F"/>
              <w:sz w:val="16"/>
              <w:szCs w:val="16"/>
            </w:rPr>
            <w:t>4</w:t>
          </w:r>
        </w:hyperlink>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imHei" w:eastAsia="SimHei" w:hAnsi="SimHei" w:cs="SimHei"/>
        <w:sz w:val="16"/>
        <w:szCs w:val="16"/>
      </w:rPr>
      <w:id w:val="1842600370"/>
      <w:docPartObj>
        <w:docPartGallery w:val="Table of Contents"/>
        <w:docPartUnique/>
      </w:docPartObj>
    </w:sdtPr>
    <w:sdtEndPr>
      <w:rPr>
        <w:rFonts w:ascii="Arial" w:eastAsia="Arial" w:hAnsi="Arial" w:cs="Arial"/>
        <w:sz w:val="16"/>
        <w:szCs w:val="16"/>
      </w:rPr>
    </w:sdtEndPr>
    <w:sdtContent>
      <w:p>
        <w:pPr>
          <w:spacing w:before="187" w:line="200" w:lineRule="auto"/>
          <w:ind w:left="14"/>
          <w:rPr>
            <w:rFonts w:ascii="Arial" w:eastAsia="Arial" w:hAnsi="Arial" w:cs="Arial"/>
            <w:sz w:val="16"/>
            <w:szCs w:val="16"/>
          </w:rPr>
        </w:pPr>
        <w:r>
          <w:pict>
            <v:shape id="_x0000_s2061" style="width:524.4pt;height:0.75pt;margin-top:800.18pt;margin-left:35.45pt;mso-position-horizontal-relative:page;mso-position-vertical-relative:page;position:absolute;z-index:251665408" coordorigin="0,0" coordsize="10488,15" o:allowincell="f" path="m,7l10487,7e" filled="f" strokecolor="#4c4d4f" strokeweight="0.75pt"/>
          </w:pict>
        </w:r>
        <w:r>
          <w:rPr>
            <w:rFonts w:ascii="SimHei" w:eastAsia="SimHei" w:hAnsi="SimHei" w:cs="SimHei"/>
            <w:color w:val="4C4D4F"/>
            <w:spacing w:val="1"/>
            <w:sz w:val="16"/>
            <w:szCs w:val="16"/>
          </w:rPr>
          <w:t>本公司具备证券投资咨询业务资格，请务必阅读最后一页免责声明</w:t>
        </w:r>
        <w:r>
          <w:rPr>
            <w:rFonts w:ascii="SimHei" w:eastAsia="SimHei" w:hAnsi="SimHei" w:cs="SimHei"/>
            <w:color w:val="4C4D4F"/>
            <w:spacing w:val="1"/>
            <w:sz w:val="16"/>
            <w:szCs w:val="16"/>
          </w:rPr>
          <w:t xml:space="preserve">     </w:t>
        </w:r>
        <w:r>
          <w:rPr>
            <w:rFonts w:ascii="SimHei" w:eastAsia="SimHei" w:hAnsi="SimHei" w:cs="SimHei"/>
            <w:color w:val="4C4D4F"/>
            <w:sz w:val="16"/>
            <w:szCs w:val="16"/>
          </w:rPr>
          <w:t xml:space="preserve">                                            </w:t>
        </w:r>
        <w:r>
          <w:rPr>
            <w:rFonts w:ascii="SimHei" w:eastAsia="SimHei" w:hAnsi="SimHei" w:cs="SimHei"/>
            <w:color w:val="4C4D4F"/>
            <w:sz w:val="16"/>
            <w:szCs w:val="16"/>
          </w:rPr>
          <w:t>证券研究报告</w:t>
        </w:r>
        <w:r>
          <w:rPr>
            <w:rFonts w:ascii="SimHei" w:eastAsia="SimHei" w:hAnsi="SimHei" w:cs="SimHei"/>
            <w:color w:val="4C4D4F"/>
            <w:sz w:val="16"/>
            <w:szCs w:val="16"/>
          </w:rPr>
          <w:t xml:space="preserve">         </w:t>
        </w:r>
        <w:hyperlink w:anchor="bookmark24" w:history="1">
          <w:r>
            <w:rPr>
              <w:rFonts w:ascii="Arial" w:eastAsia="Arial" w:hAnsi="Arial" w:cs="Arial"/>
              <w:b/>
              <w:bCs/>
              <w:color w:val="4C4D4F"/>
              <w:sz w:val="16"/>
              <w:szCs w:val="16"/>
            </w:rPr>
            <w:t>4</w:t>
          </w:r>
        </w:hyperlink>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51" style="width:524.4pt;height:0.75pt;margin-top:68.18pt;margin-left:35.45pt;mso-position-horizontal-relative:page;mso-position-vertical-relative:page;position:absolute;z-index:251659264" coordorigin="0,0" coordsize="10488,15" o:allowincell="f" path="m,7l10487,7e" filled="f" strokecolor="#4c4d4f" strokeweight="0.75pt"/>
      </w:pict>
    </w:r>
    <w:r>
      <w:drawing>
        <wp:anchor distT="0" distB="0" distL="0" distR="0" simplePos="0" relativeHeight="25165824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196" w:lineRule="auto"/>
      <w:ind w:right="10"/>
      <w:jc w:val="right"/>
    </w:pPr>
    <w:r>
      <w:rPr>
        <w:color w:val="4C4D4F"/>
        <w:spacing w:val="6"/>
      </w:rPr>
      <w:t>能科科技(603859)/计算机</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53" style="width:524.4pt;height:0.75pt;margin-top:68.18pt;margin-left:35.45pt;mso-position-horizontal-relative:page;mso-position-vertical-relative:page;position:absolute;z-index:251661312" coordorigin="0,0" coordsize="10488,15" o:allowincell="f" path="m,7l10487,7e" filled="f" strokecolor="#4c4d4f" strokeweight="0.75pt"/>
      </w:pict>
    </w:r>
    <w:r>
      <w:drawing>
        <wp:anchor distT="0" distB="0" distL="0" distR="0" simplePos="0" relativeHeight="251660288"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196" w:lineRule="auto"/>
      <w:ind w:right="10"/>
      <w:jc w:val="right"/>
    </w:pPr>
    <w:r>
      <w:rPr>
        <w:color w:val="4C4D4F"/>
        <w:spacing w:val="6"/>
      </w:rPr>
      <w:t>能科科技(603859)/计算机</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55" style="width:524.4pt;height:0.75pt;margin-top:68.18pt;margin-left:35.45pt;mso-position-horizontal-relative:page;mso-position-vertical-relative:page;position:absolute;z-index:251663360" coordorigin="0,0" coordsize="10488,15" o:allowincell="f" path="m,7l10487,7e" filled="f" strokecolor="#4c4d4f" strokeweight="0.75pt"/>
      </w:pict>
    </w:r>
    <w:r>
      <w:drawing>
        <wp:anchor distT="0" distB="0" distL="0" distR="0" simplePos="0" relativeHeight="251662336"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107059373" name="IM 16"/>
          <wp:cNvGraphicFramePr/>
          <a:graphic xmlns:a="http://schemas.openxmlformats.org/drawingml/2006/main">
            <a:graphicData uri="http://schemas.openxmlformats.org/drawingml/2006/picture">
              <pic:pic xmlns:pic="http://schemas.openxmlformats.org/drawingml/2006/picture">
                <pic:nvPicPr>
                  <pic:cNvPr id="1107059373" name="IM 1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196" w:lineRule="auto"/>
      <w:ind w:right="10"/>
      <w:jc w:val="right"/>
    </w:pPr>
    <w:r>
      <w:rPr>
        <w:color w:val="4C4D4F"/>
        <w:spacing w:val="6"/>
      </w:rPr>
      <w:t>能科科技(603859)/计算机</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58" style="width:524.4pt;height:0.75pt;margin-top:68.18pt;margin-left:35.45pt;mso-position-horizontal-relative:page;mso-position-vertical-relative:page;position:absolute;z-index:251665408" coordorigin="0,0" coordsize="10488,15" o:allowincell="f" path="m,7l10487,7e" filled="f" strokecolor="#4c4d4f" strokeweight="0.75pt"/>
      </w:pict>
    </w:r>
    <w:r>
      <w:drawing>
        <wp:anchor distT="0" distB="0" distL="0" distR="0" simplePos="0" relativeHeight="251664384"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546565023" name="IM 16"/>
          <wp:cNvGraphicFramePr/>
          <a:graphic xmlns:a="http://schemas.openxmlformats.org/drawingml/2006/main">
            <a:graphicData uri="http://schemas.openxmlformats.org/drawingml/2006/picture">
              <pic:pic xmlns:pic="http://schemas.openxmlformats.org/drawingml/2006/picture">
                <pic:nvPicPr>
                  <pic:cNvPr id="1546565023" name="IM 1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196" w:lineRule="auto"/>
      <w:ind w:right="10"/>
      <w:jc w:val="right"/>
    </w:pPr>
    <w:r>
      <w:rPr>
        <w:color w:val="4C4D4F"/>
        <w:spacing w:val="6"/>
      </w:rPr>
      <w:t>能科科技(603859)/计算机</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60" style="width:524.4pt;height:0.75pt;margin-top:68.18pt;margin-left:35.45pt;mso-position-horizontal-relative:page;mso-position-vertical-relative:page;position:absolute;z-index:251667456" coordorigin="0,0" coordsize="10488,15" o:allowincell="f" path="m,7l10487,7e" filled="f" strokecolor="#4c4d4f" strokeweight="0.75pt"/>
      </w:pict>
    </w:r>
    <w:r>
      <w:drawing>
        <wp:anchor distT="0" distB="0" distL="0" distR="0" simplePos="0" relativeHeight="251666432"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09231676" name="IM 16"/>
          <wp:cNvGraphicFramePr/>
          <a:graphic xmlns:a="http://schemas.openxmlformats.org/drawingml/2006/main">
            <a:graphicData uri="http://schemas.openxmlformats.org/drawingml/2006/picture">
              <pic:pic xmlns:pic="http://schemas.openxmlformats.org/drawingml/2006/picture">
                <pic:nvPicPr>
                  <pic:cNvPr id="109231676" name="IM 1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196" w:lineRule="auto"/>
      <w:ind w:right="10"/>
      <w:jc w:val="right"/>
    </w:pPr>
    <w:r>
      <w:rPr>
        <w:color w:val="4C4D4F"/>
        <w:spacing w:val="6"/>
      </w:rPr>
      <w:t>能科科技(603859)/计算机</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5" w:lineRule="auto"/>
      <w:rPr>
        <w:rFonts w:ascii="Arial"/>
        <w:sz w:val="21"/>
      </w:rPr>
    </w:pPr>
    <w:r>
      <w:pict>
        <v:shape id="_x0000_s2062" style="width:524.4pt;height:0.75pt;margin-top:68.18pt;margin-left:35.45pt;mso-position-horizontal-relative:page;mso-position-vertical-relative:page;position:absolute;z-index:251669504" coordorigin="0,0" coordsize="10488,15" o:allowincell="f" path="m,7l10487,7e" filled="f" strokecolor="#4c4d4f" strokeweight="0.75pt"/>
      </w:pict>
    </w:r>
    <w:r>
      <w:drawing>
        <wp:anchor distT="0" distB="0" distL="0" distR="0" simplePos="0" relativeHeight="251668480" behindDoc="0" locked="0" layoutInCell="0" allowOverlap="1">
          <wp:simplePos x="0" y="0"/>
          <wp:positionH relativeFrom="page">
            <wp:posOffset>450215</wp:posOffset>
          </wp:positionH>
          <wp:positionV relativeFrom="page">
            <wp:posOffset>439382</wp:posOffset>
          </wp:positionV>
          <wp:extent cx="1346200" cy="370751"/>
          <wp:effectExtent l="0" t="0" r="0" b="0"/>
          <wp:wrapNone/>
          <wp:docPr id="1489160790" name="IM 16"/>
          <wp:cNvGraphicFramePr/>
          <a:graphic xmlns:a="http://schemas.openxmlformats.org/drawingml/2006/main">
            <a:graphicData uri="http://schemas.openxmlformats.org/drawingml/2006/picture">
              <pic:pic xmlns:pic="http://schemas.openxmlformats.org/drawingml/2006/picture">
                <pic:nvPicPr>
                  <pic:cNvPr id="1489160790" name="IM 16"/>
                  <pic:cNvPicPr/>
                </pic:nvPicPr>
                <pic:blipFill>
                  <a:blip xmlns:r="http://schemas.openxmlformats.org/officeDocument/2006/relationships" r:embed="rId1"/>
                  <a:stretch>
                    <a:fillRect/>
                  </a:stretch>
                </pic:blipFill>
                <pic:spPr>
                  <a:xfrm>
                    <a:off x="0" y="0"/>
                    <a:ext cx="1346200" cy="370751"/>
                  </a:xfrm>
                  <a:prstGeom prst="rect">
                    <a:avLst/>
                  </a:prstGeom>
                </pic:spPr>
              </pic:pic>
            </a:graphicData>
          </a:graphic>
        </wp:anchor>
      </w:drawing>
    </w:r>
  </w:p>
  <w:p>
    <w:pPr>
      <w:pStyle w:val="BodyText"/>
      <w:spacing w:before="82" w:line="196" w:lineRule="auto"/>
      <w:ind w:right="10"/>
      <w:jc w:val="right"/>
    </w:pPr>
    <w:r>
      <w:rPr>
        <w:color w:val="4C4D4F"/>
        <w:spacing w:val="6"/>
      </w:rPr>
      <w:t>能科科技(603859)/计算机</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Microsoft YaHei" w:eastAsia="Microsoft YaHei" w:hAnsi="Microsoft YaHei" w:cs="Microsoft YaHei"/>
      <w:sz w:val="19"/>
      <w:szCs w:val="19"/>
      <w:lang w:val="en-US" w:eastAsia="en-US" w:bidi="ar-SA"/>
    </w:rPr>
  </w:style>
  <w:style w:type="paragraph" w:styleId="BodyText">
    <w:name w:val="Body Text"/>
    <w:basedOn w:val="Normal"/>
    <w:semiHidden/>
    <w:qFormat/>
    <w:rPr>
      <w:rFonts w:ascii="Microsoft YaHei" w:eastAsia="Microsoft YaHei" w:hAnsi="Microsoft YaHei" w:cs="Microsoft YaHei"/>
      <w:sz w:val="19"/>
      <w:szCs w:val="1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eader" Target="header1.xml" /><Relationship Id="rId13" Type="http://schemas.openxmlformats.org/officeDocument/2006/relationships/footer" Target="footer1.xml" /><Relationship Id="rId14" Type="http://schemas.openxmlformats.org/officeDocument/2006/relationships/header" Target="header2.xml" /><Relationship Id="rId15" Type="http://schemas.openxmlformats.org/officeDocument/2006/relationships/footer" Target="footer2.xml" /><Relationship Id="rId16" Type="http://schemas.openxmlformats.org/officeDocument/2006/relationships/header" Target="header3.xml" /><Relationship Id="rId17" Type="http://schemas.openxmlformats.org/officeDocument/2006/relationships/footer" Target="footer3.xml" /><Relationship Id="rId18" Type="http://schemas.openxmlformats.org/officeDocument/2006/relationships/image" Target="media/image10.jpeg"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header" Target="header5.xml" /><Relationship Id="rId22" Type="http://schemas.openxmlformats.org/officeDocument/2006/relationships/footer" Target="footer5.xml" /><Relationship Id="rId23" Type="http://schemas.openxmlformats.org/officeDocument/2006/relationships/image" Target="media/image11.png" /><Relationship Id="rId24" Type="http://schemas.openxmlformats.org/officeDocument/2006/relationships/image" Target="media/image12.png" /><Relationship Id="rId25" Type="http://schemas.openxmlformats.org/officeDocument/2006/relationships/image" Target="media/image13.png" /><Relationship Id="rId26" Type="http://schemas.openxmlformats.org/officeDocument/2006/relationships/image" Target="media/image14.png" /><Relationship Id="rId27" Type="http://schemas.openxmlformats.org/officeDocument/2006/relationships/image" Target="media/image15.png" /><Relationship Id="rId28" Type="http://schemas.openxmlformats.org/officeDocument/2006/relationships/header" Target="header6.xml" /><Relationship Id="rId29" Type="http://schemas.openxmlformats.org/officeDocument/2006/relationships/footer" Target="footer6.xml"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image" Target="media/image17.png" /><Relationship Id="rId32" Type="http://schemas.openxmlformats.org/officeDocument/2006/relationships/image" Target="media/image18.png" /><Relationship Id="rId33" Type="http://schemas.openxmlformats.org/officeDocument/2006/relationships/image" Target="media/image19.png" /><Relationship Id="rId34" Type="http://schemas.openxmlformats.org/officeDocument/2006/relationships/image" Target="media/image20.jpeg" /><Relationship Id="rId35" Type="http://schemas.openxmlformats.org/officeDocument/2006/relationships/header" Target="header7.xml" /><Relationship Id="rId36" Type="http://schemas.openxmlformats.org/officeDocument/2006/relationships/footer" Target="footer7.xml" /><Relationship Id="rId37" Type="http://schemas.openxmlformats.org/officeDocument/2006/relationships/image" Target="media/image21.jpeg" /><Relationship Id="rId38" Type="http://schemas.openxmlformats.org/officeDocument/2006/relationships/hyperlink" Target="https://d.book118.com/686234101240010045" TargetMode="External" /><Relationship Id="rId39" Type="http://schemas.openxmlformats.org/officeDocument/2006/relationships/header" Target="header8.xml" /><Relationship Id="rId4" Type="http://schemas.openxmlformats.org/officeDocument/2006/relationships/image" Target="media/image1.png" /><Relationship Id="rId40" Type="http://schemas.openxmlformats.org/officeDocument/2006/relationships/footer" Target="footer8.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header3.xml.rels><?xml version="1.0" encoding="utf-8" standalone="yes"?><Relationships xmlns="http://schemas.openxmlformats.org/package/2006/relationships"><Relationship Id="rId1" Type="http://schemas.openxmlformats.org/officeDocument/2006/relationships/image" Target="media/image9.jpeg" /></Relationships>
</file>

<file path=word/_rels/header4.xml.rels><?xml version="1.0" encoding="utf-8" standalone="yes"?><Relationships xmlns="http://schemas.openxmlformats.org/package/2006/relationships"><Relationship Id="rId1" Type="http://schemas.openxmlformats.org/officeDocument/2006/relationships/image" Target="media/image9.jpeg" /></Relationships>
</file>

<file path=word/_rels/header5.xml.rels><?xml version="1.0" encoding="utf-8" standalone="yes"?><Relationships xmlns="http://schemas.openxmlformats.org/package/2006/relationships"><Relationship Id="rId1" Type="http://schemas.openxmlformats.org/officeDocument/2006/relationships/image" Target="media/image9.jpeg" /></Relationships>
</file>

<file path=word/_rels/header6.xml.rels><?xml version="1.0" encoding="utf-8" standalone="yes"?><Relationships xmlns="http://schemas.openxmlformats.org/package/2006/relationships"><Relationship Id="rId1" Type="http://schemas.openxmlformats.org/officeDocument/2006/relationships/image" Target="media/image9.jpeg" /></Relationships>
</file>

<file path=word/_rels/header7.xml.rels><?xml version="1.0" encoding="utf-8" standalone="yes"?><Relationships xmlns="http://schemas.openxmlformats.org/package/2006/relationships"><Relationship Id="rId1" Type="http://schemas.openxmlformats.org/officeDocument/2006/relationships/image" Target="media/image9.jpeg" /></Relationships>
</file>

<file path=word/_rels/header8.xml.rels><?xml version="1.0" encoding="utf-8" standalone="yes"?><Relationships xmlns="http://schemas.openxmlformats.org/package/2006/relationships"><Relationship Id="rId1" Type="http://schemas.openxmlformats.org/officeDocument/2006/relationships/image" Target="media/image9.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json</dc:creator>
  <cp:revision>0</cp:revision>
  <dcterms:created xsi:type="dcterms:W3CDTF">2024-02-15T19:56:19Z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2024-02-15T20:24:33Z</vt:filetime>
  </property>
  <property fmtid="{D5CDD505-2E9C-101B-9397-08002B2CF9AE}" pid="3" name="CRO">
    <vt:lpwstr>wqlLaW5nc29mdCBQREYgdG8gV1BTIDkw</vt:lpwstr>
  </property>
</Properties>
</file>