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画具画材行业相关公司设立可行性研究报告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01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_Toc20011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59" w:history="1">
        <w:r>
          <w:rPr>
            <w:rFonts w:ascii="仿宋" w:eastAsia="仿宋" w:hAnsi="仿宋" w:cs="仿宋" w:hint="eastAsia"/>
            <w:lang w:eastAsia="zh-CN"/>
          </w:rPr>
          <w:t>一、画具画材项目概况</w:t>
        </w:r>
        <w:r>
          <w:tab/>
        </w:r>
        <w:r>
          <w:fldChar w:fldCharType="begin"/>
        </w:r>
        <w:r>
          <w:instrText xml:space="preserve"> PAGEREF _Toc5759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_Toc9180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0" w:history="1">
        <w:r>
          <w:rPr>
            <w:rFonts w:ascii="仿宋" w:eastAsia="仿宋" w:hAnsi="仿宋" w:cs="仿宋" w:hint="eastAsia"/>
            <w:lang w:eastAsia="zh-CN"/>
          </w:rPr>
          <w:t>(二)、画具画材项目提出的理由</w:t>
        </w:r>
        <w:r>
          <w:tab/>
        </w:r>
        <w:r>
          <w:fldChar w:fldCharType="begin"/>
        </w:r>
        <w:r>
          <w:instrText xml:space="preserve"> PAGEREF _Toc17830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6" w:history="1">
        <w:r>
          <w:rPr>
            <w:rFonts w:ascii="仿宋" w:eastAsia="仿宋" w:hAnsi="仿宋" w:cs="仿宋" w:hint="eastAsia"/>
            <w:lang w:eastAsia="zh-CN"/>
          </w:rPr>
          <w:t>(三)、画具画材项目选址</w:t>
        </w:r>
        <w:r>
          <w:tab/>
        </w:r>
        <w:r>
          <w:fldChar w:fldCharType="begin"/>
        </w:r>
        <w:r>
          <w:instrText xml:space="preserve"> PAGEREF _Toc19416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_Toc23303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_Toc23259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9" w:history="1">
        <w:r>
          <w:rPr>
            <w:rFonts w:ascii="仿宋" w:eastAsia="仿宋" w:hAnsi="仿宋" w:cs="仿宋" w:hint="eastAsia"/>
            <w:lang w:eastAsia="zh-CN"/>
          </w:rPr>
          <w:t>(六)、画具画材项目投资</w:t>
        </w:r>
        <w:r>
          <w:tab/>
        </w:r>
        <w:r>
          <w:fldChar w:fldCharType="begin"/>
        </w:r>
        <w:r>
          <w:instrText xml:space="preserve"> PAGEREF _Toc23339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" w:history="1">
        <w:r>
          <w:rPr>
            <w:rFonts w:ascii="仿宋" w:eastAsia="仿宋" w:hAnsi="仿宋" w:cs="仿宋" w:hint="eastAsia"/>
            <w:lang w:eastAsia="zh-CN"/>
          </w:rPr>
          <w:t>(七)、画具画材项目进度规划</w:t>
        </w:r>
        <w:r>
          <w:tab/>
        </w:r>
        <w:r>
          <w:fldChar w:fldCharType="begin"/>
        </w:r>
        <w:r>
          <w:instrText xml:space="preserve"> PAGEREF _Toc774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0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_Toc22660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1" w:history="1">
        <w:r>
          <w:rPr>
            <w:rFonts w:ascii="仿宋" w:eastAsia="仿宋" w:hAnsi="仿宋" w:cs="仿宋" w:hint="eastAsia"/>
            <w:lang w:eastAsia="zh-CN"/>
          </w:rPr>
          <w:t>(九)、画具画材项目综合评价</w:t>
        </w:r>
        <w:r>
          <w:tab/>
        </w:r>
        <w:r>
          <w:fldChar w:fldCharType="begin"/>
        </w:r>
        <w:r>
          <w:instrText xml:space="preserve"> PAGEREF _Toc23181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39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_Toc20439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_Toc13564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_Toc20722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_Toc2963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0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_Toc7704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06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_Toc5506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3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_Toc32713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_Toc30480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_Toc14291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_Toc26355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_Toc5576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8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_Toc25438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_Toc78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16" w:history="1">
        <w:r>
          <w:rPr>
            <w:rFonts w:ascii="仿宋" w:eastAsia="仿宋" w:hAnsi="仿宋" w:cs="仿宋" w:hint="eastAsia"/>
            <w:lang w:eastAsia="zh-CN"/>
          </w:rPr>
          <w:t>四、画具画材筹建公司基本信息</w:t>
        </w:r>
        <w:r>
          <w:tab/>
        </w:r>
        <w:r>
          <w:fldChar w:fldCharType="begin"/>
        </w:r>
        <w:r>
          <w:instrText xml:space="preserve"> PAGEREF _Toc7316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_Toc8689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6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_Toc10496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_Toc7502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_Toc30500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_Toc3029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4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_Toc21464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68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_Toc25468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_Toc20404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_Toc785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_Toc25754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_Toc25101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_Toc1209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_Toc2073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9" w:history="1">
        <w:r>
          <w:rPr>
            <w:rFonts w:ascii="仿宋" w:eastAsia="仿宋" w:hAnsi="仿宋" w:cs="仿宋" w:hint="eastAsia"/>
            <w:lang w:eastAsia="zh-CN"/>
          </w:rPr>
          <w:t>(七)、画具画材项目建设必要性分析</w:t>
        </w:r>
        <w:r>
          <w:tab/>
        </w:r>
        <w:r>
          <w:fldChar w:fldCharType="begin"/>
        </w:r>
        <w:r>
          <w:instrText xml:space="preserve"> PAGEREF _Toc18049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98" w:history="1">
        <w:r>
          <w:rPr>
            <w:rFonts w:ascii="仿宋" w:eastAsia="仿宋" w:hAnsi="仿宋" w:cs="仿宋" w:hint="eastAsia"/>
            <w:lang w:eastAsia="zh-CN"/>
          </w:rPr>
          <w:t>六、画具画材项目风险分析</w:t>
        </w:r>
        <w:r>
          <w:tab/>
        </w:r>
        <w:r>
          <w:fldChar w:fldCharType="begin"/>
        </w:r>
        <w:r>
          <w:instrText xml:space="preserve"> PAGEREF _Toc20898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2" w:history="1">
        <w:r>
          <w:rPr>
            <w:rFonts w:ascii="仿宋" w:eastAsia="仿宋" w:hAnsi="仿宋" w:cs="仿宋" w:hint="eastAsia"/>
            <w:lang w:eastAsia="zh-CN"/>
          </w:rPr>
          <w:t>(一)、画具画材项目风险分析</w:t>
        </w:r>
        <w:r>
          <w:tab/>
        </w:r>
        <w:r>
          <w:fldChar w:fldCharType="begin"/>
        </w:r>
        <w:r>
          <w:instrText xml:space="preserve"> PAGEREF _Toc15712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236" w:history="1">
        <w:r>
          <w:rPr>
            <w:rFonts w:ascii="仿宋" w:eastAsia="仿宋" w:hAnsi="仿宋" w:cs="仿宋" w:hint="eastAsia"/>
            <w:lang w:eastAsia="zh-CN"/>
          </w:rPr>
          <w:t>(二)、画具画材项目风险对策</w:t>
        </w:r>
        <w:r>
          <w:tab/>
        </w:r>
        <w:r>
          <w:fldChar w:fldCharType="begin"/>
        </w:r>
        <w:r>
          <w:instrText xml:space="preserve"> PAGEREF _Toc29236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77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_Toc19777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_Toc27245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_Toc30497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2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_Toc5832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_Toc20284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06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_Toc26006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3" w:history="1">
        <w:r>
          <w:rPr>
            <w:rFonts w:ascii="仿宋" w:eastAsia="仿宋" w:hAnsi="仿宋" w:cs="仿宋" w:hint="eastAsia"/>
            <w:lang w:eastAsia="zh-CN"/>
          </w:rPr>
          <w:t>(一)、画具画材项目进度安排</w:t>
        </w:r>
        <w:r>
          <w:tab/>
        </w:r>
        <w:r>
          <w:fldChar w:fldCharType="begin"/>
        </w:r>
        <w:r>
          <w:instrText xml:space="preserve"> PAGEREF _Toc4503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8" w:history="1">
        <w:r>
          <w:rPr>
            <w:rFonts w:ascii="仿宋" w:eastAsia="仿宋" w:hAnsi="仿宋" w:cs="仿宋" w:hint="eastAsia"/>
            <w:lang w:eastAsia="zh-CN"/>
          </w:rPr>
          <w:t>(二)、画具画材项目实施保障措施</w:t>
        </w:r>
        <w:r>
          <w:tab/>
        </w:r>
        <w:r>
          <w:fldChar w:fldCharType="begin"/>
        </w:r>
        <w:r>
          <w:instrText xml:space="preserve"> PAGEREF _Toc30168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80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_Toc12280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_Toc11741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9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_Toc19599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_Toc4043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_Toc28369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_Toc896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_Toc27743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3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_Toc18543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3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_Toc3563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_Toc5983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_Toc30841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9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_Toc31549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3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_Toc25963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6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_Toc24926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95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_Toc18495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9" w:history="1">
        <w:r>
          <w:rPr>
            <w:rFonts w:ascii="仿宋" w:eastAsia="仿宋" w:hAnsi="仿宋" w:cs="仿宋" w:hint="eastAsia"/>
            <w:lang w:eastAsia="zh-CN"/>
          </w:rPr>
          <w:t>(一)、画具画材项目背景分析</w:t>
        </w:r>
        <w:r>
          <w:tab/>
        </w:r>
        <w:r>
          <w:fldChar w:fldCharType="begin"/>
        </w:r>
        <w:r>
          <w:instrText xml:space="preserve"> PAGEREF _Toc9439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5" w:history="1">
        <w:r>
          <w:rPr>
            <w:rFonts w:ascii="仿宋" w:eastAsia="仿宋" w:hAnsi="仿宋" w:cs="仿宋" w:hint="eastAsia"/>
            <w:lang w:eastAsia="zh-CN"/>
          </w:rPr>
          <w:t>(二)、画具画材项目建设必要性分析</w:t>
        </w:r>
        <w:r>
          <w:tab/>
        </w:r>
        <w:r>
          <w:fldChar w:fldCharType="begin"/>
        </w:r>
        <w:r>
          <w:instrText xml:space="preserve"> PAGEREF _Toc14055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5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_Toc13835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_Toc21017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03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_Toc17903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2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_Toc5402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_Toc24449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9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_Toc28869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6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_Toc25346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61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_Toc29661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6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_Toc15756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7" w:history="1">
        <w:r>
          <w:rPr>
            <w:rFonts w:ascii="仿宋" w:eastAsia="仿宋" w:hAnsi="仿宋" w:cs="仿宋" w:hint="eastAsia"/>
            <w:lang w:eastAsia="zh-CN"/>
          </w:rPr>
          <w:t>(二)、合作画具画材项目</w:t>
        </w:r>
        <w:r>
          <w:tab/>
        </w:r>
        <w:r>
          <w:fldChar w:fldCharType="begin"/>
        </w:r>
        <w:r>
          <w:instrText xml:space="preserve"> PAGEREF _Toc4847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3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_Toc17893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79" w:history="1">
        <w:r>
          <w:rPr>
            <w:rFonts w:ascii="仿宋" w:eastAsia="仿宋" w:hAnsi="仿宋" w:cs="仿宋" w:hint="eastAsia"/>
            <w:lang w:eastAsia="zh-CN"/>
          </w:rPr>
          <w:t>十三、社会和环境责任</w:t>
        </w:r>
        <w:r>
          <w:tab/>
        </w:r>
        <w:r>
          <w:fldChar w:fldCharType="begin"/>
        </w:r>
        <w:r>
          <w:instrText xml:space="preserve"> PAGEREF _Toc29779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7" w:history="1">
        <w:r>
          <w:rPr>
            <w:rFonts w:ascii="仿宋" w:eastAsia="仿宋" w:hAnsi="仿宋" w:cs="仿宋" w:hint="eastAsia"/>
            <w:lang w:eastAsia="zh-CN"/>
          </w:rPr>
          <w:t>(一)、社会责任画具画材项目</w:t>
        </w:r>
        <w:r>
          <w:tab/>
        </w:r>
        <w:r>
          <w:fldChar w:fldCharType="begin"/>
        </w:r>
        <w:r>
          <w:instrText xml:space="preserve"> PAGEREF _Toc12557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_Toc2306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8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_Toc25638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39" w:history="1">
        <w:r>
          <w:rPr>
            <w:rFonts w:ascii="仿宋" w:eastAsia="仿宋" w:hAnsi="仿宋" w:cs="仿宋" w:hint="eastAsia"/>
            <w:lang w:eastAsia="zh-CN"/>
          </w:rPr>
          <w:t>十四、未来计划和展望</w:t>
        </w:r>
        <w:r>
          <w:tab/>
        </w:r>
        <w:r>
          <w:fldChar w:fldCharType="begin"/>
        </w:r>
        <w:r>
          <w:instrText xml:space="preserve"> PAGEREF _Toc16739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6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_Toc22176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7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_Toc25917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798" w:history="1">
        <w:r>
          <w:rPr>
            <w:rFonts w:ascii="仿宋" w:eastAsia="仿宋" w:hAnsi="仿宋" w:cs="仿宋" w:hint="eastAsia"/>
            <w:lang w:eastAsia="zh-CN"/>
          </w:rPr>
          <w:t>十五、法律和合规事项</w:t>
        </w:r>
        <w:r>
          <w:tab/>
        </w:r>
        <w:r>
          <w:fldChar w:fldCharType="begin"/>
        </w:r>
        <w:r>
          <w:instrText xml:space="preserve"> PAGEREF _Toc3798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3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_Toc4203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9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_Toc21629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3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_Toc8713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6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_Toc20366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01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759"/>
      <w:r>
        <w:rPr>
          <w:rFonts w:ascii="仿宋" w:eastAsia="仿宋" w:hAnsi="仿宋" w:cs="仿宋" w:hint="eastAsia"/>
          <w:sz w:val="28"/>
          <w:lang w:eastAsia="zh-CN"/>
        </w:rPr>
        <w:t>一、画具画材项目概况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180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830"/>
      <w:r>
        <w:rPr>
          <w:rFonts w:ascii="仿宋" w:eastAsia="仿宋" w:hAnsi="仿宋" w:cs="仿宋" w:hint="eastAsia"/>
          <w:sz w:val="28"/>
          <w:lang w:eastAsia="zh-CN"/>
        </w:rPr>
        <w:t>(二)、画具画材项目提出的理由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画具画材项目提出的理由可能包括以下几个方面：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市场需求：随着人们对生活品质的追求，对画具画材的需求也在不断增加。市场上对于高品质、符合个性化需求的画具画材需求量大，因此画具画材项目可以满足这一市场需求。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利润空间：画具画材行业的利润空间较大，通过生产和销售高品质的画具画材，可以获得可观的利润。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https://d.book118.com/686243133203010041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画具画材行业相关公司设立可行性研究报告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画具画材行业相关公司设立可行性研究报告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画具画材行业相关公司设立可行性研究报告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画具画材行业相关公司设立可行性研究报告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画具画材行业相关公司设立可行性研究报告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86243133203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2024-01-23T11:06:00Z</dcterms:created>
  <dcterms:modified xsi:type="dcterms:W3CDTF">2024-01-23T11:06:46Z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686D1C4083A5477D867BE4E848FE13DB_11</vt:lpwstr>
  </property>
  <property fmtid="{D5CDD505-2E9C-101B-9397-08002B2CF9AE}" pid="3" name="KSOProductBuildVer">
    <vt:lpwstr>2052-12.1.0.16120</vt:lpwstr>
  </property>
</Properties>
</file>