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生活垃圾焚烧炉行业相关公司筹备报告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(七)、生活垃圾焚烧炉项目建设必要性分析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(一)、生活垃圾焚烧炉项目选址原则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(五)、生活垃圾焚烧炉项目选址综合评价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七、生活垃圾焚烧炉项目风险分析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(一)、生活垃圾焚烧炉项目风险分析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5" w:history="1">
        <w:r>
          <w:rPr>
            <w:rFonts w:ascii="仿宋" w:eastAsia="仿宋" w:hAnsi="仿宋" w:cs="仿宋" w:hint="eastAsia"/>
            <w:lang w:eastAsia="zh-CN"/>
          </w:rPr>
          <w:t>(二)、生活垃圾焚烧炉项目风险对策</w:t>
        </w:r>
        <w:r>
          <w:tab/>
        </w:r>
        <w:r>
          <w:fldChar w:fldCharType="begin"/>
        </w:r>
        <w:r>
          <w:instrText xml:space="preserve"> PAGEREF _Toc4995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(五)、生活垃圾焚烧炉项目总投资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(一)、生活垃圾焚烧炉项目背景分析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(二)、生活垃圾焚烧炉项目建设必要性分析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(一)、社会责任生活垃圾焚烧炉项目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十四、生活垃圾焚烧炉项目总结分析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(二)、合作生活垃圾焚烧炉项目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4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0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https://d.book118.com/687021150064006032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生活垃圾焚烧炉行业相关公司筹备报告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生活垃圾焚烧炉行业相关公司筹备报告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生活垃圾焚烧炉行业相关公司筹备报告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生活垃圾焚烧炉行业相关公司筹备报告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生活垃圾焚烧炉行业相关公司筹备报告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021150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2023-12-30T06:32:00Z</dcterms:created>
  <dcterms:modified xsi:type="dcterms:W3CDTF">2023-12-30T06:32:19Z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BCDBFBBF7DC044378D02B7176683B731_11</vt:lpwstr>
  </property>
  <property fmtid="{D5CDD505-2E9C-101B-9397-08002B2CF9AE}" pid="3" name="KSOProductBuildVer">
    <vt:lpwstr>2052-12.1.0.16120</vt:lpwstr>
  </property>
</Properties>
</file>