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水杨酸锌改性树脂(无碳复写纸显色剂)项目计划设计方案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8" w:history="1">
        <w:r>
          <w:rPr>
            <w:rFonts w:ascii="仿宋" w:eastAsia="仿宋" w:hAnsi="仿宋" w:cs="仿宋" w:hint="eastAsia"/>
            <w:lang w:eastAsia="zh-CN"/>
          </w:rPr>
          <w:t>概论</w:t>
        </w:r>
        <w:r>
          <w:tab/>
        </w:r>
        <w:r>
          <w:fldChar w:fldCharType="begin"/>
        </w:r>
        <w:r>
          <w:instrText xml:space="preserve"> PAGEREF _Toc25928 \h </w:instrText>
        </w:r>
        <w:r>
          <w:fldChar w:fldCharType="separate"/>
        </w:r>
        <w:r>
          <w:t>3</w:t>
        </w:r>
        <w:r>
          <w:fldChar w:fldCharType="end"/>
        </w:r>
      </w:hyperlink>
    </w:p>
    <w:p>
      <w:pPr>
        <w:pStyle w:val="TOC1"/>
        <w:tabs>
          <w:tab w:val="right" w:leader="dot" w:pos="8306"/>
        </w:tabs>
      </w:pPr>
      <w:hyperlink w:anchor="_Toc16735" w:history="1">
        <w:r>
          <w:rPr>
            <w:rFonts w:ascii="仿宋" w:eastAsia="仿宋" w:hAnsi="仿宋" w:cs="仿宋" w:hint="eastAsia"/>
            <w:lang w:eastAsia="zh-CN"/>
          </w:rPr>
          <w:t>一、水杨酸锌改性树脂(无碳复写纸显色剂)项目建设单位说明</w:t>
        </w:r>
        <w:r>
          <w:tab/>
        </w:r>
        <w:r>
          <w:fldChar w:fldCharType="begin"/>
        </w:r>
        <w:r>
          <w:instrText xml:space="preserve"> PAGEREF _Toc16735 \h </w:instrText>
        </w:r>
        <w:r>
          <w:fldChar w:fldCharType="separate"/>
        </w:r>
        <w:r>
          <w:t>3</w:t>
        </w:r>
        <w:r>
          <w:fldChar w:fldCharType="end"/>
        </w:r>
      </w:hyperlink>
    </w:p>
    <w:p>
      <w:pPr>
        <w:pStyle w:val="TOC2"/>
        <w:tabs>
          <w:tab w:val="right" w:leader="dot" w:pos="8306"/>
        </w:tabs>
      </w:pPr>
      <w:hyperlink w:anchor="_Toc12922" w:history="1">
        <w:r>
          <w:rPr>
            <w:rFonts w:ascii="仿宋" w:eastAsia="仿宋" w:hAnsi="仿宋" w:cs="仿宋" w:hint="eastAsia"/>
            <w:lang w:eastAsia="zh-CN"/>
          </w:rPr>
          <w:t>(一)、水杨酸锌改性树脂(无碳复写纸显色剂)项目承办单位基本情况</w:t>
        </w:r>
        <w:r>
          <w:tab/>
        </w:r>
        <w:r>
          <w:fldChar w:fldCharType="begin"/>
        </w:r>
        <w:r>
          <w:instrText xml:space="preserve"> PAGEREF _Toc12922 \h </w:instrText>
        </w:r>
        <w:r>
          <w:fldChar w:fldCharType="separate"/>
        </w:r>
        <w:r>
          <w:t>3</w:t>
        </w:r>
        <w:r>
          <w:fldChar w:fldCharType="end"/>
        </w:r>
      </w:hyperlink>
    </w:p>
    <w:p>
      <w:pPr>
        <w:pStyle w:val="TOC2"/>
        <w:tabs>
          <w:tab w:val="right" w:leader="dot" w:pos="8306"/>
        </w:tabs>
      </w:pPr>
      <w:hyperlink w:anchor="_Toc19576" w:history="1">
        <w:r>
          <w:rPr>
            <w:rFonts w:ascii="仿宋" w:eastAsia="仿宋" w:hAnsi="仿宋" w:cs="仿宋" w:hint="eastAsia"/>
            <w:lang w:eastAsia="zh-CN"/>
          </w:rPr>
          <w:t>(二)、公司经济效益分析</w:t>
        </w:r>
        <w:r>
          <w:tab/>
        </w:r>
        <w:r>
          <w:fldChar w:fldCharType="begin"/>
        </w:r>
        <w:r>
          <w:instrText xml:space="preserve"> PAGEREF _Toc19576 \h </w:instrText>
        </w:r>
        <w:r>
          <w:fldChar w:fldCharType="separate"/>
        </w:r>
        <w:r>
          <w:t>4</w:t>
        </w:r>
        <w:r>
          <w:fldChar w:fldCharType="end"/>
        </w:r>
      </w:hyperlink>
    </w:p>
    <w:p>
      <w:pPr>
        <w:pStyle w:val="TOC1"/>
        <w:tabs>
          <w:tab w:val="right" w:leader="dot" w:pos="8306"/>
        </w:tabs>
      </w:pPr>
      <w:hyperlink w:anchor="_Toc32323" w:history="1">
        <w:r>
          <w:rPr>
            <w:rFonts w:ascii="仿宋" w:eastAsia="仿宋" w:hAnsi="仿宋" w:cs="仿宋" w:hint="eastAsia"/>
            <w:lang w:eastAsia="zh-CN"/>
          </w:rPr>
          <w:t>二、水杨酸锌改性树脂(无碳复写纸显色剂)项目土建工程</w:t>
        </w:r>
        <w:r>
          <w:tab/>
        </w:r>
        <w:r>
          <w:fldChar w:fldCharType="begin"/>
        </w:r>
        <w:r>
          <w:instrText xml:space="preserve"> PAGEREF _Toc32323 \h </w:instrText>
        </w:r>
        <w:r>
          <w:fldChar w:fldCharType="separate"/>
        </w:r>
        <w:r>
          <w:t>5</w:t>
        </w:r>
        <w:r>
          <w:fldChar w:fldCharType="end"/>
        </w:r>
      </w:hyperlink>
    </w:p>
    <w:p>
      <w:pPr>
        <w:pStyle w:val="TOC2"/>
        <w:tabs>
          <w:tab w:val="right" w:leader="dot" w:pos="8306"/>
        </w:tabs>
      </w:pPr>
      <w:hyperlink w:anchor="_Toc21119" w:history="1">
        <w:r>
          <w:rPr>
            <w:rFonts w:ascii="仿宋" w:eastAsia="仿宋" w:hAnsi="仿宋" w:cs="仿宋" w:hint="eastAsia"/>
            <w:lang w:eastAsia="zh-CN"/>
          </w:rPr>
          <w:t>(一)、建筑工程设计原则</w:t>
        </w:r>
        <w:r>
          <w:tab/>
        </w:r>
        <w:r>
          <w:fldChar w:fldCharType="begin"/>
        </w:r>
        <w:r>
          <w:instrText xml:space="preserve"> PAGEREF _Toc21119 \h </w:instrText>
        </w:r>
        <w:r>
          <w:fldChar w:fldCharType="separate"/>
        </w:r>
        <w:r>
          <w:t>5</w:t>
        </w:r>
        <w:r>
          <w:fldChar w:fldCharType="end"/>
        </w:r>
      </w:hyperlink>
    </w:p>
    <w:p>
      <w:pPr>
        <w:pStyle w:val="TOC2"/>
        <w:tabs>
          <w:tab w:val="right" w:leader="dot" w:pos="8306"/>
        </w:tabs>
      </w:pPr>
      <w:hyperlink w:anchor="_Toc7709" w:history="1">
        <w:r>
          <w:rPr>
            <w:rFonts w:ascii="仿宋" w:eastAsia="仿宋" w:hAnsi="仿宋" w:cs="仿宋" w:hint="eastAsia"/>
            <w:lang w:eastAsia="zh-CN"/>
          </w:rPr>
          <w:t>(二)、土建工程设计年限及安全等级</w:t>
        </w:r>
        <w:r>
          <w:tab/>
        </w:r>
        <w:r>
          <w:fldChar w:fldCharType="begin"/>
        </w:r>
        <w:r>
          <w:instrText xml:space="preserve"> PAGEREF _Toc7709 \h </w:instrText>
        </w:r>
        <w:r>
          <w:fldChar w:fldCharType="separate"/>
        </w:r>
        <w:r>
          <w:t>6</w:t>
        </w:r>
        <w:r>
          <w:fldChar w:fldCharType="end"/>
        </w:r>
      </w:hyperlink>
    </w:p>
    <w:p>
      <w:pPr>
        <w:pStyle w:val="TOC2"/>
        <w:tabs>
          <w:tab w:val="right" w:leader="dot" w:pos="8306"/>
        </w:tabs>
      </w:pPr>
      <w:hyperlink w:anchor="_Toc4799" w:history="1">
        <w:r>
          <w:rPr>
            <w:rFonts w:ascii="仿宋" w:eastAsia="仿宋" w:hAnsi="仿宋" w:cs="仿宋" w:hint="eastAsia"/>
            <w:lang w:eastAsia="zh-CN"/>
          </w:rPr>
          <w:t>(三)、建筑工程设计总体要求</w:t>
        </w:r>
        <w:r>
          <w:tab/>
        </w:r>
        <w:r>
          <w:fldChar w:fldCharType="begin"/>
        </w:r>
        <w:r>
          <w:instrText xml:space="preserve"> PAGEREF _Toc4799 \h </w:instrText>
        </w:r>
        <w:r>
          <w:fldChar w:fldCharType="separate"/>
        </w:r>
        <w:r>
          <w:t>7</w:t>
        </w:r>
        <w:r>
          <w:fldChar w:fldCharType="end"/>
        </w:r>
      </w:hyperlink>
    </w:p>
    <w:p>
      <w:pPr>
        <w:pStyle w:val="TOC2"/>
        <w:tabs>
          <w:tab w:val="right" w:leader="dot" w:pos="8306"/>
        </w:tabs>
      </w:pPr>
      <w:hyperlink w:anchor="_Toc23829" w:history="1">
        <w:r>
          <w:rPr>
            <w:rFonts w:ascii="仿宋" w:eastAsia="仿宋" w:hAnsi="仿宋" w:cs="仿宋" w:hint="eastAsia"/>
            <w:lang w:eastAsia="zh-CN"/>
          </w:rPr>
          <w:t>(四)、土建工程建设指标</w:t>
        </w:r>
        <w:r>
          <w:tab/>
        </w:r>
        <w:r>
          <w:fldChar w:fldCharType="begin"/>
        </w:r>
        <w:r>
          <w:instrText xml:space="preserve"> PAGEREF _Toc23829 \h </w:instrText>
        </w:r>
        <w:r>
          <w:fldChar w:fldCharType="separate"/>
        </w:r>
        <w:r>
          <w:t>8</w:t>
        </w:r>
        <w:r>
          <w:fldChar w:fldCharType="end"/>
        </w:r>
      </w:hyperlink>
    </w:p>
    <w:p>
      <w:pPr>
        <w:pStyle w:val="TOC1"/>
        <w:tabs>
          <w:tab w:val="right" w:leader="dot" w:pos="8306"/>
        </w:tabs>
      </w:pPr>
      <w:hyperlink w:anchor="_Toc14670" w:history="1">
        <w:r>
          <w:rPr>
            <w:rFonts w:ascii="仿宋" w:eastAsia="仿宋" w:hAnsi="仿宋" w:cs="仿宋" w:hint="eastAsia"/>
            <w:lang w:eastAsia="zh-CN"/>
          </w:rPr>
          <w:t>三、市场分析、调研</w:t>
        </w:r>
        <w:r>
          <w:tab/>
        </w:r>
        <w:r>
          <w:fldChar w:fldCharType="begin"/>
        </w:r>
        <w:r>
          <w:instrText xml:space="preserve"> PAGEREF _Toc14670 \h </w:instrText>
        </w:r>
        <w:r>
          <w:fldChar w:fldCharType="separate"/>
        </w:r>
        <w:r>
          <w:t>8</w:t>
        </w:r>
        <w:r>
          <w:fldChar w:fldCharType="end"/>
        </w:r>
      </w:hyperlink>
    </w:p>
    <w:p>
      <w:pPr>
        <w:pStyle w:val="TOC2"/>
        <w:tabs>
          <w:tab w:val="right" w:leader="dot" w:pos="8306"/>
        </w:tabs>
      </w:pPr>
      <w:hyperlink w:anchor="_Toc5922" w:history="1">
        <w:r>
          <w:rPr>
            <w:rFonts w:ascii="仿宋" w:eastAsia="仿宋" w:hAnsi="仿宋" w:cs="仿宋" w:hint="eastAsia"/>
            <w:lang w:eastAsia="zh-CN"/>
          </w:rPr>
          <w:t>(一)、水杨酸锌改性树脂(无碳复写纸显色剂)行业分析</w:t>
        </w:r>
        <w:r>
          <w:tab/>
        </w:r>
        <w:r>
          <w:fldChar w:fldCharType="begin"/>
        </w:r>
        <w:r>
          <w:instrText xml:space="preserve"> PAGEREF _Toc5922 \h </w:instrText>
        </w:r>
        <w:r>
          <w:fldChar w:fldCharType="separate"/>
        </w:r>
        <w:r>
          <w:t>8</w:t>
        </w:r>
        <w:r>
          <w:fldChar w:fldCharType="end"/>
        </w:r>
      </w:hyperlink>
    </w:p>
    <w:p>
      <w:pPr>
        <w:pStyle w:val="TOC2"/>
        <w:tabs>
          <w:tab w:val="right" w:leader="dot" w:pos="8306"/>
        </w:tabs>
      </w:pPr>
      <w:hyperlink w:anchor="_Toc31133" w:history="1">
        <w:r>
          <w:rPr>
            <w:rFonts w:ascii="仿宋" w:eastAsia="仿宋" w:hAnsi="仿宋" w:cs="仿宋" w:hint="eastAsia"/>
            <w:lang w:eastAsia="zh-CN"/>
          </w:rPr>
          <w:t>(二)、水杨酸锌改性树脂(无碳复写纸显色剂)市场分析预测</w:t>
        </w:r>
        <w:r>
          <w:tab/>
        </w:r>
        <w:r>
          <w:fldChar w:fldCharType="begin"/>
        </w:r>
        <w:r>
          <w:instrText xml:space="preserve"> PAGEREF _Toc31133 \h </w:instrText>
        </w:r>
        <w:r>
          <w:fldChar w:fldCharType="separate"/>
        </w:r>
        <w:r>
          <w:t>9</w:t>
        </w:r>
        <w:r>
          <w:fldChar w:fldCharType="end"/>
        </w:r>
      </w:hyperlink>
    </w:p>
    <w:p>
      <w:pPr>
        <w:pStyle w:val="TOC1"/>
        <w:tabs>
          <w:tab w:val="right" w:leader="dot" w:pos="8306"/>
        </w:tabs>
      </w:pPr>
      <w:hyperlink w:anchor="_Toc9209" w:history="1">
        <w:r>
          <w:rPr>
            <w:rFonts w:ascii="仿宋" w:eastAsia="仿宋" w:hAnsi="仿宋" w:cs="仿宋" w:hint="eastAsia"/>
            <w:lang w:eastAsia="zh-CN"/>
          </w:rPr>
          <w:t>四、产品规划分析</w:t>
        </w:r>
        <w:r>
          <w:tab/>
        </w:r>
        <w:r>
          <w:fldChar w:fldCharType="begin"/>
        </w:r>
        <w:r>
          <w:instrText xml:space="preserve"> PAGEREF _Toc9209 \h </w:instrText>
        </w:r>
        <w:r>
          <w:fldChar w:fldCharType="separate"/>
        </w:r>
        <w:r>
          <w:t>10</w:t>
        </w:r>
        <w:r>
          <w:fldChar w:fldCharType="end"/>
        </w:r>
      </w:hyperlink>
    </w:p>
    <w:p>
      <w:pPr>
        <w:pStyle w:val="TOC2"/>
        <w:tabs>
          <w:tab w:val="right" w:leader="dot" w:pos="8306"/>
        </w:tabs>
      </w:pPr>
      <w:hyperlink w:anchor="_Toc7785" w:history="1">
        <w:r>
          <w:rPr>
            <w:rFonts w:ascii="仿宋" w:eastAsia="仿宋" w:hAnsi="仿宋" w:cs="仿宋" w:hint="eastAsia"/>
            <w:lang w:eastAsia="zh-CN"/>
          </w:rPr>
          <w:t>(一)、产品规划</w:t>
        </w:r>
        <w:r>
          <w:tab/>
        </w:r>
        <w:r>
          <w:fldChar w:fldCharType="begin"/>
        </w:r>
        <w:r>
          <w:instrText xml:space="preserve"> PAGEREF _Toc7785 \h </w:instrText>
        </w:r>
        <w:r>
          <w:fldChar w:fldCharType="separate"/>
        </w:r>
        <w:r>
          <w:t>10</w:t>
        </w:r>
        <w:r>
          <w:fldChar w:fldCharType="end"/>
        </w:r>
      </w:hyperlink>
    </w:p>
    <w:p>
      <w:pPr>
        <w:pStyle w:val="TOC2"/>
        <w:tabs>
          <w:tab w:val="right" w:leader="dot" w:pos="8306"/>
        </w:tabs>
      </w:pPr>
      <w:hyperlink w:anchor="_Toc13759" w:history="1">
        <w:r>
          <w:rPr>
            <w:rFonts w:ascii="仿宋" w:eastAsia="仿宋" w:hAnsi="仿宋" w:cs="仿宋" w:hint="eastAsia"/>
            <w:lang w:eastAsia="zh-CN"/>
          </w:rPr>
          <w:t>(二)、建设规模</w:t>
        </w:r>
        <w:r>
          <w:tab/>
        </w:r>
        <w:r>
          <w:fldChar w:fldCharType="begin"/>
        </w:r>
        <w:r>
          <w:instrText xml:space="preserve"> PAGEREF _Toc13759 \h </w:instrText>
        </w:r>
        <w:r>
          <w:fldChar w:fldCharType="separate"/>
        </w:r>
        <w:r>
          <w:t>11</w:t>
        </w:r>
        <w:r>
          <w:fldChar w:fldCharType="end"/>
        </w:r>
      </w:hyperlink>
    </w:p>
    <w:p>
      <w:pPr>
        <w:pStyle w:val="TOC1"/>
        <w:tabs>
          <w:tab w:val="right" w:leader="dot" w:pos="8306"/>
        </w:tabs>
      </w:pPr>
      <w:hyperlink w:anchor="_Toc16953" w:history="1">
        <w:r>
          <w:rPr>
            <w:rFonts w:ascii="仿宋" w:eastAsia="仿宋" w:hAnsi="仿宋" w:cs="仿宋" w:hint="eastAsia"/>
            <w:lang w:eastAsia="zh-CN"/>
          </w:rPr>
          <w:t>五、水杨酸锌改性树脂(无碳复写纸显色剂)项目可持续发展</w:t>
        </w:r>
        <w:r>
          <w:tab/>
        </w:r>
        <w:r>
          <w:fldChar w:fldCharType="begin"/>
        </w:r>
        <w:r>
          <w:instrText xml:space="preserve"> PAGEREF _Toc16953 \h </w:instrText>
        </w:r>
        <w:r>
          <w:fldChar w:fldCharType="separate"/>
        </w:r>
        <w:r>
          <w:t>12</w:t>
        </w:r>
        <w:r>
          <w:fldChar w:fldCharType="end"/>
        </w:r>
      </w:hyperlink>
    </w:p>
    <w:p>
      <w:pPr>
        <w:pStyle w:val="TOC2"/>
        <w:tabs>
          <w:tab w:val="right" w:leader="dot" w:pos="8306"/>
        </w:tabs>
      </w:pPr>
      <w:hyperlink w:anchor="_Toc12808" w:history="1">
        <w:r>
          <w:rPr>
            <w:rFonts w:ascii="仿宋" w:eastAsia="仿宋" w:hAnsi="仿宋" w:cs="仿宋" w:hint="eastAsia"/>
            <w:lang w:eastAsia="zh-CN"/>
          </w:rPr>
          <w:t>(一)、可持续战略与实践</w:t>
        </w:r>
        <w:r>
          <w:tab/>
        </w:r>
        <w:r>
          <w:fldChar w:fldCharType="begin"/>
        </w:r>
        <w:r>
          <w:instrText xml:space="preserve"> PAGEREF _Toc12808 \h </w:instrText>
        </w:r>
        <w:r>
          <w:fldChar w:fldCharType="separate"/>
        </w:r>
        <w:r>
          <w:t>12</w:t>
        </w:r>
        <w:r>
          <w:fldChar w:fldCharType="end"/>
        </w:r>
      </w:hyperlink>
    </w:p>
    <w:p>
      <w:pPr>
        <w:pStyle w:val="TOC2"/>
        <w:tabs>
          <w:tab w:val="right" w:leader="dot" w:pos="8306"/>
        </w:tabs>
      </w:pPr>
      <w:hyperlink w:anchor="_Toc15571" w:history="1">
        <w:r>
          <w:rPr>
            <w:rFonts w:ascii="仿宋" w:eastAsia="仿宋" w:hAnsi="仿宋" w:cs="仿宋" w:hint="eastAsia"/>
            <w:lang w:eastAsia="zh-CN"/>
          </w:rPr>
          <w:t>(二)、环保与社会责任</w:t>
        </w:r>
        <w:r>
          <w:tab/>
        </w:r>
        <w:r>
          <w:fldChar w:fldCharType="begin"/>
        </w:r>
        <w:r>
          <w:instrText xml:space="preserve"> PAGEREF _Toc15571 \h </w:instrText>
        </w:r>
        <w:r>
          <w:fldChar w:fldCharType="separate"/>
        </w:r>
        <w:r>
          <w:t>13</w:t>
        </w:r>
        <w:r>
          <w:fldChar w:fldCharType="end"/>
        </w:r>
      </w:hyperlink>
    </w:p>
    <w:p>
      <w:pPr>
        <w:pStyle w:val="TOC1"/>
        <w:tabs>
          <w:tab w:val="right" w:leader="dot" w:pos="8306"/>
        </w:tabs>
      </w:pPr>
      <w:hyperlink w:anchor="_Toc32766" w:history="1">
        <w:r>
          <w:rPr>
            <w:rFonts w:ascii="仿宋" w:eastAsia="仿宋" w:hAnsi="仿宋" w:cs="仿宋" w:hint="eastAsia"/>
            <w:lang w:eastAsia="zh-CN"/>
          </w:rPr>
          <w:t>六、水杨酸锌改性树脂(无碳复写纸显色剂)项目建设背景及必要性分析</w:t>
        </w:r>
        <w:r>
          <w:tab/>
        </w:r>
        <w:r>
          <w:fldChar w:fldCharType="begin"/>
        </w:r>
        <w:r>
          <w:instrText xml:space="preserve"> PAGEREF _Toc32766 \h </w:instrText>
        </w:r>
        <w:r>
          <w:fldChar w:fldCharType="separate"/>
        </w:r>
        <w:r>
          <w:t>15</w:t>
        </w:r>
        <w:r>
          <w:fldChar w:fldCharType="end"/>
        </w:r>
      </w:hyperlink>
    </w:p>
    <w:p>
      <w:pPr>
        <w:pStyle w:val="TOC2"/>
        <w:tabs>
          <w:tab w:val="right" w:leader="dot" w:pos="8306"/>
        </w:tabs>
      </w:pPr>
      <w:hyperlink w:anchor="_Toc30026" w:history="1">
        <w:r>
          <w:rPr>
            <w:rFonts w:ascii="仿宋" w:eastAsia="仿宋" w:hAnsi="仿宋" w:cs="仿宋" w:hint="eastAsia"/>
            <w:lang w:eastAsia="zh-CN"/>
          </w:rPr>
          <w:t>(一)、水杨酸锌改性树脂(无碳复写纸显色剂)项目背景分析</w:t>
        </w:r>
        <w:r>
          <w:tab/>
        </w:r>
        <w:r>
          <w:fldChar w:fldCharType="begin"/>
        </w:r>
        <w:r>
          <w:instrText xml:space="preserve"> PAGEREF _Toc30026 \h </w:instrText>
        </w:r>
        <w:r>
          <w:fldChar w:fldCharType="separate"/>
        </w:r>
        <w:r>
          <w:t>15</w:t>
        </w:r>
        <w:r>
          <w:fldChar w:fldCharType="end"/>
        </w:r>
      </w:hyperlink>
    </w:p>
    <w:p>
      <w:pPr>
        <w:pStyle w:val="TOC2"/>
        <w:tabs>
          <w:tab w:val="right" w:leader="dot" w:pos="8306"/>
        </w:tabs>
      </w:pPr>
      <w:hyperlink w:anchor="_Toc23727" w:history="1">
        <w:r>
          <w:rPr>
            <w:rFonts w:ascii="仿宋" w:eastAsia="仿宋" w:hAnsi="仿宋" w:cs="仿宋" w:hint="eastAsia"/>
            <w:lang w:eastAsia="zh-CN"/>
          </w:rPr>
          <w:t>(二)、水杨酸锌改性树脂(无碳复写纸显色剂)项目建设必要性分析</w:t>
        </w:r>
        <w:r>
          <w:tab/>
        </w:r>
        <w:r>
          <w:fldChar w:fldCharType="begin"/>
        </w:r>
        <w:r>
          <w:instrText xml:space="preserve"> PAGEREF _Toc23727 \h </w:instrText>
        </w:r>
        <w:r>
          <w:fldChar w:fldCharType="separate"/>
        </w:r>
        <w:r>
          <w:t>17</w:t>
        </w:r>
        <w:r>
          <w:fldChar w:fldCharType="end"/>
        </w:r>
      </w:hyperlink>
    </w:p>
    <w:p>
      <w:pPr>
        <w:pStyle w:val="TOC1"/>
        <w:tabs>
          <w:tab w:val="right" w:leader="dot" w:pos="8306"/>
        </w:tabs>
      </w:pPr>
      <w:hyperlink w:anchor="_Toc1431" w:history="1">
        <w:r>
          <w:rPr>
            <w:rFonts w:ascii="仿宋" w:eastAsia="仿宋" w:hAnsi="仿宋" w:cs="仿宋" w:hint="eastAsia"/>
            <w:lang w:eastAsia="zh-CN"/>
          </w:rPr>
          <w:t>七、水杨酸锌改性树脂(无碳复写纸显色剂)项目计划安排</w:t>
        </w:r>
        <w:r>
          <w:tab/>
        </w:r>
        <w:r>
          <w:fldChar w:fldCharType="begin"/>
        </w:r>
        <w:r>
          <w:instrText xml:space="preserve"> PAGEREF _Toc1431 \h </w:instrText>
        </w:r>
        <w:r>
          <w:fldChar w:fldCharType="separate"/>
        </w:r>
        <w:r>
          <w:t>18</w:t>
        </w:r>
        <w:r>
          <w:fldChar w:fldCharType="end"/>
        </w:r>
      </w:hyperlink>
    </w:p>
    <w:p>
      <w:pPr>
        <w:pStyle w:val="TOC2"/>
        <w:tabs>
          <w:tab w:val="right" w:leader="dot" w:pos="8306"/>
        </w:tabs>
      </w:pPr>
      <w:hyperlink w:anchor="_Toc3787" w:history="1">
        <w:r>
          <w:rPr>
            <w:rFonts w:ascii="仿宋" w:eastAsia="仿宋" w:hAnsi="仿宋" w:cs="仿宋" w:hint="eastAsia"/>
            <w:lang w:eastAsia="zh-CN"/>
          </w:rPr>
          <w:t>(一)、建设周期</w:t>
        </w:r>
        <w:r>
          <w:tab/>
        </w:r>
        <w:r>
          <w:fldChar w:fldCharType="begin"/>
        </w:r>
        <w:r>
          <w:instrText xml:space="preserve"> PAGEREF _Toc3787 \h </w:instrText>
        </w:r>
        <w:r>
          <w:fldChar w:fldCharType="separate"/>
        </w:r>
        <w:r>
          <w:t>18</w:t>
        </w:r>
        <w:r>
          <w:fldChar w:fldCharType="end"/>
        </w:r>
      </w:hyperlink>
    </w:p>
    <w:p>
      <w:pPr>
        <w:pStyle w:val="TOC2"/>
        <w:tabs>
          <w:tab w:val="right" w:leader="dot" w:pos="8306"/>
        </w:tabs>
      </w:pPr>
      <w:hyperlink w:anchor="_Toc17369" w:history="1">
        <w:r>
          <w:rPr>
            <w:rFonts w:ascii="仿宋" w:eastAsia="仿宋" w:hAnsi="仿宋" w:cs="仿宋" w:hint="eastAsia"/>
            <w:lang w:eastAsia="zh-CN"/>
          </w:rPr>
          <w:t>(二)、建设进度</w:t>
        </w:r>
        <w:r>
          <w:tab/>
        </w:r>
        <w:r>
          <w:fldChar w:fldCharType="begin"/>
        </w:r>
        <w:r>
          <w:instrText xml:space="preserve"> PAGEREF _Toc17369 \h </w:instrText>
        </w:r>
        <w:r>
          <w:fldChar w:fldCharType="separate"/>
        </w:r>
        <w:r>
          <w:t>19</w:t>
        </w:r>
        <w:r>
          <w:fldChar w:fldCharType="end"/>
        </w:r>
      </w:hyperlink>
    </w:p>
    <w:p>
      <w:pPr>
        <w:pStyle w:val="TOC2"/>
        <w:tabs>
          <w:tab w:val="right" w:leader="dot" w:pos="8306"/>
        </w:tabs>
      </w:pPr>
      <w:hyperlink w:anchor="_Toc23903" w:history="1">
        <w:r>
          <w:rPr>
            <w:rFonts w:ascii="仿宋" w:eastAsia="仿宋" w:hAnsi="仿宋" w:cs="仿宋" w:hint="eastAsia"/>
            <w:lang w:eastAsia="zh-CN"/>
          </w:rPr>
          <w:t>(三)、进度安排注意事项</w:t>
        </w:r>
        <w:r>
          <w:tab/>
        </w:r>
        <w:r>
          <w:fldChar w:fldCharType="begin"/>
        </w:r>
        <w:r>
          <w:instrText xml:space="preserve"> PAGEREF _Toc23903 \h </w:instrText>
        </w:r>
        <w:r>
          <w:fldChar w:fldCharType="separate"/>
        </w:r>
        <w:r>
          <w:t>20</w:t>
        </w:r>
        <w:r>
          <w:fldChar w:fldCharType="end"/>
        </w:r>
      </w:hyperlink>
    </w:p>
    <w:p>
      <w:pPr>
        <w:pStyle w:val="TOC2"/>
        <w:tabs>
          <w:tab w:val="right" w:leader="dot" w:pos="8306"/>
        </w:tabs>
      </w:pPr>
      <w:hyperlink w:anchor="_Toc9902" w:history="1">
        <w:r>
          <w:rPr>
            <w:rFonts w:ascii="仿宋" w:eastAsia="仿宋" w:hAnsi="仿宋" w:cs="仿宋" w:hint="eastAsia"/>
            <w:lang w:eastAsia="zh-CN"/>
          </w:rPr>
          <w:t>(四)、人力资源配置</w:t>
        </w:r>
        <w:r>
          <w:tab/>
        </w:r>
        <w:r>
          <w:fldChar w:fldCharType="begin"/>
        </w:r>
        <w:r>
          <w:instrText xml:space="preserve"> PAGEREF _Toc9902 \h </w:instrText>
        </w:r>
        <w:r>
          <w:fldChar w:fldCharType="separate"/>
        </w:r>
        <w:r>
          <w:t>22</w:t>
        </w:r>
        <w:r>
          <w:fldChar w:fldCharType="end"/>
        </w:r>
      </w:hyperlink>
    </w:p>
    <w:p>
      <w:pPr>
        <w:pStyle w:val="TOC1"/>
        <w:tabs>
          <w:tab w:val="right" w:leader="dot" w:pos="8306"/>
        </w:tabs>
      </w:pPr>
      <w:hyperlink w:anchor="_Toc2379" w:history="1">
        <w:r>
          <w:rPr>
            <w:rFonts w:ascii="仿宋" w:eastAsia="仿宋" w:hAnsi="仿宋" w:cs="仿宋" w:hint="eastAsia"/>
            <w:lang w:eastAsia="zh-CN"/>
          </w:rPr>
          <w:t>八、生产安全保护</w:t>
        </w:r>
        <w:r>
          <w:tab/>
        </w:r>
        <w:r>
          <w:fldChar w:fldCharType="begin"/>
        </w:r>
        <w:r>
          <w:instrText xml:space="preserve"> PAGEREF _Toc2379 \h </w:instrText>
        </w:r>
        <w:r>
          <w:fldChar w:fldCharType="separate"/>
        </w:r>
        <w:r>
          <w:t>23</w:t>
        </w:r>
        <w:r>
          <w:fldChar w:fldCharType="end"/>
        </w:r>
      </w:hyperlink>
    </w:p>
    <w:p>
      <w:pPr>
        <w:pStyle w:val="TOC2"/>
        <w:tabs>
          <w:tab w:val="right" w:leader="dot" w:pos="8306"/>
        </w:tabs>
      </w:pPr>
      <w:hyperlink w:anchor="_Toc25927" w:history="1">
        <w:r>
          <w:rPr>
            <w:rFonts w:ascii="仿宋" w:eastAsia="仿宋" w:hAnsi="仿宋" w:cs="仿宋" w:hint="eastAsia"/>
            <w:lang w:eastAsia="zh-CN"/>
          </w:rPr>
          <w:t>(一)、消防安全</w:t>
        </w:r>
        <w:r>
          <w:tab/>
        </w:r>
        <w:r>
          <w:fldChar w:fldCharType="begin"/>
        </w:r>
        <w:r>
          <w:instrText xml:space="preserve"> PAGEREF _Toc25927 \h </w:instrText>
        </w:r>
        <w:r>
          <w:fldChar w:fldCharType="separate"/>
        </w:r>
        <w:r>
          <w:t>23</w:t>
        </w:r>
        <w:r>
          <w:fldChar w:fldCharType="end"/>
        </w:r>
      </w:hyperlink>
    </w:p>
    <w:p>
      <w:pPr>
        <w:pStyle w:val="TOC2"/>
        <w:tabs>
          <w:tab w:val="right" w:leader="dot" w:pos="8306"/>
        </w:tabs>
      </w:pPr>
      <w:hyperlink w:anchor="_Toc18310" w:history="1">
        <w:r>
          <w:rPr>
            <w:rFonts w:ascii="仿宋" w:eastAsia="仿宋" w:hAnsi="仿宋" w:cs="仿宋" w:hint="eastAsia"/>
            <w:lang w:eastAsia="zh-CN"/>
          </w:rPr>
          <w:t>(二)、防火防爆总图布置措施</w:t>
        </w:r>
        <w:r>
          <w:tab/>
        </w:r>
        <w:r>
          <w:fldChar w:fldCharType="begin"/>
        </w:r>
        <w:r>
          <w:instrText xml:space="preserve"> PAGEREF _Toc18310 \h </w:instrText>
        </w:r>
        <w:r>
          <w:fldChar w:fldCharType="separate"/>
        </w:r>
        <w:r>
          <w:t>25</w:t>
        </w:r>
        <w:r>
          <w:fldChar w:fldCharType="end"/>
        </w:r>
      </w:hyperlink>
    </w:p>
    <w:p>
      <w:pPr>
        <w:pStyle w:val="TOC2"/>
        <w:tabs>
          <w:tab w:val="right" w:leader="dot" w:pos="8306"/>
        </w:tabs>
      </w:pPr>
      <w:hyperlink w:anchor="_Toc31010" w:history="1">
        <w:r>
          <w:rPr>
            <w:rFonts w:ascii="仿宋" w:eastAsia="仿宋" w:hAnsi="仿宋" w:cs="仿宋" w:hint="eastAsia"/>
            <w:lang w:eastAsia="zh-CN"/>
          </w:rPr>
          <w:t>(三)、自然灾害防范措施</w:t>
        </w:r>
        <w:r>
          <w:tab/>
        </w:r>
        <w:r>
          <w:fldChar w:fldCharType="begin"/>
        </w:r>
        <w:r>
          <w:instrText xml:space="preserve"> PAGEREF _Toc31010 \h </w:instrText>
        </w:r>
        <w:r>
          <w:fldChar w:fldCharType="separate"/>
        </w:r>
        <w:r>
          <w:t>26</w:t>
        </w:r>
        <w:r>
          <w:fldChar w:fldCharType="end"/>
        </w:r>
      </w:hyperlink>
    </w:p>
    <w:p>
      <w:pPr>
        <w:pStyle w:val="TOC2"/>
        <w:tabs>
          <w:tab w:val="right" w:leader="dot" w:pos="8306"/>
        </w:tabs>
      </w:pPr>
      <w:hyperlink w:anchor="_Toc27248" w:history="1">
        <w:r>
          <w:rPr>
            <w:rFonts w:ascii="仿宋" w:eastAsia="仿宋" w:hAnsi="仿宋" w:cs="仿宋" w:hint="eastAsia"/>
            <w:lang w:eastAsia="zh-CN"/>
          </w:rPr>
          <w:t>(四)、安全色及安全标志使用要求</w:t>
        </w:r>
        <w:r>
          <w:tab/>
        </w:r>
        <w:r>
          <w:fldChar w:fldCharType="begin"/>
        </w:r>
        <w:r>
          <w:instrText xml:space="preserve"> PAGEREF _Toc27248 \h </w:instrText>
        </w:r>
        <w:r>
          <w:fldChar w:fldCharType="separate"/>
        </w:r>
        <w:r>
          <w:t>27</w:t>
        </w:r>
        <w:r>
          <w:fldChar w:fldCharType="end"/>
        </w:r>
      </w:hyperlink>
    </w:p>
    <w:p>
      <w:pPr>
        <w:pStyle w:val="TOC2"/>
        <w:tabs>
          <w:tab w:val="right" w:leader="dot" w:pos="8306"/>
        </w:tabs>
      </w:pPr>
      <w:hyperlink w:anchor="_Toc5777" w:history="1">
        <w:r>
          <w:rPr>
            <w:rFonts w:ascii="仿宋" w:eastAsia="仿宋" w:hAnsi="仿宋" w:cs="仿宋" w:hint="eastAsia"/>
            <w:lang w:eastAsia="zh-CN"/>
          </w:rPr>
          <w:t>(五)、防尘防毒措施</w:t>
        </w:r>
        <w:r>
          <w:tab/>
        </w:r>
        <w:r>
          <w:fldChar w:fldCharType="begin"/>
        </w:r>
        <w:r>
          <w:instrText xml:space="preserve"> PAGEREF _Toc5777 \h </w:instrText>
        </w:r>
        <w:r>
          <w:fldChar w:fldCharType="separate"/>
        </w:r>
        <w:r>
          <w:t>28</w:t>
        </w:r>
        <w:r>
          <w:fldChar w:fldCharType="end"/>
        </w:r>
      </w:hyperlink>
    </w:p>
    <w:p>
      <w:pPr>
        <w:pStyle w:val="TOC2"/>
        <w:tabs>
          <w:tab w:val="right" w:leader="dot" w:pos="8306"/>
        </w:tabs>
      </w:pPr>
      <w:hyperlink w:anchor="_Toc6847" w:history="1">
        <w:r>
          <w:rPr>
            <w:rFonts w:ascii="仿宋" w:eastAsia="仿宋" w:hAnsi="仿宋" w:cs="仿宋" w:hint="eastAsia"/>
            <w:lang w:eastAsia="zh-CN"/>
          </w:rPr>
          <w:t>(六)、防静电、触电防护及防雷措施</w:t>
        </w:r>
        <w:r>
          <w:tab/>
        </w:r>
        <w:r>
          <w:fldChar w:fldCharType="begin"/>
        </w:r>
        <w:r>
          <w:instrText xml:space="preserve"> PAGEREF _Toc6847 \h </w:instrText>
        </w:r>
        <w:r>
          <w:fldChar w:fldCharType="separate"/>
        </w:r>
        <w:r>
          <w:t>30</w:t>
        </w:r>
        <w:r>
          <w:fldChar w:fldCharType="end"/>
        </w:r>
      </w:hyperlink>
    </w:p>
    <w:p>
      <w:pPr>
        <w:pStyle w:val="TOC2"/>
        <w:tabs>
          <w:tab w:val="right" w:leader="dot" w:pos="8306"/>
        </w:tabs>
      </w:pPr>
      <w:hyperlink w:anchor="_Toc6772" w:history="1">
        <w:r>
          <w:rPr>
            <w:rFonts w:ascii="仿宋" w:eastAsia="仿宋" w:hAnsi="仿宋" w:cs="仿宋" w:hint="eastAsia"/>
            <w:lang w:eastAsia="zh-CN"/>
          </w:rPr>
          <w:t>(七)、机械设备安全保障措施</w:t>
        </w:r>
        <w:r>
          <w:tab/>
        </w:r>
        <w:r>
          <w:fldChar w:fldCharType="begin"/>
        </w:r>
        <w:r>
          <w:instrText xml:space="preserve"> PAGEREF _Toc6772 \h </w:instrText>
        </w:r>
        <w:r>
          <w:fldChar w:fldCharType="separate"/>
        </w:r>
        <w:r>
          <w:t>31</w:t>
        </w:r>
        <w:r>
          <w:fldChar w:fldCharType="end"/>
        </w:r>
      </w:hyperlink>
    </w:p>
    <w:p>
      <w:pPr>
        <w:pStyle w:val="TOC1"/>
        <w:tabs>
          <w:tab w:val="right" w:leader="dot" w:pos="8306"/>
        </w:tabs>
      </w:pPr>
      <w:hyperlink w:anchor="_Toc17611" w:history="1">
        <w:r>
          <w:rPr>
            <w:rFonts w:ascii="仿宋" w:eastAsia="仿宋" w:hAnsi="仿宋" w:cs="仿宋" w:hint="eastAsia"/>
            <w:lang w:eastAsia="zh-CN"/>
          </w:rPr>
          <w:t>九、水杨酸锌改性树脂(无碳复写纸显色剂)项目技术管理</w:t>
        </w:r>
        <w:r>
          <w:tab/>
        </w:r>
        <w:r>
          <w:fldChar w:fldCharType="begin"/>
        </w:r>
        <w:r>
          <w:instrText xml:space="preserve"> PAGEREF _Toc17611 \h </w:instrText>
        </w:r>
        <w:r>
          <w:fldChar w:fldCharType="separate"/>
        </w:r>
        <w:r>
          <w:t>33</w:t>
        </w:r>
        <w:r>
          <w:fldChar w:fldCharType="end"/>
        </w:r>
      </w:hyperlink>
    </w:p>
    <w:p>
      <w:pPr>
        <w:pStyle w:val="TOC2"/>
        <w:tabs>
          <w:tab w:val="right" w:leader="dot" w:pos="8306"/>
        </w:tabs>
      </w:pPr>
      <w:hyperlink w:anchor="_Toc7891" w:history="1">
        <w:r>
          <w:rPr>
            <w:rFonts w:ascii="仿宋" w:eastAsia="仿宋" w:hAnsi="仿宋" w:cs="仿宋" w:hint="eastAsia"/>
            <w:lang w:eastAsia="zh-CN"/>
          </w:rPr>
          <w:t>(一)、技术方案选用方向</w:t>
        </w:r>
        <w:r>
          <w:tab/>
        </w:r>
        <w:r>
          <w:fldChar w:fldCharType="begin"/>
        </w:r>
        <w:r>
          <w:instrText xml:space="preserve"> PAGEREF _Toc7891 \h </w:instrText>
        </w:r>
        <w:r>
          <w:fldChar w:fldCharType="separate"/>
        </w:r>
        <w:r>
          <w:t>33</w:t>
        </w:r>
        <w:r>
          <w:fldChar w:fldCharType="end"/>
        </w:r>
      </w:hyperlink>
    </w:p>
    <w:p>
      <w:pPr>
        <w:pStyle w:val="TOC2"/>
        <w:tabs>
          <w:tab w:val="right" w:leader="dot" w:pos="8306"/>
        </w:tabs>
      </w:pPr>
      <w:hyperlink w:anchor="_Toc17733" w:history="1">
        <w:r>
          <w:rPr>
            <w:rFonts w:ascii="仿宋" w:eastAsia="仿宋" w:hAnsi="仿宋" w:cs="仿宋" w:hint="eastAsia"/>
            <w:lang w:eastAsia="zh-CN"/>
          </w:rPr>
          <w:t>(二)、工艺技术方案选用原则</w:t>
        </w:r>
        <w:r>
          <w:tab/>
        </w:r>
        <w:r>
          <w:fldChar w:fldCharType="begin"/>
        </w:r>
        <w:r>
          <w:instrText xml:space="preserve"> PAGEREF _Toc17733 \h </w:instrText>
        </w:r>
        <w:r>
          <w:fldChar w:fldCharType="separate"/>
        </w:r>
        <w:r>
          <w:t>35</w:t>
        </w:r>
        <w:r>
          <w:fldChar w:fldCharType="end"/>
        </w:r>
      </w:hyperlink>
    </w:p>
    <w:p>
      <w:pPr>
        <w:pStyle w:val="TOC2"/>
        <w:tabs>
          <w:tab w:val="right" w:leader="dot" w:pos="8306"/>
        </w:tabs>
      </w:pPr>
      <w:hyperlink w:anchor="_Toc13628" w:history="1">
        <w:r>
          <w:rPr>
            <w:rFonts w:ascii="仿宋" w:eastAsia="仿宋" w:hAnsi="仿宋" w:cs="仿宋" w:hint="eastAsia"/>
            <w:lang w:eastAsia="zh-CN"/>
          </w:rPr>
          <w:t>(三)、工艺技术方案要求</w:t>
        </w:r>
        <w:r>
          <w:tab/>
        </w:r>
        <w:r>
          <w:fldChar w:fldCharType="begin"/>
        </w:r>
        <w:r>
          <w:instrText xml:space="preserve"> PAGEREF _Toc13628 \h </w:instrText>
        </w:r>
        <w:r>
          <w:fldChar w:fldCharType="separate"/>
        </w:r>
        <w:r>
          <w:t>37</w:t>
        </w:r>
        <w:r>
          <w:fldChar w:fldCharType="end"/>
        </w:r>
      </w:hyperlink>
    </w:p>
    <w:p>
      <w:pPr>
        <w:pStyle w:val="TOC1"/>
        <w:tabs>
          <w:tab w:val="right" w:leader="dot" w:pos="8306"/>
        </w:tabs>
      </w:pPr>
      <w:hyperlink w:anchor="_Toc30881" w:history="1">
        <w:r>
          <w:rPr>
            <w:rFonts w:ascii="仿宋" w:eastAsia="仿宋" w:hAnsi="仿宋" w:cs="仿宋" w:hint="eastAsia"/>
            <w:lang w:eastAsia="zh-CN"/>
          </w:rPr>
          <w:t>十、水杨酸锌改性树脂(无碳复写纸显色剂)项目人力资源培养与发展</w:t>
        </w:r>
        <w:r>
          <w:tab/>
        </w:r>
        <w:r>
          <w:fldChar w:fldCharType="begin"/>
        </w:r>
        <w:r>
          <w:instrText xml:space="preserve"> PAGEREF _Toc30881 \h </w:instrText>
        </w:r>
        <w:r>
          <w:fldChar w:fldCharType="separate"/>
        </w:r>
        <w:r>
          <w:t>39</w:t>
        </w:r>
        <w:r>
          <w:fldChar w:fldCharType="end"/>
        </w:r>
      </w:hyperlink>
    </w:p>
    <w:p>
      <w:pPr>
        <w:pStyle w:val="TOC2"/>
        <w:tabs>
          <w:tab w:val="right" w:leader="dot" w:pos="8306"/>
        </w:tabs>
      </w:pPr>
      <w:hyperlink w:anchor="_Toc32011" w:history="1">
        <w:r>
          <w:rPr>
            <w:rFonts w:ascii="仿宋" w:eastAsia="仿宋" w:hAnsi="仿宋" w:cs="仿宋" w:hint="eastAsia"/>
            <w:lang w:eastAsia="zh-CN"/>
          </w:rPr>
          <w:t>(一)、人才需求与规划</w:t>
        </w:r>
        <w:r>
          <w:tab/>
        </w:r>
        <w:r>
          <w:fldChar w:fldCharType="begin"/>
        </w:r>
        <w:r>
          <w:instrText xml:space="preserve"> PAGEREF _Toc32011 \h </w:instrText>
        </w:r>
        <w:r>
          <w:fldChar w:fldCharType="separate"/>
        </w:r>
        <w:r>
          <w:t>39</w:t>
        </w:r>
        <w:r>
          <w:fldChar w:fldCharType="end"/>
        </w:r>
      </w:hyperlink>
    </w:p>
    <w:p>
      <w:pPr>
        <w:pStyle w:val="TOC2"/>
        <w:tabs>
          <w:tab w:val="right" w:leader="dot" w:pos="8306"/>
        </w:tabs>
      </w:pPr>
      <w:hyperlink w:anchor="_Toc10926" w:history="1">
        <w:r>
          <w:rPr>
            <w:rFonts w:ascii="仿宋" w:eastAsia="仿宋" w:hAnsi="仿宋" w:cs="仿宋" w:hint="eastAsia"/>
            <w:lang w:eastAsia="zh-CN"/>
          </w:rPr>
          <w:t>(二)、培训与发展计划</w:t>
        </w:r>
        <w:r>
          <w:tab/>
        </w:r>
        <w:r>
          <w:fldChar w:fldCharType="begin"/>
        </w:r>
        <w:r>
          <w:instrText xml:space="preserve"> PAGEREF _Toc10926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1" w:history="1">
        <w:r>
          <w:rPr>
            <w:rFonts w:ascii="仿宋" w:eastAsia="仿宋" w:hAnsi="仿宋" w:cs="仿宋" w:hint="eastAsia"/>
            <w:lang w:eastAsia="zh-CN"/>
          </w:rPr>
          <w:t>十一、水杨酸锌改性树脂(无碳复写纸显色剂)项目经营效益</w:t>
        </w:r>
        <w:r>
          <w:tab/>
        </w:r>
        <w:r>
          <w:fldChar w:fldCharType="begin"/>
        </w:r>
        <w:r>
          <w:instrText xml:space="preserve"> PAGEREF _Toc15631 \h </w:instrText>
        </w:r>
        <w:r>
          <w:fldChar w:fldCharType="separate"/>
        </w:r>
        <w:r>
          <w:t>41</w:t>
        </w:r>
        <w:r>
          <w:fldChar w:fldCharType="end"/>
        </w:r>
      </w:hyperlink>
    </w:p>
    <w:p>
      <w:pPr>
        <w:pStyle w:val="TOC2"/>
        <w:tabs>
          <w:tab w:val="right" w:leader="dot" w:pos="8306"/>
        </w:tabs>
      </w:pPr>
      <w:hyperlink w:anchor="_Toc4160" w:history="1">
        <w:r>
          <w:rPr>
            <w:rFonts w:ascii="仿宋" w:eastAsia="仿宋" w:hAnsi="仿宋" w:cs="仿宋" w:hint="eastAsia"/>
            <w:lang w:eastAsia="zh-CN"/>
          </w:rPr>
          <w:t>(一)、经济评价财务测算</w:t>
        </w:r>
        <w:r>
          <w:tab/>
        </w:r>
        <w:r>
          <w:fldChar w:fldCharType="begin"/>
        </w:r>
        <w:r>
          <w:instrText xml:space="preserve"> PAGEREF _Toc4160 \h </w:instrText>
        </w:r>
        <w:r>
          <w:fldChar w:fldCharType="separate"/>
        </w:r>
        <w:r>
          <w:t>41</w:t>
        </w:r>
        <w:r>
          <w:fldChar w:fldCharType="end"/>
        </w:r>
      </w:hyperlink>
    </w:p>
    <w:p>
      <w:pPr>
        <w:pStyle w:val="TOC2"/>
        <w:tabs>
          <w:tab w:val="right" w:leader="dot" w:pos="8306"/>
        </w:tabs>
      </w:pPr>
      <w:hyperlink w:anchor="_Toc8992" w:history="1">
        <w:r>
          <w:rPr>
            <w:rFonts w:ascii="仿宋" w:eastAsia="仿宋" w:hAnsi="仿宋" w:cs="仿宋" w:hint="eastAsia"/>
            <w:lang w:eastAsia="zh-CN"/>
          </w:rPr>
          <w:t>(二)、水杨酸锌改性树脂(无碳复写纸显色剂)项目盈利能力分析</w:t>
        </w:r>
        <w:r>
          <w:tab/>
        </w:r>
        <w:r>
          <w:fldChar w:fldCharType="begin"/>
        </w:r>
        <w:r>
          <w:instrText xml:space="preserve"> PAGEREF _Toc8992 \h </w:instrText>
        </w:r>
        <w:r>
          <w:fldChar w:fldCharType="separate"/>
        </w:r>
        <w:r>
          <w:t>42</w:t>
        </w:r>
        <w:r>
          <w:fldChar w:fldCharType="end"/>
        </w:r>
      </w:hyperlink>
    </w:p>
    <w:p>
      <w:pPr>
        <w:pStyle w:val="TOC1"/>
        <w:tabs>
          <w:tab w:val="right" w:leader="dot" w:pos="8306"/>
        </w:tabs>
      </w:pPr>
      <w:hyperlink w:anchor="_Toc726" w:history="1">
        <w:r>
          <w:rPr>
            <w:rFonts w:ascii="仿宋" w:eastAsia="仿宋" w:hAnsi="仿宋" w:cs="仿宋" w:hint="eastAsia"/>
            <w:lang w:eastAsia="zh-CN"/>
          </w:rPr>
          <w:t>十二、水杨酸锌改性树脂(无碳复写纸显色剂)项目人力资源管理</w:t>
        </w:r>
        <w:r>
          <w:tab/>
        </w:r>
        <w:r>
          <w:fldChar w:fldCharType="begin"/>
        </w:r>
        <w:r>
          <w:instrText xml:space="preserve"> PAGEREF _Toc726 \h </w:instrText>
        </w:r>
        <w:r>
          <w:fldChar w:fldCharType="separate"/>
        </w:r>
        <w:r>
          <w:t>43</w:t>
        </w:r>
        <w:r>
          <w:fldChar w:fldCharType="end"/>
        </w:r>
      </w:hyperlink>
    </w:p>
    <w:p>
      <w:pPr>
        <w:pStyle w:val="TOC2"/>
        <w:tabs>
          <w:tab w:val="right" w:leader="dot" w:pos="8306"/>
        </w:tabs>
      </w:pPr>
      <w:hyperlink w:anchor="_Toc8613" w:history="1">
        <w:r>
          <w:rPr>
            <w:rFonts w:ascii="仿宋" w:eastAsia="仿宋" w:hAnsi="仿宋" w:cs="仿宋" w:hint="eastAsia"/>
            <w:lang w:eastAsia="zh-CN"/>
          </w:rPr>
          <w:t>(一)、建立健全的预算管理制度</w:t>
        </w:r>
        <w:r>
          <w:tab/>
        </w:r>
        <w:r>
          <w:fldChar w:fldCharType="begin"/>
        </w:r>
        <w:r>
          <w:instrText xml:space="preserve"> PAGEREF _Toc8613 \h </w:instrText>
        </w:r>
        <w:r>
          <w:fldChar w:fldCharType="separate"/>
        </w:r>
        <w:r>
          <w:t>43</w:t>
        </w:r>
        <w:r>
          <w:fldChar w:fldCharType="end"/>
        </w:r>
      </w:hyperlink>
    </w:p>
    <w:p>
      <w:pPr>
        <w:pStyle w:val="TOC2"/>
        <w:tabs>
          <w:tab w:val="right" w:leader="dot" w:pos="8306"/>
        </w:tabs>
      </w:pPr>
      <w:hyperlink w:anchor="_Toc13971" w:history="1">
        <w:r>
          <w:rPr>
            <w:rFonts w:ascii="仿宋" w:eastAsia="仿宋" w:hAnsi="仿宋" w:cs="仿宋" w:hint="eastAsia"/>
            <w:lang w:eastAsia="zh-CN"/>
          </w:rPr>
          <w:t>(二)、加强资金流动监控</w:t>
        </w:r>
        <w:r>
          <w:tab/>
        </w:r>
        <w:r>
          <w:fldChar w:fldCharType="begin"/>
        </w:r>
        <w:r>
          <w:instrText xml:space="preserve"> PAGEREF _Toc13971 \h </w:instrText>
        </w:r>
        <w:r>
          <w:fldChar w:fldCharType="separate"/>
        </w:r>
        <w:r>
          <w:t>45</w:t>
        </w:r>
        <w:r>
          <w:fldChar w:fldCharType="end"/>
        </w:r>
      </w:hyperlink>
    </w:p>
    <w:p>
      <w:pPr>
        <w:pStyle w:val="TOC2"/>
        <w:tabs>
          <w:tab w:val="right" w:leader="dot" w:pos="8306"/>
        </w:tabs>
      </w:pPr>
      <w:hyperlink w:anchor="_Toc25123" w:history="1">
        <w:r>
          <w:rPr>
            <w:rFonts w:ascii="仿宋" w:eastAsia="仿宋" w:hAnsi="仿宋" w:cs="仿宋" w:hint="eastAsia"/>
            <w:lang w:eastAsia="zh-CN"/>
          </w:rPr>
          <w:t>(三)、制定完善的风险控制机制</w:t>
        </w:r>
        <w:r>
          <w:tab/>
        </w:r>
        <w:r>
          <w:fldChar w:fldCharType="begin"/>
        </w:r>
        <w:r>
          <w:instrText xml:space="preserve"> PAGEREF _Toc25123 \h </w:instrText>
        </w:r>
        <w:r>
          <w:fldChar w:fldCharType="separate"/>
        </w:r>
        <w:r>
          <w:t>46</w:t>
        </w:r>
        <w:r>
          <w:fldChar w:fldCharType="end"/>
        </w:r>
      </w:hyperlink>
    </w:p>
    <w:p>
      <w:pPr>
        <w:pStyle w:val="TOC2"/>
        <w:tabs>
          <w:tab w:val="right" w:leader="dot" w:pos="8306"/>
        </w:tabs>
      </w:pPr>
      <w:hyperlink w:anchor="_Toc9497" w:history="1">
        <w:r>
          <w:rPr>
            <w:rFonts w:ascii="仿宋" w:eastAsia="仿宋" w:hAnsi="仿宋" w:cs="仿宋" w:hint="eastAsia"/>
            <w:lang w:eastAsia="zh-CN"/>
          </w:rPr>
          <w:t>(四)、优化成本管理</w:t>
        </w:r>
        <w:r>
          <w:tab/>
        </w:r>
        <w:r>
          <w:fldChar w:fldCharType="begin"/>
        </w:r>
        <w:r>
          <w:instrText xml:space="preserve"> PAGEREF _Toc9497 \h </w:instrText>
        </w:r>
        <w:r>
          <w:fldChar w:fldCharType="separate"/>
        </w:r>
        <w:r>
          <w:t>48</w:t>
        </w:r>
        <w:r>
          <w:fldChar w:fldCharType="end"/>
        </w:r>
      </w:hyperlink>
    </w:p>
    <w:p>
      <w:pPr>
        <w:pStyle w:val="TOC1"/>
        <w:tabs>
          <w:tab w:val="right" w:leader="dot" w:pos="8306"/>
        </w:tabs>
      </w:pPr>
      <w:hyperlink w:anchor="_Toc15675" w:history="1">
        <w:r>
          <w:rPr>
            <w:rFonts w:ascii="仿宋" w:eastAsia="仿宋" w:hAnsi="仿宋" w:cs="仿宋" w:hint="eastAsia"/>
            <w:lang w:eastAsia="zh-CN"/>
          </w:rPr>
          <w:t>十三、水杨酸锌改性树脂(无碳复写纸显色剂)项目实施保障措施</w:t>
        </w:r>
        <w:r>
          <w:tab/>
        </w:r>
        <w:r>
          <w:fldChar w:fldCharType="begin"/>
        </w:r>
        <w:r>
          <w:instrText xml:space="preserve"> PAGEREF _Toc15675 \h </w:instrText>
        </w:r>
        <w:r>
          <w:fldChar w:fldCharType="separate"/>
        </w:r>
        <w:r>
          <w:t>50</w:t>
        </w:r>
        <w:r>
          <w:fldChar w:fldCharType="end"/>
        </w:r>
      </w:hyperlink>
    </w:p>
    <w:p>
      <w:pPr>
        <w:pStyle w:val="TOC2"/>
        <w:tabs>
          <w:tab w:val="right" w:leader="dot" w:pos="8306"/>
        </w:tabs>
      </w:pPr>
      <w:hyperlink w:anchor="_Toc31733" w:history="1">
        <w:r>
          <w:rPr>
            <w:rFonts w:ascii="仿宋" w:eastAsia="仿宋" w:hAnsi="仿宋" w:cs="仿宋" w:hint="eastAsia"/>
            <w:lang w:eastAsia="zh-CN"/>
          </w:rPr>
          <w:t>(一)、水杨酸锌改性树脂(无碳复写纸显色剂)项目实施保障机制</w:t>
        </w:r>
        <w:r>
          <w:tab/>
        </w:r>
        <w:r>
          <w:fldChar w:fldCharType="begin"/>
        </w:r>
        <w:r>
          <w:instrText xml:space="preserve"> PAGEREF _Toc31733 \h </w:instrText>
        </w:r>
        <w:r>
          <w:fldChar w:fldCharType="separate"/>
        </w:r>
        <w:r>
          <w:t>50</w:t>
        </w:r>
        <w:r>
          <w:fldChar w:fldCharType="end"/>
        </w:r>
      </w:hyperlink>
    </w:p>
    <w:p>
      <w:pPr>
        <w:pStyle w:val="TOC2"/>
        <w:tabs>
          <w:tab w:val="right" w:leader="dot" w:pos="8306"/>
        </w:tabs>
      </w:pPr>
      <w:hyperlink w:anchor="_Toc27604" w:history="1">
        <w:r>
          <w:rPr>
            <w:rFonts w:ascii="仿宋" w:eastAsia="仿宋" w:hAnsi="仿宋" w:cs="仿宋" w:hint="eastAsia"/>
            <w:lang w:eastAsia="zh-CN"/>
          </w:rPr>
          <w:t>(二)、水杨酸锌改性树脂(无碳复写纸显色剂)项目法律合规要求</w:t>
        </w:r>
        <w:r>
          <w:tab/>
        </w:r>
        <w:r>
          <w:fldChar w:fldCharType="begin"/>
        </w:r>
        <w:r>
          <w:instrText xml:space="preserve"> PAGEREF _Toc27604 \h </w:instrText>
        </w:r>
        <w:r>
          <w:fldChar w:fldCharType="separate"/>
        </w:r>
        <w:r>
          <w:t>54</w:t>
        </w:r>
        <w:r>
          <w:fldChar w:fldCharType="end"/>
        </w:r>
      </w:hyperlink>
    </w:p>
    <w:p>
      <w:pPr>
        <w:pStyle w:val="TOC2"/>
        <w:tabs>
          <w:tab w:val="right" w:leader="dot" w:pos="8306"/>
        </w:tabs>
      </w:pPr>
      <w:hyperlink w:anchor="_Toc5061" w:history="1">
        <w:r>
          <w:rPr>
            <w:rFonts w:ascii="仿宋" w:eastAsia="仿宋" w:hAnsi="仿宋" w:cs="仿宋" w:hint="eastAsia"/>
            <w:lang w:eastAsia="zh-CN"/>
          </w:rPr>
          <w:t>(三)、水杨酸锌改性树脂(无碳复写纸显色剂)项目合同管理与法律事务</w:t>
        </w:r>
        <w:r>
          <w:tab/>
        </w:r>
        <w:r>
          <w:fldChar w:fldCharType="begin"/>
        </w:r>
        <w:r>
          <w:instrText xml:space="preserve"> PAGEREF _Toc5061 \h </w:instrText>
        </w:r>
        <w:r>
          <w:fldChar w:fldCharType="separate"/>
        </w:r>
        <w:r>
          <w:t>59</w:t>
        </w:r>
        <w:r>
          <w:fldChar w:fldCharType="end"/>
        </w:r>
      </w:hyperlink>
    </w:p>
    <w:p>
      <w:pPr>
        <w:pStyle w:val="TOC2"/>
        <w:tabs>
          <w:tab w:val="right" w:leader="dot" w:pos="8306"/>
        </w:tabs>
      </w:pPr>
      <w:hyperlink w:anchor="_Toc567" w:history="1">
        <w:r>
          <w:rPr>
            <w:rFonts w:ascii="仿宋" w:eastAsia="仿宋" w:hAnsi="仿宋" w:cs="仿宋" w:hint="eastAsia"/>
            <w:lang w:eastAsia="zh-CN"/>
          </w:rPr>
          <w:t>(四)、水杨酸锌改性树脂(无碳复写纸显色剂)项目知识产权保护策略</w:t>
        </w:r>
        <w:r>
          <w:tab/>
        </w:r>
        <w:r>
          <w:fldChar w:fldCharType="begin"/>
        </w:r>
        <w:r>
          <w:instrText xml:space="preserve"> PAGEREF _Toc567 \h </w:instrText>
        </w:r>
        <w:r>
          <w:fldChar w:fldCharType="separate"/>
        </w:r>
        <w:r>
          <w:t>66</w:t>
        </w:r>
        <w:r>
          <w:fldChar w:fldCharType="end"/>
        </w:r>
      </w:hyperlink>
    </w:p>
    <w:p>
      <w:pPr>
        <w:pStyle w:val="TOC1"/>
        <w:tabs>
          <w:tab w:val="right" w:leader="dot" w:pos="8306"/>
        </w:tabs>
      </w:pPr>
      <w:hyperlink w:anchor="_Toc23875" w:history="1">
        <w:r>
          <w:rPr>
            <w:rFonts w:ascii="仿宋" w:eastAsia="仿宋" w:hAnsi="仿宋" w:cs="仿宋" w:hint="eastAsia"/>
            <w:lang w:eastAsia="zh-CN"/>
          </w:rPr>
          <w:t>十四、水杨酸锌改性树脂(无碳复写纸显色剂)项目变更管理</w:t>
        </w:r>
        <w:r>
          <w:tab/>
        </w:r>
        <w:r>
          <w:fldChar w:fldCharType="begin"/>
        </w:r>
        <w:r>
          <w:instrText xml:space="preserve"> PAGEREF _Toc23875 \h </w:instrText>
        </w:r>
        <w:r>
          <w:fldChar w:fldCharType="separate"/>
        </w:r>
        <w:r>
          <w:t>69</w:t>
        </w:r>
        <w:r>
          <w:fldChar w:fldCharType="end"/>
        </w:r>
      </w:hyperlink>
    </w:p>
    <w:p>
      <w:pPr>
        <w:pStyle w:val="TOC2"/>
        <w:tabs>
          <w:tab w:val="right" w:leader="dot" w:pos="8306"/>
        </w:tabs>
      </w:pPr>
      <w:hyperlink w:anchor="_Toc3432" w:history="1">
        <w:r>
          <w:rPr>
            <w:rFonts w:ascii="仿宋" w:eastAsia="仿宋" w:hAnsi="仿宋" w:cs="仿宋" w:hint="eastAsia"/>
            <w:lang w:eastAsia="zh-CN"/>
          </w:rPr>
          <w:t>(一)、变更申请与评估</w:t>
        </w:r>
        <w:r>
          <w:tab/>
        </w:r>
        <w:r>
          <w:fldChar w:fldCharType="begin"/>
        </w:r>
        <w:r>
          <w:instrText xml:space="preserve"> PAGEREF _Toc3432 \h </w:instrText>
        </w:r>
        <w:r>
          <w:fldChar w:fldCharType="separate"/>
        </w:r>
        <w:r>
          <w:t>69</w:t>
        </w:r>
        <w:r>
          <w:fldChar w:fldCharType="end"/>
        </w:r>
      </w:hyperlink>
    </w:p>
    <w:p>
      <w:pPr>
        <w:pStyle w:val="TOC2"/>
        <w:tabs>
          <w:tab w:val="right" w:leader="dot" w:pos="8306"/>
        </w:tabs>
      </w:pPr>
      <w:hyperlink w:anchor="_Toc23502" w:history="1">
        <w:r>
          <w:rPr>
            <w:rFonts w:ascii="仿宋" w:eastAsia="仿宋" w:hAnsi="仿宋" w:cs="仿宋" w:hint="eastAsia"/>
            <w:lang w:eastAsia="zh-CN"/>
          </w:rPr>
          <w:t>(二)、变更实施与控制</w:t>
        </w:r>
        <w:r>
          <w:tab/>
        </w:r>
        <w:r>
          <w:fldChar w:fldCharType="begin"/>
        </w:r>
        <w:r>
          <w:instrText xml:space="preserve"> PAGEREF _Toc23502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35"/>
      <w:r>
        <w:rPr>
          <w:rFonts w:ascii="仿宋" w:eastAsia="仿宋" w:hAnsi="仿宋" w:cs="仿宋" w:hint="eastAsia"/>
          <w:sz w:val="28"/>
          <w:lang w:eastAsia="zh-CN"/>
        </w:rPr>
        <w:t>一、水杨酸锌改性树脂(无碳复写纸显色剂)项目建设单位说明</w:t>
      </w:r>
      <w:bookmarkEnd w:id="2"/>
    </w:p>
    <w:p>
      <w:pPr>
        <w:pStyle w:val="Heading2"/>
        <w:rPr>
          <w:rFonts w:ascii="仿宋" w:eastAsia="仿宋" w:hAnsi="仿宋" w:cs="仿宋" w:hint="eastAsia"/>
          <w:lang w:eastAsia="zh-CN"/>
        </w:rPr>
      </w:pPr>
      <w:bookmarkStart w:id="3" w:name="_Toc12922"/>
      <w:r>
        <w:rPr>
          <w:rFonts w:ascii="仿宋" w:eastAsia="仿宋" w:hAnsi="仿宋" w:cs="仿宋" w:hint="eastAsia"/>
          <w:lang w:eastAsia="zh-CN"/>
        </w:rPr>
        <w:t>(一)、水杨酸锌改性树脂(无碳复写纸显色剂)项目承办单位基本情况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5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杨酸锌改性树脂(无碳复写纸显色剂)项目承办单位的XXXX，我们着眼于实现可持续的经济效益。通过技术创新和解决方案的提供，公司预计在水杨酸锌改性树脂(无碳复写纸显色剂)项目执行期间将获得可观的收入增长。这一收入来源主要包括水杨酸锌改性树脂(无碳复写纸显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同时，我们注重成本控制和效率提升，以确保水杨酸锌改性树脂(无碳复写纸显色剂)项目的可持续盈利。透过精细的管理和资源优化，公司期望实现水杨酸锌改性树脂(无碳复写纸显色剂)项目利润最大化。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杨酸锌改性树脂(无碳复写纸显色剂)项目实施进行全面的投资评估，包括水杨酸锌改性树脂(无碳复写纸显色剂)项目启动阶段的资金投入和后续运营成本。通过对水杨酸锌改性树脂(无碳复写纸显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杨酸锌改性树脂(无碳复写纸显色剂)项目实施过程中具备足够的资金流动性，公司将进行详尽的现金流分析。这包括资金需求的合理预测、水杨酸锌改性树脂(无碳复写纸显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23"/>
      <w:r>
        <w:rPr>
          <w:rFonts w:ascii="仿宋" w:eastAsia="仿宋" w:hAnsi="仿宋" w:cs="仿宋" w:hint="eastAsia"/>
          <w:sz w:val="28"/>
          <w:lang w:eastAsia="zh-CN"/>
        </w:rPr>
        <w:t>二、水杨酸锌改性树脂(无碳复写纸显色剂)项目土建工程</w:t>
      </w:r>
      <w:bookmarkEnd w:id="5"/>
    </w:p>
    <w:p>
      <w:pPr>
        <w:pStyle w:val="Heading2"/>
        <w:rPr>
          <w:rFonts w:ascii="仿宋" w:eastAsia="仿宋" w:hAnsi="仿宋" w:cs="仿宋" w:hint="eastAsia"/>
          <w:lang w:eastAsia="zh-CN"/>
        </w:rPr>
      </w:pPr>
      <w:bookmarkStart w:id="6" w:name="_Toc211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在水杨酸锌改性树脂(无碳复写纸显色剂)项目的建筑工程设计中，我们将秉承一系列重要的设计原则，以确保水杨酸锌改性树脂(无碳复写纸显色剂)项目建筑在功能、美观、可持续性等方面达到最佳效果。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首要原则是确保建筑的功能性得到最大化的发挥。我们将充分理解水杨酸锌改性树脂(无碳复写纸显色剂)项目的实际需求，合理布局各个功能区域，保证建筑在满足业务需求的同时，提供高效的工作环境。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在建筑设计中，我们将综合考虑建设和运营成本。通过精细的经济效益分析，确保设计方案在高效利用资源的同时，对水杨酸锌改性树脂(无碳复写纸显色剂)项目的长期盈利能力有积极的贡献。</w:t>
      </w:r>
    </w:p>
    <w:p>
      <w:pPr>
        <w:pStyle w:val="Heading2"/>
        <w:ind w:firstLine="560" w:firstLineChars="200"/>
        <w:rPr>
          <w:rFonts w:ascii="仿宋" w:eastAsia="仿宋" w:hAnsi="仿宋" w:cs="仿宋" w:hint="eastAsia"/>
          <w:sz w:val="28"/>
          <w:lang w:eastAsia="zh-CN"/>
        </w:rPr>
      </w:pPr>
      <w:bookmarkStart w:id="7" w:name="_Toc77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项目的土建工程设计中，我们将精准设定设计年限，结合水杨酸锌改性树脂(无碳复写纸显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杨酸锌改性树脂(无碳复写纸显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79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杨酸锌改性树脂(无碳复写纸显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杨酸锌改性树脂(无碳复写纸显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杨酸锌改性树脂(无碳复写纸显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8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本期工程水杨酸锌改性树脂(无碳复写纸显色剂)项目预计总建筑面积XXX平方米，其中：计容建筑面积XXX平方米，计划建筑工程投资XX万元，占水杨酸锌改性树脂(无碳复写纸显色剂)项目总投资的XX%。</w:t>
      </w:r>
    </w:p>
    <w:p>
      <w:pPr>
        <w:pStyle w:val="Heading1"/>
        <w:ind w:firstLine="560" w:firstLineChars="200"/>
        <w:rPr>
          <w:rFonts w:ascii="仿宋" w:eastAsia="仿宋" w:hAnsi="仿宋" w:cs="仿宋" w:hint="eastAsia"/>
          <w:sz w:val="28"/>
          <w:lang w:eastAsia="zh-CN"/>
        </w:rPr>
      </w:pPr>
      <w:bookmarkStart w:id="10" w:name="_Toc1467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922"/>
      <w:r>
        <w:rPr>
          <w:rFonts w:ascii="仿宋" w:eastAsia="仿宋" w:hAnsi="仿宋" w:cs="仿宋" w:hint="eastAsia"/>
          <w:lang w:eastAsia="zh-CN"/>
        </w:rPr>
        <w:t>(一)、水杨酸锌改性树脂(无碳复写纸显色剂)行业分析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杨酸锌改性树脂(无碳复写纸显色剂)行业一直以来都是市场的关注焦点。行业内的发展趋势、竞争态势以及潜在机会都对水杨酸锌改性树脂(无碳复写纸显色剂)项目的推进产生深远的影响。通过深入研究行业的整体概貌，我们将更好地理解行业的核心特征，为水杨酸锌改性树脂(无碳复写纸显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行业，技术一直是推动创新和发展的关键因素。我们将对当前技术趋势进行详尽分析，包括但不限于人工智能、大数据应用、先进制造技术等。这有助于水杨酸锌改性树脂(无碳复写纸显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杨酸锌改性树脂(无碳复写纸显色剂)项目成功的基础。我们将对主要竞争对手进行深入研究，包括其市场份额、产品特点、市场定位等。通过全面了解竞争对手的优势和劣势，水杨酸锌改性树脂(无碳复写纸显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133"/>
      <w:r>
        <w:rPr>
          <w:rFonts w:ascii="仿宋" w:eastAsia="仿宋" w:hAnsi="仿宋" w:cs="仿宋" w:hint="eastAsia"/>
          <w:sz w:val="28"/>
          <w:lang w:eastAsia="zh-CN"/>
        </w:rPr>
        <w:t>(二)、水杨酸锌改性树脂(无碳复写纸显色剂)市场分析预测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杨酸锌改性树脂(无碳复写纸显色剂)市场未来的增长趋势。这包括市场的整体规模、各细分领域的发展趋势等。水杨酸锌改性树脂(无碳复写纸显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杨酸锌改性树脂(无碳复写纸显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杨酸锌改性树脂(无碳复写纸显色剂)项目实施过程中需要充分考虑的因素。我们将对市场风险进行全面评估，包括但不限于政策法规风险、市场竞争风险、技术变革风险等。通过对潜在风险的深入分析，水杨酸锌改性树脂(无碳复写纸显色剂)项目可以制定相应的风险缓解策略，降低不确定性对水杨酸锌改性树脂(无碳复写纸显色剂)项目的影响。</w:t>
      </w:r>
    </w:p>
    <w:p>
      <w:pPr>
        <w:pStyle w:val="Heading1"/>
        <w:ind w:firstLine="560" w:firstLineChars="200"/>
        <w:rPr>
          <w:rFonts w:ascii="仿宋" w:eastAsia="仿宋" w:hAnsi="仿宋" w:cs="仿宋" w:hint="eastAsia"/>
          <w:sz w:val="28"/>
          <w:lang w:eastAsia="zh-CN"/>
        </w:rPr>
      </w:pPr>
      <w:bookmarkStart w:id="13" w:name="_Toc920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78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主要产品是XXXX，预计年产值为XXX万元。这一产品在市场中占据着重要的地位，其广泛的应用范围使得该水杨酸锌改性树脂(无碳复写纸显色剂)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杨酸锌改性树脂(无碳复写纸显色剂)项目的xxx产品作为重要的原材料之一，将在多个领域发挥关键作用。其在建筑、交通、能源等方面的广泛应用将为整个产业链提供强大的支持，形成产业协同效应。水杨酸锌改性树脂(无碳复写纸显色剂)项目的年产值XXX万XXX万XXX万万元不仅反映了其在市场上的巨大潜力，更预示着它对国民经济的积极贡献。这种关联度高、涉及面广的产业关系，使得该水杨酸锌改性树脂(无碳复写纸显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7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总征地面积为XXXX平方米，相当于约XX.XX亩，其中净用地面积为XXXX平方米，红线范围内相当于约XX.XX亩。这一用地规模充分考虑了水杨酸锌改性树脂(无碳复写纸显色剂)项目的建设需求，保障了水杨酸锌改性树脂(无碳复写纸显色剂)项目在合适的空间内得以充分发展。水杨酸锌改性树脂(无碳复写纸显色剂)项目规划的总建筑面积为XXXX平方米，其中主体工程建设占XXXX平方米，计容建筑面积达XXXX平方米。预计建筑工程的投资将达到XXXX万元，为水杨酸锌改性树脂(无碳复写纸显色剂)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计划购置的设备共计XXXX台（套），设备购置费用为XXXX万元。这一设备购置计划充分考虑到水杨酸锌改性树脂(无碳复写纸显色剂)项目的生产需求和技术要求，确保了水杨酸锌改性树脂(无碳复写纸显色剂)项目在生产运营中具备先进的技术装备和高效的生产能力。设备的合理配置将为水杨酸锌改性树脂(无碳复写纸显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计划总投资为XXXX万元，预计年实现营业收入为XXXX万元。这一产能规模的设定旨在确保水杨酸锌改性树脂(无碳复写纸显色剂)项目能够在投资与回报之间取得平衡，实现长期可持续的发展。水杨酸锌改性树脂(无碳复写纸显色剂)项目的总投资充分考虑到各个方面的需求，包括用地建设、设备购置等多个环节，以确保水杨酸锌改性树脂(无碳复写纸显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953"/>
      <w:r>
        <w:rPr>
          <w:rFonts w:ascii="仿宋" w:eastAsia="仿宋" w:hAnsi="仿宋" w:cs="仿宋" w:hint="eastAsia"/>
          <w:sz w:val="28"/>
          <w:lang w:eastAsia="zh-CN"/>
        </w:rPr>
        <w:t>五、水杨酸锌改性树脂(无碳复写纸显色剂)项目可持续发展</w:t>
      </w:r>
      <w:bookmarkEnd w:id="16"/>
    </w:p>
    <w:p>
      <w:pPr>
        <w:pStyle w:val="Heading2"/>
        <w:rPr>
          <w:rFonts w:ascii="仿宋" w:eastAsia="仿宋" w:hAnsi="仿宋" w:cs="仿宋" w:hint="eastAsia"/>
          <w:lang w:eastAsia="zh-CN"/>
        </w:rPr>
      </w:pPr>
      <w:bookmarkStart w:id="17" w:name="_Toc128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项目中，水杨酸锌改性树脂(无碳复写纸显色剂)项目团队着眼于未来，明确了可持续发展的战略方向。制定的具体可持续发展目标包括降低资源使用、采用环保技术、最大化社会效益等。这一步骤不仅有助于水杨酸锌改性树脂(无碳复写纸显色剂)项目在环保和社会责任方面达到最高标准，也为未来提供了明确的指引，确保水杨酸锌改性树脂(无碳复写纸显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可持续实践的融入水杨酸锌改性树脂(无碳复写纸显色剂)项目管理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杨酸锌改性树脂(无碳复写纸显色剂)项目管理周期。从水杨酸锌改性树脂(无碳复写纸显色剂)项目规划开始，水杨酸锌改性树脂(无碳复写纸显色剂)项目团队就考虑了环境和社会的因素。在执行阶段，水杨酸锌改性树脂(无碳复写纸显色剂)项目团队积极推动绿色技术的应用，优化资源利用。此外，关注员工的社会责任，通过培训和沟通活动提高员工对可持续发展的认知，使他们能够在日常工作中践行可持续实践。这些举措不仅为水杨酸锌改性树脂(无碳复写纸显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57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杨酸锌改性树脂(无碳复写纸显色剂)项目的可持续发展理念，我们深信环保与社会责任是水杨酸锌改性树脂(无碳复写纸显色剂)项目成功的关键支柱。在水杨酸锌改性树脂(无碳复写纸显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团队通过引入先进的环保技术、建立高效的废物处理系统以及推动能源节约措施，积极履行环保责任。定期的环保监测和评估确保水杨酸锌改性树脂(无碳复写纸显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不仅致力于自身可持续发展，还注重对社会的回馈。通过支持社区水杨酸锌改性树脂(无碳复写纸显色剂)项目、参与慈善事业、提供培训机会等方式，水杨酸锌改性树脂(无碳复写纸显色剂)项目积极履行社会责任。与当地社区建立积极互动，关注员工的工作与生活平衡，以及员工的身心健康，是水杨酸锌改性树脂(无碳复写纸显色剂)项目在社会责任层面的关键举措。这样的实践不仅增强了水杨酸锌改性树脂(无碳复写纸显色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32766"/>
      <w:r>
        <w:rPr>
          <w:rFonts w:ascii="仿宋" w:eastAsia="仿宋" w:hAnsi="仿宋" w:cs="仿宋" w:hint="eastAsia"/>
          <w:sz w:val="28"/>
          <w:lang w:eastAsia="zh-CN"/>
        </w:rPr>
        <w:t>六、水杨酸锌改性树脂(无碳复写纸显色剂)项目建设背景及必要性分析</w:t>
      </w:r>
      <w:bookmarkEnd w:id="19"/>
    </w:p>
    <w:p>
      <w:pPr>
        <w:pStyle w:val="Heading2"/>
        <w:rPr>
          <w:rFonts w:ascii="仿宋" w:eastAsia="仿宋" w:hAnsi="仿宋" w:cs="仿宋" w:hint="eastAsia"/>
          <w:lang w:eastAsia="zh-CN"/>
        </w:rPr>
      </w:pPr>
      <w:bookmarkStart w:id="20" w:name="_Toc30026"/>
      <w:r>
        <w:rPr>
          <w:rFonts w:ascii="仿宋" w:eastAsia="仿宋" w:hAnsi="仿宋" w:cs="仿宋" w:hint="eastAsia"/>
          <w:lang w:eastAsia="zh-CN"/>
        </w:rPr>
        <w:t>(一)、水杨酸锌改性树脂(无碳复写纸显色剂)项目背景分析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杨酸锌改性树脂(无碳复写纸显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杨酸锌改性树脂(无碳复写纸显色剂)项目在这个潮流中的定位。同时，我们将关注行业内涌现的新兴机遇，以便水杨酸锌改性树脂(无碳复写纸显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杨酸锌改性树脂(无碳复写纸显色剂)项目提供了强大的发展动力。我们将聚焦于行业内最新的技术发展趋势，包括但不限于人工智能、大数据分析、物联网等领域。通过深度的技术研究，我们将确保水杨酸锌改性树脂(无碳复写纸显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杨酸锌改性树脂(无碳复写纸显色剂)项目发展的源泉。我们将投入更多的精力对市场需求进行深入剖析，超越表面的需求，深入挖掘潜在的市场痛点和机遇。通过对市场需求的细致了解，水杨酸锌改性树脂(无碳复写纸显色剂)项目将更有针对性地设计解决方案，满足市场的多样化需求，从而更好地促进水杨酸锌改性树脂(无碳复写纸显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杨酸锌改性树脂(无碳复写纸显色剂)项目战略至关重要。我们将对竞争态势进行更为深入的分析，包括但不限于市场份额、产品特点、客户满意度等多个维度。通过深度的竞争分析，水杨酸锌改性树脂(无碳复写纸显色剂)项目将能够更准确地把握市场脉搏，制定具有竞争力的水杨酸锌改性树脂(无碳复写纸显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杨酸锌改性树脂(无碳复写纸显色剂)项目的发展具有直接的影响。我们将进行更为全面的法规和政策分析，了解行业发展中的潜在法律风险和合规挑战。通过充分了解和遵守相关法规，水杨酸锌改性树脂(无碳复写纸显色剂)项目将确保在法律框架内合法合规运营，为水杨酸锌改性树脂(无碳复写纸显色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https://d.book118.com/687045002161006032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66BB7"/>
    <w:rsid w:val="3CD66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45002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2024-01-19T15:37:00Z</dcterms:created>
  <dcterms:modified xsi:type="dcterms:W3CDTF">2024-01-19T15:38:06Z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E37E9B757C6F420DB72753B59D1C3A07_11</vt:lpwstr>
  </property>
  <property fmtid="{D5CDD505-2E9C-101B-9397-08002B2CF9AE}" pid="3" name="KSOProductBuildVer">
    <vt:lpwstr>2052-12.1.0.16120</vt:lpwstr>
  </property>
</Properties>
</file>