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44" w:lineRule="exact"/>
        <w:ind w:firstLine="7695"/>
      </w:pPr>
      <w:r>
        <w:rPr>
          <w:position w:val="-20"/>
        </w:rPr>
        <w:drawing>
          <wp:inline distT="0" distB="0" distL="0" distR="0">
            <wp:extent cx="2299715" cy="6629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99715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542"/>
        </w:tabs>
        <w:spacing w:before="251" w:line="344" w:lineRule="exact"/>
        <w:rPr>
          <w:rFonts w:ascii="KaiTi" w:eastAsia="KaiTi" w:hAnsi="KaiTi" w:cs="KaiTi"/>
          <w:sz w:val="24"/>
          <w:szCs w:val="24"/>
        </w:rPr>
      </w:pPr>
      <w:r>
        <w:rPr>
          <w:color w:val="FFFFFF"/>
          <w:position w:val="3"/>
          <w:sz w:val="24"/>
          <w:szCs w:val="24"/>
          <w:shd w:val="clear" w:color="auto" w:fill="B30924"/>
        </w:rPr>
        <w:tab/>
      </w:r>
      <w:r>
        <w:rPr>
          <w:b/>
          <w:bCs/>
          <w:color w:val="FFFFFF"/>
          <w:spacing w:val="-4"/>
          <w:position w:val="3"/>
          <w:sz w:val="24"/>
          <w:szCs w:val="24"/>
          <w:shd w:val="clear" w:color="auto" w:fill="B30924"/>
        </w:rPr>
        <w:t xml:space="preserve">2024 </w:t>
      </w:r>
      <w:r>
        <w:rPr>
          <w:rFonts w:ascii="KaiTi" w:eastAsia="KaiTi" w:hAnsi="KaiTi" w:cs="KaiTi"/>
          <w:color w:val="FFFFFF"/>
          <w:spacing w:val="-4"/>
          <w:position w:val="3"/>
          <w:sz w:val="24"/>
          <w:szCs w:val="24"/>
          <w:shd w:val="clear" w:color="auto" w:fill="B30924"/>
          <w14:textOutline w14:w="4358" w14:cap="sq">
            <w14:solidFill>
              <w14:srgbClr w14:val="FFFFFF"/>
            </w14:solidFill>
            <w14:prstDash w14:val="solid"/>
            <w14:bevel/>
          </w14:textOutline>
        </w:rPr>
        <w:t>年</w:t>
      </w:r>
      <w:r>
        <w:rPr>
          <w:rFonts w:ascii="KaiTi" w:eastAsia="KaiTi" w:hAnsi="KaiTi" w:cs="KaiTi"/>
          <w:color w:val="FFFFFF"/>
          <w:spacing w:val="-48"/>
          <w:position w:val="3"/>
          <w:sz w:val="24"/>
          <w:szCs w:val="24"/>
          <w:shd w:val="clear" w:color="auto" w:fill="B30924"/>
        </w:rPr>
        <w:t xml:space="preserve"> </w:t>
      </w:r>
      <w:r>
        <w:rPr>
          <w:b/>
          <w:bCs/>
          <w:color w:val="FFFFFF"/>
          <w:spacing w:val="-4"/>
          <w:position w:val="3"/>
          <w:sz w:val="24"/>
          <w:szCs w:val="24"/>
          <w:shd w:val="clear" w:color="auto" w:fill="B30924"/>
        </w:rPr>
        <w:t xml:space="preserve">03 </w:t>
      </w:r>
      <w:r>
        <w:rPr>
          <w:rFonts w:ascii="KaiTi" w:eastAsia="KaiTi" w:hAnsi="KaiTi" w:cs="KaiTi"/>
          <w:color w:val="FFFFFF"/>
          <w:spacing w:val="-4"/>
          <w:position w:val="3"/>
          <w:sz w:val="24"/>
          <w:szCs w:val="24"/>
          <w:shd w:val="clear" w:color="auto" w:fill="B30924"/>
          <w14:textOutline w14:w="4358" w14:cap="sq">
            <w14:solidFill>
              <w14:srgbClr w14:val="FFFFFF"/>
            </w14:solidFill>
            <w14:prstDash w14:val="solid"/>
            <w14:bevel/>
          </w14:textOutline>
        </w:rPr>
        <w:t>月</w:t>
      </w:r>
      <w:r>
        <w:rPr>
          <w:rFonts w:ascii="KaiTi" w:eastAsia="KaiTi" w:hAnsi="KaiTi" w:cs="KaiTi"/>
          <w:color w:val="FFFFFF"/>
          <w:spacing w:val="-47"/>
          <w:position w:val="3"/>
          <w:sz w:val="24"/>
          <w:szCs w:val="24"/>
          <w:shd w:val="clear" w:color="auto" w:fill="B30924"/>
        </w:rPr>
        <w:t xml:space="preserve"> </w:t>
      </w:r>
      <w:r>
        <w:rPr>
          <w:b/>
          <w:bCs/>
          <w:color w:val="FFFFFF"/>
          <w:spacing w:val="-4"/>
          <w:position w:val="3"/>
          <w:sz w:val="24"/>
          <w:szCs w:val="24"/>
          <w:shd w:val="clear" w:color="auto" w:fill="B30924"/>
        </w:rPr>
        <w:t xml:space="preserve">05  </w:t>
      </w:r>
      <w:r>
        <w:rPr>
          <w:rFonts w:ascii="KaiTi" w:eastAsia="KaiTi" w:hAnsi="KaiTi" w:cs="KaiTi"/>
          <w:color w:val="FFFFFF"/>
          <w:spacing w:val="-4"/>
          <w:position w:val="3"/>
          <w:sz w:val="24"/>
          <w:szCs w:val="24"/>
          <w:shd w:val="clear" w:color="auto" w:fill="B30924"/>
          <w14:textOutline w14:w="4358" w14:cap="sq">
            <w14:solidFill>
              <w14:srgbClr w14:val="FFFFFF"/>
            </w14:solidFill>
            <w14:prstDash w14:val="solid"/>
            <w14:bevel/>
          </w14:textOutline>
        </w:rPr>
        <w:t>日</w:t>
      </w:r>
      <w:r>
        <w:rPr>
          <w:rFonts w:ascii="KaiTi" w:eastAsia="KaiTi" w:hAnsi="KaiTi" w:cs="KaiTi"/>
          <w:color w:val="FFFFFF"/>
          <w:spacing w:val="2"/>
          <w:position w:val="3"/>
          <w:sz w:val="24"/>
          <w:szCs w:val="24"/>
          <w:shd w:val="clear" w:color="auto" w:fill="B30924"/>
        </w:rPr>
        <w:t xml:space="preserve">                                       </w:t>
      </w:r>
      <w:r>
        <w:rPr>
          <w:rFonts w:ascii="KaiTi" w:eastAsia="KaiTi" w:hAnsi="KaiTi" w:cs="KaiTi"/>
          <w:color w:val="FFFFFF"/>
          <w:spacing w:val="1"/>
          <w:position w:val="3"/>
          <w:sz w:val="24"/>
          <w:szCs w:val="24"/>
          <w:shd w:val="clear" w:color="auto" w:fill="B30924"/>
        </w:rPr>
        <w:t xml:space="preserve">  </w:t>
      </w:r>
      <w:r>
        <w:rPr>
          <w:rFonts w:ascii="KaiTi" w:eastAsia="KaiTi" w:hAnsi="KaiTi" w:cs="KaiTi"/>
          <w:color w:val="FFFFFF"/>
          <w:spacing w:val="-4"/>
          <w:position w:val="3"/>
          <w:sz w:val="24"/>
          <w:szCs w:val="24"/>
          <w:shd w:val="clear" w:color="auto" w:fill="B30924"/>
          <w14:textOutline w14:w="4358" w14:cap="sq">
            <w14:solidFill>
              <w14:srgbClr w14:val="FFFFFF"/>
            </w14:solidFill>
            <w14:prstDash w14:val="solid"/>
            <w14:bevel/>
          </w14:textOutline>
        </w:rPr>
        <w:t>证券研究报告</w:t>
      </w:r>
      <w:r>
        <w:rPr>
          <w:rFonts w:ascii="KaiTi" w:eastAsia="KaiTi" w:hAnsi="KaiTi" w:cs="KaiTi"/>
          <w:color w:val="FFFFFF"/>
          <w:spacing w:val="-4"/>
          <w:position w:val="3"/>
          <w:sz w:val="24"/>
          <w:szCs w:val="24"/>
          <w:shd w:val="clear" w:color="auto" w:fill="B30924"/>
        </w:rPr>
        <w:t xml:space="preserve"> </w:t>
      </w:r>
      <w:r>
        <w:rPr>
          <w:b/>
          <w:bCs/>
          <w:color w:val="FFFFFF"/>
          <w:spacing w:val="-5"/>
          <w:position w:val="3"/>
          <w:sz w:val="24"/>
          <w:szCs w:val="24"/>
          <w:shd w:val="clear" w:color="auto" w:fill="B30924"/>
        </w:rPr>
        <w:t xml:space="preserve">|  </w:t>
      </w:r>
      <w:r>
        <w:rPr>
          <w:rFonts w:ascii="KaiTi" w:eastAsia="KaiTi" w:hAnsi="KaiTi" w:cs="KaiTi"/>
          <w:color w:val="FFFFFF"/>
          <w:spacing w:val="-5"/>
          <w:position w:val="3"/>
          <w:sz w:val="24"/>
          <w:szCs w:val="24"/>
          <w:shd w:val="clear" w:color="auto" w:fill="B30924"/>
          <w14:textOutline w14:w="4358" w14:cap="sq">
            <w14:solidFill>
              <w14:srgbClr w14:val="FFFFFF"/>
            </w14:solidFill>
            <w14:prstDash w14:val="solid"/>
            <w14:bevel/>
          </w14:textOutline>
        </w:rPr>
        <w:t>金融产品年度报告</w:t>
      </w:r>
      <w:r>
        <w:rPr>
          <w:rFonts w:ascii="KaiTi" w:eastAsia="KaiTi" w:hAnsi="KaiTi" w:cs="KaiTi"/>
          <w:color w:val="FFFFFF"/>
          <w:spacing w:val="-5"/>
          <w:position w:val="3"/>
          <w:sz w:val="24"/>
          <w:szCs w:val="24"/>
          <w:shd w:val="clear" w:color="auto" w:fill="B30924"/>
        </w:rPr>
        <w:t xml:space="preserve">     </w:t>
      </w:r>
    </w:p>
    <w:p>
      <w:pPr>
        <w:pStyle w:val="BodyText"/>
        <w:spacing w:before="150" w:line="229" w:lineRule="auto"/>
        <w:ind w:left="3720"/>
        <w:outlineLvl w:val="0"/>
        <w:rPr>
          <w:rFonts w:ascii="KaiTi" w:eastAsia="KaiTi" w:hAnsi="KaiTi" w:cs="KaiTi"/>
          <w:sz w:val="47"/>
          <w:szCs w:val="47"/>
        </w:rPr>
      </w:pPr>
      <w:r>
        <w:rPr>
          <w:b/>
          <w:bCs/>
          <w:spacing w:val="6"/>
          <w:sz w:val="47"/>
          <w:szCs w:val="47"/>
        </w:rPr>
        <w:t xml:space="preserve">2023 </w:t>
      </w:r>
      <w:r>
        <w:rPr>
          <w:rFonts w:ascii="KaiTi" w:eastAsia="KaiTi" w:hAnsi="KaiTi" w:cs="KaiTi"/>
          <w:spacing w:val="6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投连险年度报告</w:t>
      </w:r>
    </w:p>
    <w:p>
      <w:pPr>
        <w:pStyle w:val="BodyText"/>
        <w:spacing w:before="123" w:line="231" w:lineRule="auto"/>
        <w:ind w:left="8180"/>
        <w:rPr>
          <w:rFonts w:ascii="KaiTi" w:eastAsia="KaiTi" w:hAnsi="KaiTi" w:cs="KaiTi"/>
          <w:sz w:val="31"/>
          <w:szCs w:val="31"/>
        </w:rPr>
      </w:pPr>
      <w:r>
        <w:rPr>
          <w:b/>
          <w:bCs/>
          <w:spacing w:val="7"/>
          <w:sz w:val="31"/>
          <w:szCs w:val="31"/>
        </w:rPr>
        <w:t xml:space="preserve">2023 </w:t>
      </w:r>
      <w:r>
        <w:rPr>
          <w:rFonts w:ascii="KaiTi" w:eastAsia="KaiTi" w:hAnsi="KaiTi" w:cs="KaiTi"/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投连险年度报告</w:t>
      </w:r>
    </w:p>
    <w:p>
      <w:pPr>
        <w:spacing w:before="82" w:line="28" w:lineRule="exact"/>
      </w:pPr>
      <w:r>
        <w:drawing>
          <wp:inline distT="0" distB="0" distL="0" distR="0">
            <wp:extent cx="7542529" cy="1828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252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1"/>
      </w:pPr>
    </w:p>
    <w:tbl>
      <w:tblPr>
        <w:tblStyle w:val="TableNormal"/>
        <w:tblW w:w="10789" w:type="dxa"/>
        <w:tblInd w:w="5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74"/>
        <w:gridCol w:w="7415"/>
      </w:tblGrid>
      <w:tr>
        <w:tblPrEx>
          <w:tblW w:w="10789" w:type="dxa"/>
          <w:tblInd w:w="53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86"/>
        </w:trPr>
        <w:tc>
          <w:tcPr>
            <w:tcW w:w="3374" w:type="dxa"/>
            <w:vAlign w:val="top"/>
          </w:tcPr>
          <w:p>
            <w:pPr>
              <w:pStyle w:val="TableText"/>
              <w:spacing w:before="114" w:line="232" w:lineRule="auto"/>
              <w:ind w:left="10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分析师：贾依廷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line="226" w:lineRule="auto"/>
              <w:ind w:left="212"/>
              <w:rPr>
                <w:sz w:val="28"/>
                <w:szCs w:val="28"/>
              </w:rPr>
            </w:pPr>
            <w:r>
              <w:rPr>
                <w:color w:val="AF2135"/>
                <w:spacing w:val="-3"/>
                <w:sz w:val="28"/>
                <w:szCs w:val="28"/>
                <w14:textOutline w14:w="5103" w14:cap="sq">
                  <w14:solidFill>
                    <w14:srgbClr w14:val="AF2135"/>
                  </w14:solidFill>
                  <w14:prstDash w14:val="solid"/>
                  <w14:bevel/>
                </w14:textOutline>
              </w:rPr>
              <w:t>投资要点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354"/>
        </w:trPr>
        <w:tc>
          <w:tcPr>
            <w:tcW w:w="3374" w:type="dxa"/>
            <w:vAlign w:val="top"/>
          </w:tcPr>
          <w:p>
            <w:pPr>
              <w:pStyle w:val="TableText"/>
              <w:spacing w:before="53" w:line="225" w:lineRule="auto"/>
              <w:ind w:left="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分析师登记编码：</w:t>
            </w: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S0890520010004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112" w:line="214" w:lineRule="auto"/>
              <w:ind w:right="6"/>
              <w:jc w:val="right"/>
            </w:pPr>
            <w:r>
              <w:rPr>
                <w:rFonts w:ascii="Wingdings" w:eastAsia="Wingdings" w:hAnsi="Wingdings" w:cs="Wingdings"/>
                <w:spacing w:val="7"/>
              </w:rPr>
              <w:sym w:font="Wingdings" w:char="F075"/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投连险规模情况：</w:t>
            </w:r>
            <w:r>
              <w:rPr>
                <w:spacing w:val="7"/>
              </w:rPr>
              <w:t>根据各大保险机构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2021 </w:t>
            </w:r>
            <w:r>
              <w:rPr>
                <w:spacing w:val="7"/>
              </w:rPr>
              <w:t>年</w:t>
            </w:r>
            <w:r>
              <w:rPr>
                <w:rFonts w:ascii="Arial" w:eastAsia="Arial" w:hAnsi="Arial" w:cs="Arial"/>
                <w:spacing w:val="7"/>
              </w:rPr>
              <w:t>-2</w:t>
            </w:r>
            <w:r>
              <w:rPr>
                <w:rFonts w:ascii="Arial" w:eastAsia="Arial" w:hAnsi="Arial" w:cs="Arial"/>
                <w:spacing w:val="6"/>
              </w:rPr>
              <w:t xml:space="preserve">023 </w:t>
            </w:r>
            <w:r>
              <w:rPr>
                <w:spacing w:val="6"/>
              </w:rPr>
              <w:t>年月报、中报和年报披露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307"/>
        </w:trPr>
        <w:tc>
          <w:tcPr>
            <w:tcW w:w="3374" w:type="dxa"/>
            <w:vAlign w:val="top"/>
          </w:tcPr>
          <w:p>
            <w:pPr>
              <w:pStyle w:val="TableText"/>
              <w:spacing w:before="11" w:line="237" w:lineRule="auto"/>
              <w:ind w:left="2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电话：</w:t>
            </w:r>
            <w:r>
              <w:rPr>
                <w:rFonts w:ascii="Arial" w:eastAsia="Arial" w:hAnsi="Arial" w:cs="Arial"/>
                <w:spacing w:val="-2"/>
                <w:sz w:val="18"/>
                <w:szCs w:val="18"/>
              </w:rPr>
              <w:t>021-20321082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38" w:line="239" w:lineRule="auto"/>
              <w:ind w:right="8"/>
              <w:jc w:val="right"/>
            </w:pPr>
            <w:r>
              <w:rPr>
                <w:spacing w:val="6"/>
              </w:rPr>
              <w:t>的相关信息，截至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2023/</w:t>
            </w:r>
            <w:r>
              <w:rPr>
                <w:rFonts w:ascii="Arial" w:eastAsia="Arial" w:hAnsi="Arial" w:cs="Arial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12/31</w:t>
            </w:r>
            <w:r>
              <w:rPr>
                <w:rFonts w:ascii="Arial" w:eastAsia="Arial" w:hAnsi="Arial" w:cs="Arial"/>
                <w:spacing w:val="-29"/>
              </w:rPr>
              <w:t xml:space="preserve"> </w:t>
            </w:r>
            <w:r>
              <w:rPr>
                <w:spacing w:val="6"/>
              </w:rPr>
              <w:t>，</w:t>
            </w:r>
            <w:r>
              <w:rPr>
                <w:spacing w:val="5"/>
              </w:rPr>
              <w:t>已纳入排名统计的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217 </w:t>
            </w:r>
            <w:r>
              <w:rPr>
                <w:spacing w:val="5"/>
              </w:rPr>
              <w:t>只投连险账户最新总规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619"/>
        </w:trPr>
        <w:tc>
          <w:tcPr>
            <w:tcW w:w="3374" w:type="dxa"/>
            <w:vAlign w:val="top"/>
          </w:tcPr>
          <w:p>
            <w:pPr>
              <w:pStyle w:val="TableText"/>
              <w:spacing w:line="243" w:lineRule="exact"/>
              <w:ind w:left="1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邮箱：</w:t>
            </w:r>
            <w:r>
              <w:rPr>
                <w:rFonts w:ascii="Arial" w:eastAsia="Arial" w:hAnsi="Arial" w:cs="Arial"/>
                <w:spacing w:val="-1"/>
                <w:position w:val="2"/>
                <w:sz w:val="18"/>
                <w:szCs w:val="18"/>
              </w:rPr>
              <w:t>jiayiting@cnhbstock.com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80" w:line="244" w:lineRule="auto"/>
              <w:ind w:left="209" w:right="8" w:hanging="10"/>
            </w:pPr>
            <w:r>
              <w:rPr>
                <w:spacing w:val="5"/>
              </w:rPr>
              <w:t>模为</w:t>
            </w:r>
            <w:r>
              <w:rPr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1924.30 </w:t>
            </w:r>
            <w:r>
              <w:rPr>
                <w:spacing w:val="5"/>
              </w:rPr>
              <w:t>亿元。具体到各家公司看，泰康人寿旗下共计</w:t>
            </w:r>
            <w:r>
              <w:rPr>
                <w:spacing w:val="-23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 xml:space="preserve">18 </w:t>
            </w:r>
            <w:r>
              <w:rPr>
                <w:spacing w:val="5"/>
              </w:rPr>
              <w:t>只投</w:t>
            </w:r>
            <w:r>
              <w:rPr>
                <w:spacing w:val="4"/>
              </w:rPr>
              <w:t>连险账户纳</w:t>
            </w:r>
            <w:r>
              <w:t xml:space="preserve"> </w:t>
            </w:r>
            <w:r>
              <w:rPr>
                <w:spacing w:val="7"/>
              </w:rPr>
              <w:t>入排名统计，总规模</w:t>
            </w:r>
            <w:r>
              <w:rPr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662.48 </w:t>
            </w:r>
            <w:r>
              <w:rPr>
                <w:spacing w:val="7"/>
              </w:rPr>
              <w:t>亿元，位居首位；弘康人寿和中信保诚人</w:t>
            </w:r>
            <w:r>
              <w:rPr>
                <w:spacing w:val="6"/>
              </w:rPr>
              <w:t>寿紧随其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302"/>
        </w:trPr>
        <w:tc>
          <w:tcPr>
            <w:tcW w:w="3374" w:type="dxa"/>
            <w:vAlign w:val="top"/>
          </w:tcPr>
          <w:p>
            <w:pPr>
              <w:pStyle w:val="TableText"/>
              <w:spacing w:before="8" w:line="233" w:lineRule="auto"/>
              <w:ind w:left="1"/>
            </w:pPr>
            <w:r>
              <w:rPr>
                <w:spacing w:val="1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研究助理：宋逸菲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85" w:line="191" w:lineRule="auto"/>
              <w:ind w:left="204"/>
              <w:rPr>
                <w:rFonts w:ascii="Arial" w:eastAsia="Arial" w:hAnsi="Arial" w:cs="Arial"/>
              </w:rPr>
            </w:pPr>
            <w:r>
              <w:rPr>
                <w:spacing w:val="7"/>
              </w:rPr>
              <w:t>后，均有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8 </w:t>
            </w:r>
            <w:r>
              <w:rPr>
                <w:spacing w:val="7"/>
              </w:rPr>
              <w:t>只投连险账户纳入排名统计，总规模分别达</w:t>
            </w:r>
            <w:r>
              <w:rPr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338.77</w:t>
            </w:r>
            <w:r>
              <w:rPr>
                <w:rFonts w:ascii="Arial" w:eastAsia="Arial" w:hAnsi="Arial" w:cs="Arial"/>
              </w:rPr>
              <w:t xml:space="preserve">  </w:t>
            </w:r>
            <w:r>
              <w:rPr>
                <w:spacing w:val="7"/>
              </w:rPr>
              <w:t>亿元和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280.97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634"/>
        </w:trPr>
        <w:tc>
          <w:tcPr>
            <w:tcW w:w="3374" w:type="dxa"/>
            <w:vAlign w:val="top"/>
          </w:tcPr>
          <w:p>
            <w:pPr>
              <w:pStyle w:val="TableText"/>
              <w:spacing w:line="244" w:lineRule="exact"/>
              <w:ind w:left="1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spacing w:val="-1"/>
                <w:position w:val="2"/>
                <w:sz w:val="18"/>
                <w:szCs w:val="18"/>
              </w:rPr>
              <w:t>邮箱：</w:t>
            </w:r>
            <w:r>
              <w:rPr>
                <w:rFonts w:ascii="Arial" w:eastAsia="Arial" w:hAnsi="Arial" w:cs="Arial"/>
                <w:spacing w:val="-1"/>
                <w:position w:val="2"/>
                <w:sz w:val="18"/>
                <w:szCs w:val="18"/>
              </w:rPr>
              <w:t>songyifei@cnhbstock.com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58" w:line="261" w:lineRule="auto"/>
              <w:ind w:left="212" w:right="8" w:hanging="9"/>
            </w:pPr>
            <w:r>
              <w:rPr>
                <w:spacing w:val="7"/>
              </w:rPr>
              <w:t>亿元。（注：未公布</w:t>
            </w:r>
            <w:r>
              <w:rPr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2023 </w:t>
            </w:r>
            <w:r>
              <w:rPr>
                <w:spacing w:val="7"/>
              </w:rPr>
              <w:t>年底规模数据的账户以截至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2023/</w:t>
            </w:r>
            <w:r>
              <w:rPr>
                <w:rFonts w:ascii="Arial" w:eastAsia="Arial" w:hAnsi="Arial" w:cs="Arial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>12/31</w:t>
            </w:r>
            <w:r>
              <w:rPr>
                <w:rFonts w:ascii="Arial" w:eastAsia="Arial" w:hAnsi="Arial" w:cs="Arial"/>
                <w:spacing w:val="17"/>
                <w:w w:val="101"/>
              </w:rPr>
              <w:t xml:space="preserve"> </w:t>
            </w:r>
            <w:r>
              <w:rPr>
                <w:spacing w:val="7"/>
              </w:rPr>
              <w:t>可获取</w:t>
            </w:r>
            <w:r>
              <w:rPr>
                <w:spacing w:val="6"/>
              </w:rPr>
              <w:t>的最</w:t>
            </w:r>
            <w:r>
              <w:t xml:space="preserve"> </w:t>
            </w:r>
            <w:r>
              <w:rPr>
                <w:spacing w:val="7"/>
              </w:rPr>
              <w:t>新披露规模数据替代）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335"/>
        </w:trPr>
        <w:tc>
          <w:tcPr>
            <w:tcW w:w="3374" w:type="dxa"/>
            <w:vAlign w:val="top"/>
          </w:tcPr>
          <w:p>
            <w:pPr>
              <w:pStyle w:val="TableText"/>
              <w:spacing w:before="8" w:line="234" w:lineRule="auto"/>
              <w:ind w:left="6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销售服务电话：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80" w:line="226" w:lineRule="auto"/>
              <w:jc w:val="right"/>
            </w:pPr>
            <w:r>
              <w:rPr>
                <w:rFonts w:ascii="Wingdings" w:eastAsia="Wingdings" w:hAnsi="Wingdings" w:cs="Wingdings"/>
                <w:spacing w:val="9"/>
              </w:rPr>
              <w:sym w:font="Wingdings" w:char="F075"/>
            </w:r>
            <w:r>
              <w:rPr>
                <w:rFonts w:ascii="Arial" w:eastAsia="Arial" w:hAnsi="Arial" w:cs="Arial"/>
                <w:b/>
                <w:bCs/>
                <w:spacing w:val="9"/>
              </w:rPr>
              <w:t xml:space="preserve">2023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年投连险账户收益情况总览：</w:t>
            </w:r>
            <w:r>
              <w:rPr>
                <w:rFonts w:ascii="Arial" w:eastAsia="Arial" w:hAnsi="Arial" w:cs="Arial"/>
                <w:spacing w:val="9"/>
              </w:rPr>
              <w:t>2</w:t>
            </w:r>
            <w:r>
              <w:rPr>
                <w:rFonts w:ascii="Arial" w:eastAsia="Arial" w:hAnsi="Arial" w:cs="Arial"/>
                <w:spacing w:val="8"/>
              </w:rPr>
              <w:t xml:space="preserve">023 </w:t>
            </w:r>
            <w:r>
              <w:rPr>
                <w:spacing w:val="8"/>
              </w:rPr>
              <w:t>年共有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 xml:space="preserve">217 </w:t>
            </w:r>
            <w:r>
              <w:rPr>
                <w:spacing w:val="8"/>
              </w:rPr>
              <w:t>个投连险分类账户纳入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342"/>
        </w:trPr>
        <w:tc>
          <w:tcPr>
            <w:tcW w:w="3374" w:type="dxa"/>
            <w:vAlign w:val="top"/>
          </w:tcPr>
          <w:p>
            <w:pPr>
              <w:spacing w:before="24" w:line="196" w:lineRule="auto"/>
              <w:ind w:left="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-1"/>
                <w:sz w:val="18"/>
                <w:szCs w:val="18"/>
              </w:rPr>
              <w:t>021-20515355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24" w:line="285" w:lineRule="exact"/>
              <w:jc w:val="right"/>
            </w:pPr>
            <w:r>
              <w:rPr>
                <w:spacing w:val="4"/>
                <w:position w:val="2"/>
              </w:rPr>
              <w:t>我们的排名体系，全年收益区间为</w:t>
            </w:r>
            <w:r>
              <w:rPr>
                <w:spacing w:val="4"/>
                <w:position w:val="2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2"/>
              </w:rPr>
              <w:t>[-24.87%</w:t>
            </w:r>
            <w:r>
              <w:rPr>
                <w:spacing w:val="4"/>
                <w:position w:val="2"/>
              </w:rPr>
              <w:t>，</w:t>
            </w:r>
            <w:r>
              <w:rPr>
                <w:rFonts w:ascii="Arial" w:eastAsia="Arial" w:hAnsi="Arial" w:cs="Arial"/>
                <w:spacing w:val="4"/>
                <w:position w:val="2"/>
              </w:rPr>
              <w:t>4.87%]</w:t>
            </w:r>
            <w:r>
              <w:rPr>
                <w:rFonts w:ascii="Arial" w:eastAsia="Arial" w:hAnsi="Arial" w:cs="Arial"/>
                <w:spacing w:val="-19"/>
                <w:position w:val="2"/>
              </w:rPr>
              <w:t xml:space="preserve"> </w:t>
            </w:r>
            <w:r>
              <w:rPr>
                <w:spacing w:val="4"/>
                <w:position w:val="2"/>
              </w:rPr>
              <w:t>，收益均值为</w:t>
            </w:r>
            <w:r>
              <w:rPr>
                <w:rFonts w:ascii="Arial" w:eastAsia="Arial" w:hAnsi="Arial" w:cs="Arial"/>
                <w:spacing w:val="4"/>
                <w:position w:val="2"/>
              </w:rPr>
              <w:t>-3.80%</w:t>
            </w:r>
            <w:r>
              <w:rPr>
                <w:rFonts w:ascii="Arial" w:eastAsia="Arial" w:hAnsi="Arial" w:cs="Arial"/>
                <w:spacing w:val="-31"/>
                <w:position w:val="2"/>
              </w:rPr>
              <w:t xml:space="preserve"> </w:t>
            </w:r>
            <w:r>
              <w:rPr>
                <w:spacing w:val="4"/>
                <w:position w:val="2"/>
              </w:rPr>
              <w:t>，其</w:t>
            </w:r>
          </w:p>
        </w:tc>
      </w:tr>
      <w:tr>
        <w:tblPrEx>
          <w:tblW w:w="10789" w:type="dxa"/>
          <w:tblInd w:w="538" w:type="dxa"/>
          <w:tblLayout w:type="fixed"/>
        </w:tblPrEx>
        <w:trPr>
          <w:trHeight w:val="4930"/>
        </w:trPr>
        <w:tc>
          <w:tcPr>
            <w:tcW w:w="3374" w:type="dxa"/>
            <w:vAlign w:val="top"/>
          </w:tcPr>
          <w:p>
            <w:pPr>
              <w:pStyle w:val="TableText"/>
              <w:spacing w:before="183" w:line="230" w:lineRule="auto"/>
              <w:ind w:left="8"/>
              <w:rPr>
                <w:sz w:val="22"/>
                <w:szCs w:val="22"/>
              </w:rPr>
            </w:pPr>
            <w:r>
              <w:pict>
                <v:shape id="_x0000_s1025" style="width:158.75pt;height:0.5pt;margin-top:23.47pt;margin-left:-168.7pt;mso-position-horizontal-relative:right-margin-area;mso-position-vertical-relative:top-margin-area;position:absolute;z-index:251658240" coordorigin="0,0" coordsize="3175,10" path="m,l3175,l3175,9l,9l,xe" filled="t" fillcolor="black" stroked="f"/>
              </w:pict>
            </w:r>
            <w:r>
              <w:rPr>
                <w:spacing w:val="-1"/>
                <w:sz w:val="22"/>
                <w:szCs w:val="22"/>
                <w14:textOutline w14:w="401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相关研究报告</w:t>
            </w:r>
          </w:p>
        </w:tc>
        <w:tc>
          <w:tcPr>
            <w:tcW w:w="7415" w:type="dxa"/>
            <w:vAlign w:val="top"/>
          </w:tcPr>
          <w:p>
            <w:pPr>
              <w:pStyle w:val="TableText"/>
              <w:spacing w:before="32" w:line="234" w:lineRule="auto"/>
              <w:ind w:left="231"/>
            </w:pPr>
            <w:r>
              <w:rPr>
                <w:spacing w:val="8"/>
              </w:rPr>
              <w:t>中权益仓位相对较低的投连险账户表现相对较优。</w:t>
            </w:r>
          </w:p>
          <w:p>
            <w:pPr>
              <w:pStyle w:val="TableText"/>
              <w:spacing w:before="50" w:line="285" w:lineRule="auto"/>
              <w:ind w:left="203" w:right="6" w:firstLine="13"/>
            </w:pPr>
            <w:r>
              <w:rPr>
                <w:rFonts w:ascii="Wingdings" w:eastAsia="Wingdings" w:hAnsi="Wingdings" w:cs="Wingdings"/>
                <w:spacing w:val="8"/>
              </w:rPr>
              <w:sym w:font="Wingdings" w:char="F075"/>
            </w:r>
            <w:r>
              <w:rPr>
                <w:rFonts w:ascii="Arial" w:eastAsia="Arial" w:hAnsi="Arial" w:cs="Arial"/>
                <w:b/>
                <w:bCs/>
                <w:spacing w:val="8"/>
              </w:rPr>
              <w:t xml:space="preserve">2023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年各类投连险账户市场表现：</w:t>
            </w:r>
            <w:r>
              <w:rPr>
                <w:spacing w:val="8"/>
              </w:rPr>
              <w:t>根据华宝证券分类标准，目前纳入</w:t>
            </w:r>
            <w:r>
              <w:rPr>
                <w:spacing w:val="7"/>
              </w:rPr>
              <w:t>排名体</w:t>
            </w:r>
            <w:r>
              <w:t xml:space="preserve"> </w:t>
            </w:r>
            <w:r>
              <w:rPr>
                <w:spacing w:val="27"/>
              </w:rPr>
              <w:t>系的投连险账户中共有指数型投连险产品</w:t>
            </w:r>
            <w:r>
              <w:rPr>
                <w:spacing w:val="-18"/>
              </w:rPr>
              <w:t xml:space="preserve"> </w:t>
            </w:r>
            <w:r>
              <w:rPr>
                <w:rFonts w:ascii="Arial" w:eastAsia="Arial" w:hAnsi="Arial" w:cs="Arial"/>
                <w:spacing w:val="27"/>
              </w:rPr>
              <w:t>6</w:t>
            </w:r>
            <w:r>
              <w:rPr>
                <w:rFonts w:ascii="Arial" w:eastAsia="Arial" w:hAnsi="Arial" w:cs="Arial"/>
                <w:spacing w:val="29"/>
              </w:rPr>
              <w:t xml:space="preserve"> </w:t>
            </w:r>
            <w:r>
              <w:rPr>
                <w:spacing w:val="27"/>
              </w:rPr>
              <w:t>只</w:t>
            </w:r>
            <w:r>
              <w:rPr>
                <w:spacing w:val="-53"/>
              </w:rPr>
              <w:t xml:space="preserve"> </w:t>
            </w:r>
            <w:r>
              <w:rPr>
                <w:spacing w:val="26"/>
              </w:rPr>
              <w:t>，</w:t>
            </w:r>
            <w:r>
              <w:rPr>
                <w:spacing w:val="-59"/>
              </w:rPr>
              <w:t xml:space="preserve"> </w:t>
            </w:r>
            <w:r>
              <w:rPr>
                <w:spacing w:val="26"/>
              </w:rPr>
              <w:t>平均年度累计收益率为</w:t>
            </w:r>
            <w: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-</w:t>
            </w:r>
            <w:r>
              <w:rPr>
                <w:rFonts w:ascii="Arial" w:eastAsia="Arial" w:hAnsi="Arial" w:cs="Arial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10.57%</w:t>
            </w:r>
            <w:r>
              <w:rPr>
                <w:spacing w:val="8"/>
              </w:rPr>
              <w:t>；激进型投连险</w:t>
            </w:r>
            <w:r>
              <w:rPr>
                <w:spacing w:val="-40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 xml:space="preserve">46 </w:t>
            </w:r>
            <w:r>
              <w:rPr>
                <w:spacing w:val="8"/>
              </w:rPr>
              <w:t>只，平均年度累计收益为</w:t>
            </w:r>
            <w:r>
              <w:rPr>
                <w:rFonts w:ascii="Arial" w:eastAsia="Arial" w:hAnsi="Arial" w:cs="Arial"/>
                <w:spacing w:val="8"/>
              </w:rPr>
              <w:t>-</w:t>
            </w:r>
            <w:r>
              <w:rPr>
                <w:rFonts w:ascii="Arial" w:eastAsia="Arial" w:hAnsi="Arial" w:cs="Arial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spacing w:val="8"/>
              </w:rPr>
              <w:t>10.19</w:t>
            </w:r>
            <w:r>
              <w:rPr>
                <w:rFonts w:ascii="Arial" w:eastAsia="Arial" w:hAnsi="Arial" w:cs="Arial"/>
                <w:spacing w:val="7"/>
              </w:rPr>
              <w:t>%</w:t>
            </w:r>
            <w:r>
              <w:rPr>
                <w:spacing w:val="7"/>
              </w:rPr>
              <w:t>；混合激进型账</w:t>
            </w:r>
            <w:r>
              <w:t xml:space="preserve"> </w:t>
            </w:r>
            <w:r>
              <w:rPr>
                <w:spacing w:val="7"/>
              </w:rPr>
              <w:t>户</w:t>
            </w:r>
            <w:r>
              <w:rPr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40 </w:t>
            </w:r>
            <w:r>
              <w:rPr>
                <w:spacing w:val="7"/>
              </w:rPr>
              <w:t>只，平均年度累计收益为</w:t>
            </w:r>
            <w:r>
              <w:rPr>
                <w:rFonts w:ascii="Arial" w:eastAsia="Arial" w:hAnsi="Arial" w:cs="Arial"/>
                <w:spacing w:val="7"/>
              </w:rPr>
              <w:t>-8.36%</w:t>
            </w:r>
            <w:r>
              <w:rPr>
                <w:spacing w:val="7"/>
              </w:rPr>
              <w:t>；混合保守型账户</w:t>
            </w:r>
            <w:r>
              <w:rPr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28 </w:t>
            </w:r>
            <w:r>
              <w:rPr>
                <w:spacing w:val="7"/>
              </w:rPr>
              <w:t>只，平均年度累计</w:t>
            </w:r>
            <w:r>
              <w:t xml:space="preserve"> </w:t>
            </w:r>
            <w:r>
              <w:rPr>
                <w:spacing w:val="7"/>
              </w:rPr>
              <w:t>收益为</w:t>
            </w:r>
            <w:r>
              <w:rPr>
                <w:rFonts w:ascii="Arial" w:eastAsia="Arial" w:hAnsi="Arial" w:cs="Arial"/>
                <w:spacing w:val="7"/>
              </w:rPr>
              <w:t>-4.60%</w:t>
            </w:r>
            <w:r>
              <w:rPr>
                <w:spacing w:val="7"/>
              </w:rPr>
              <w:t>；债券型投连险产品</w:t>
            </w:r>
            <w:r>
              <w:rPr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31 </w:t>
            </w:r>
            <w:r>
              <w:rPr>
                <w:spacing w:val="7"/>
              </w:rPr>
              <w:t>只，其中</w:t>
            </w:r>
            <w:r>
              <w:rPr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7"/>
              </w:rPr>
              <w:t xml:space="preserve">16 </w:t>
            </w:r>
            <w:r>
              <w:rPr>
                <w:spacing w:val="7"/>
              </w:rPr>
              <w:t>只增强债券</w:t>
            </w:r>
            <w:r>
              <w:rPr>
                <w:spacing w:val="6"/>
              </w:rPr>
              <w:t>型账户整体平均</w:t>
            </w:r>
            <w:r>
              <w:t xml:space="preserve"> </w:t>
            </w:r>
            <w:r>
              <w:rPr>
                <w:spacing w:val="5"/>
              </w:rPr>
              <w:t>年度累计收益为</w:t>
            </w:r>
            <w:r>
              <w:rPr>
                <w:spacing w:val="-13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>1.01%</w:t>
            </w:r>
            <w:r>
              <w:rPr>
                <w:rFonts w:ascii="Arial" w:eastAsia="Arial" w:hAnsi="Arial" w:cs="Arial"/>
                <w:spacing w:val="-29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>
                <w:rFonts w:ascii="Arial" w:eastAsia="Arial" w:hAnsi="Arial" w:cs="Arial"/>
                <w:spacing w:val="5"/>
              </w:rPr>
              <w:t xml:space="preserve">15 </w:t>
            </w:r>
            <w:r>
              <w:rPr>
                <w:spacing w:val="5"/>
              </w:rPr>
              <w:t>只全债型账户整体平均年度累计收益为</w:t>
            </w:r>
            <w:r>
              <w:rPr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spacing w:val="5"/>
              </w:rPr>
              <w:t>1.41%</w:t>
            </w:r>
            <w:r>
              <w:rPr>
                <w:spacing w:val="5"/>
              </w:rPr>
              <w:t>；纳</w:t>
            </w:r>
            <w:r>
              <w:t xml:space="preserve"> </w:t>
            </w:r>
            <w:r>
              <w:rPr>
                <w:spacing w:val="6"/>
              </w:rPr>
              <w:t>入排名的</w:t>
            </w:r>
            <w:r>
              <w:rPr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26 </w:t>
            </w:r>
            <w:r>
              <w:rPr>
                <w:spacing w:val="6"/>
              </w:rPr>
              <w:t>只类固定收益型账户的年度平均累计收益为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2.12%</w:t>
            </w:r>
            <w:r>
              <w:rPr>
                <w:spacing w:val="6"/>
              </w:rPr>
              <w:t>；货币型投连险</w:t>
            </w:r>
            <w:r>
              <w:t xml:space="preserve"> </w:t>
            </w:r>
            <w:r>
              <w:rPr>
                <w:spacing w:val="6"/>
              </w:rPr>
              <w:t>账户</w:t>
            </w:r>
            <w:r>
              <w:rPr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 xml:space="preserve">40 </w:t>
            </w:r>
            <w:r>
              <w:rPr>
                <w:spacing w:val="6"/>
              </w:rPr>
              <w:t>只，整体平均年度累计收益为</w:t>
            </w:r>
            <w:r>
              <w:rPr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spacing w:val="6"/>
              </w:rPr>
              <w:t>1.96%</w:t>
            </w:r>
            <w:r>
              <w:rPr>
                <w:spacing w:val="6"/>
              </w:rPr>
              <w:t>。</w:t>
            </w:r>
          </w:p>
          <w:p>
            <w:pPr>
              <w:pStyle w:val="TableText"/>
              <w:spacing w:before="36" w:line="274" w:lineRule="auto"/>
              <w:ind w:left="202" w:right="13" w:firstLine="14"/>
              <w:jc w:val="both"/>
            </w:pPr>
            <w:r>
              <w:drawing>
                <wp:inline distT="0" distB="0" distL="0" distR="0">
                  <wp:extent cx="107101" cy="9693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01" cy="96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风险提示：</w:t>
            </w:r>
            <w:r>
              <w:rPr>
                <w:spacing w:val="13"/>
              </w:rPr>
              <w:t>本报告涉及投连险相关内容，若</w:t>
            </w:r>
            <w:r>
              <w:rPr>
                <w:spacing w:val="12"/>
              </w:rPr>
              <w:t>您非合格投资者，请勿阅读本报</w:t>
            </w:r>
            <w:r>
              <w:t xml:space="preserve"> </w:t>
            </w:r>
            <w:r>
              <w:rPr>
                <w:spacing w:val="12"/>
              </w:rPr>
              <w:t>告；本报告中的产品分类是根据定期报告进</w:t>
            </w:r>
            <w:r>
              <w:rPr>
                <w:spacing w:val="11"/>
              </w:rPr>
              <w:t>行梳理总结所得，产品的统计情况</w:t>
            </w:r>
            <w:r>
              <w:t xml:space="preserve"> </w:t>
            </w:r>
            <w:r>
              <w:rPr>
                <w:spacing w:val="12"/>
              </w:rPr>
              <w:t>可能随着时间和市场的变化以及统计方法不</w:t>
            </w:r>
            <w:r>
              <w:rPr>
                <w:spacing w:val="11"/>
              </w:rPr>
              <w:t>同而有差异；本报告中的规模情况</w:t>
            </w:r>
            <w:r>
              <w:t xml:space="preserve"> </w:t>
            </w:r>
            <w:r>
              <w:rPr>
                <w:spacing w:val="12"/>
              </w:rPr>
              <w:t>根据历史公开数据及定期报告整理，可能存</w:t>
            </w:r>
            <w:r>
              <w:rPr>
                <w:spacing w:val="11"/>
              </w:rPr>
              <w:t>在披露不及时导致的滞后问题以及</w:t>
            </w:r>
            <w:r>
              <w:t xml:space="preserve"> </w:t>
            </w:r>
            <w:r>
              <w:rPr>
                <w:spacing w:val="12"/>
              </w:rPr>
              <w:t>与真实实际数据有一定的出入；本报告中的</w:t>
            </w:r>
            <w:r>
              <w:rPr>
                <w:spacing w:val="11"/>
              </w:rPr>
              <w:t>收益排名根据公开数据整理，受数</w:t>
            </w:r>
            <w:r>
              <w:t xml:space="preserve"> </w:t>
            </w:r>
            <w:r>
              <w:rPr>
                <w:spacing w:val="12"/>
              </w:rPr>
              <w:t>据可得性影响，收益率排序可能不客观，仅</w:t>
            </w:r>
            <w:r>
              <w:rPr>
                <w:spacing w:val="11"/>
              </w:rPr>
              <w:t>展示使用，不作为评价依据，不做</w:t>
            </w:r>
            <w:r>
              <w:t xml:space="preserve"> </w:t>
            </w:r>
            <w:r>
              <w:rPr>
                <w:spacing w:val="7"/>
              </w:rPr>
              <w:t>投资参考之用。</w:t>
            </w:r>
          </w:p>
        </w:tc>
      </w:tr>
    </w:tbl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pgSz w:w="11906" w:h="16839"/>
          <w:pgMar w:top="491" w:right="0" w:bottom="0" w:left="27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spacing w:before="59" w:line="222" w:lineRule="auto"/>
        <w:ind w:left="550"/>
        <w:rPr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敬请参阅报告结尾处免责声明</w:t>
      </w:r>
      <w:r>
        <w:rPr>
          <w:rFonts w:ascii="KaiTi" w:eastAsia="KaiTi" w:hAnsi="KaiTi" w:cs="KaiTi"/>
          <w:spacing w:val="38"/>
          <w:sz w:val="18"/>
          <w:szCs w:val="18"/>
        </w:rPr>
        <w:t xml:space="preserve">  </w:t>
      </w:r>
      <w:r>
        <w:rPr>
          <w:position w:val="2"/>
          <w:sz w:val="18"/>
          <w:szCs w:val="18"/>
        </w:rPr>
        <w:drawing>
          <wp:inline distT="0" distB="0" distL="0" distR="0">
            <wp:extent cx="5192267" cy="1066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2267" cy="10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" w:line="224" w:lineRule="auto"/>
        <w:ind w:left="1060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4"/>
          <w:sz w:val="18"/>
          <w:szCs w:val="18"/>
        </w:rPr>
        <w:t>华宝证券</w:t>
      </w:r>
    </w:p>
    <w:p>
      <w:pPr>
        <w:spacing w:line="224" w:lineRule="auto"/>
        <w:rPr>
          <w:rFonts w:ascii="KaiTi" w:eastAsia="KaiTi" w:hAnsi="KaiTi" w:cs="KaiTi"/>
          <w:sz w:val="18"/>
          <w:szCs w:val="18"/>
        </w:rPr>
        <w:sectPr>
          <w:type w:val="nextPage"/>
          <w:pgSz w:w="11906" w:h="16839"/>
          <w:pgMar w:top="491" w:right="0" w:bottom="0" w:left="27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34" w:lineRule="auto"/>
      </w:pPr>
      <w:r>
        <w:pict>
          <v:shape id="_x0000_s1026" style="width:352.1pt;height:0.85pt;margin-top:796.56pt;margin-left:186.12pt;mso-position-horizontal-relative:page;mso-position-vertical-relative:page;position:absolute;z-index:-251657216" coordorigin="0,0" coordsize="7042,17" o:allowincell="f" path="m,l7041,l7041,16l,16l,xe" filled="t" fillcolor="#b30924" stroked="f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388620</wp:posOffset>
            </wp:positionH>
            <wp:positionV relativeFrom="page">
              <wp:posOffset>350519</wp:posOffset>
            </wp:positionV>
            <wp:extent cx="5078095" cy="399288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8095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96" w:lineRule="exact"/>
        <w:ind w:firstLine="8086"/>
      </w:pPr>
      <w:r>
        <w:rPr>
          <w:position w:val="-7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7" type="#_x0000_t202" style="width:103.85pt;height:19.85pt;mso-position-horizontal-relative:char;mso-position-vertical-relative:line" filled="t" fillcolor="#af2135" stroked="f">
            <o:lock v:ext="edit" aspectratio="f"/>
            <v:textbox inset="0,0,0,0">
              <w:txbxContent>
                <w:p>
                  <w:pPr>
                    <w:spacing w:before="107" w:line="223" w:lineRule="auto"/>
                    <w:ind w:left="317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z w:val="18"/>
                      <w:szCs w:val="18"/>
                      <w14:textOutline w14:w="326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金融产品年度报告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sdt>
      <w:sdtPr>
        <w:rPr>
          <w:rFonts w:ascii="KaiTi" w:eastAsia="KaiTi" w:hAnsi="KaiTi" w:cs="KaiTi"/>
          <w:sz w:val="31"/>
          <w:szCs w:val="31"/>
        </w:rPr>
        <w:id w:val="96237780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spacing w:before="101" w:line="232" w:lineRule="auto"/>
            <w:ind w:left="5103"/>
            <w:rPr>
              <w:rFonts w:ascii="KaiTi" w:eastAsia="KaiTi" w:hAnsi="KaiTi" w:cs="KaiTi"/>
              <w:sz w:val="31"/>
              <w:szCs w:val="31"/>
            </w:rPr>
          </w:pPr>
          <w:bookmarkStart w:id="0" w:name="bookmark1"/>
          <w:bookmarkEnd w:id="0"/>
          <w:r>
            <w:rPr>
              <w:rFonts w:ascii="KaiTi" w:eastAsia="KaiTi" w:hAnsi="KaiTi" w:cs="KaiTi"/>
              <w:spacing w:val="-31"/>
              <w:sz w:val="31"/>
              <w:szCs w:val="31"/>
              <w14:textOutline w14:w="5793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目录</w:t>
          </w:r>
        </w:p>
        <w:p>
          <w:pPr>
            <w:pStyle w:val="BodyText"/>
            <w:tabs>
              <w:tab w:val="right" w:leader="dot" w:pos="10147"/>
            </w:tabs>
            <w:spacing w:before="131" w:line="232" w:lineRule="auto"/>
            <w:ind w:left="537"/>
            <w:rPr>
              <w:sz w:val="20"/>
              <w:szCs w:val="20"/>
            </w:rPr>
          </w:pPr>
          <w:r>
            <w:rPr>
              <w:b/>
              <w:bCs/>
              <w:spacing w:val="5"/>
              <w:sz w:val="20"/>
              <w:szCs w:val="20"/>
            </w:rPr>
            <w:t xml:space="preserve">1.  </w:t>
          </w:r>
          <w:r>
            <w:rPr>
              <w:rFonts w:ascii="KaiTi" w:eastAsia="KaiTi" w:hAnsi="KaiTi" w:cs="KaiTi"/>
              <w:spacing w:val="5"/>
              <w:sz w:val="20"/>
              <w:szCs w:val="20"/>
              <w14:textOutline w14:w="3795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华宝证券分类体系</w:t>
          </w:r>
          <w:r>
            <w:rPr>
              <w:rFonts w:ascii="KaiTi" w:eastAsia="KaiTi" w:hAnsi="KaiTi" w:cs="KaiTi"/>
              <w:spacing w:val="-79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2" w:history="1">
            <w:r>
              <w:rPr>
                <w:b/>
                <w:bCs/>
                <w:spacing w:val="7"/>
                <w:sz w:val="20"/>
                <w:szCs w:val="20"/>
              </w:rPr>
              <w:t>1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1" w:line="235" w:lineRule="auto"/>
            <w:ind w:left="526"/>
            <w:rPr>
              <w:sz w:val="20"/>
              <w:szCs w:val="20"/>
            </w:rPr>
          </w:pPr>
          <w:r>
            <w:rPr>
              <w:b/>
              <w:bCs/>
              <w:spacing w:val="8"/>
              <w:sz w:val="20"/>
              <w:szCs w:val="20"/>
            </w:rPr>
            <w:t xml:space="preserve">2.  </w:t>
          </w:r>
          <w:r>
            <w:rPr>
              <w:rFonts w:ascii="KaiTi" w:eastAsia="KaiTi" w:hAnsi="KaiTi" w:cs="KaiTi"/>
              <w:spacing w:val="8"/>
              <w:sz w:val="20"/>
              <w:szCs w:val="20"/>
              <w14:textOutline w14:w="3795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纳入统计的投连险账户规模情况</w:t>
          </w:r>
          <w:r>
            <w:rPr>
              <w:rFonts w:ascii="KaiTi" w:eastAsia="KaiTi" w:hAnsi="KaiTi" w:cs="KaiTi"/>
              <w:spacing w:val="-87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5"/>
              <w:sz w:val="20"/>
              <w:szCs w:val="20"/>
            </w:rPr>
            <w:t xml:space="preserve"> </w:t>
          </w:r>
          <w:hyperlink w:anchor="bookmark3" w:history="1">
            <w:r>
              <w:rPr>
                <w:b/>
                <w:bCs/>
                <w:sz w:val="20"/>
                <w:szCs w:val="20"/>
              </w:rPr>
              <w:t>1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7" w:line="235" w:lineRule="auto"/>
            <w:ind w:left="886"/>
            <w:rPr>
              <w:sz w:val="20"/>
              <w:szCs w:val="20"/>
            </w:rPr>
          </w:pPr>
          <w:r>
            <w:rPr>
              <w:spacing w:val="8"/>
              <w:sz w:val="20"/>
              <w:szCs w:val="20"/>
            </w:rPr>
            <w:t>2.1.</w:t>
          </w:r>
          <w:r>
            <w:rPr>
              <w:spacing w:val="57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各保险机构旗下投连险账户规模情况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7"/>
              <w:sz w:val="20"/>
              <w:szCs w:val="20"/>
            </w:rPr>
            <w:t xml:space="preserve"> </w:t>
          </w:r>
          <w:hyperlink w:anchor="bookmark4" w:history="1">
            <w:r>
              <w:rPr>
                <w:spacing w:val="-18"/>
                <w:sz w:val="20"/>
                <w:szCs w:val="20"/>
              </w:rPr>
              <w:t>1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7" w:line="235" w:lineRule="auto"/>
            <w:ind w:left="886"/>
            <w:rPr>
              <w:sz w:val="20"/>
              <w:szCs w:val="20"/>
            </w:rPr>
          </w:pPr>
          <w:r>
            <w:rPr>
              <w:spacing w:val="6"/>
              <w:sz w:val="20"/>
              <w:szCs w:val="20"/>
            </w:rPr>
            <w:t xml:space="preserve">2.2. 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投连险分类账户规模情况</w:t>
          </w:r>
          <w:r>
            <w:rPr>
              <w:rFonts w:ascii="KaiTi" w:eastAsia="KaiTi" w:hAnsi="KaiTi" w:cs="KaiTi"/>
              <w:spacing w:val="-7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4"/>
              <w:sz w:val="20"/>
              <w:szCs w:val="20"/>
            </w:rPr>
            <w:t xml:space="preserve"> </w:t>
          </w:r>
          <w:hyperlink w:anchor="bookmark1" w:history="1">
            <w:r>
              <w:rPr>
                <w:sz w:val="20"/>
                <w:szCs w:val="20"/>
              </w:rPr>
              <w:t>2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7" w:line="234" w:lineRule="auto"/>
            <w:ind w:left="528"/>
            <w:rPr>
              <w:sz w:val="20"/>
              <w:szCs w:val="20"/>
            </w:rPr>
          </w:pPr>
          <w:r>
            <w:rPr>
              <w:b/>
              <w:bCs/>
              <w:spacing w:val="7"/>
              <w:sz w:val="20"/>
              <w:szCs w:val="20"/>
            </w:rPr>
            <w:t xml:space="preserve">3.  </w:t>
          </w:r>
          <w:r>
            <w:rPr>
              <w:rFonts w:ascii="KaiTi" w:eastAsia="KaiTi" w:hAnsi="KaiTi" w:cs="KaiTi"/>
              <w:spacing w:val="7"/>
              <w:sz w:val="20"/>
              <w:szCs w:val="20"/>
              <w14:textOutline w14:w="3795" w14:cap="sq">
                <w14:solidFill>
                  <w14:srgbClr w14:val="000000"/>
                </w14:solidFill>
                <w14:prstDash w14:val="solid"/>
                <w14:bevel/>
              </w14:textOutline>
            </w:rPr>
            <w:t>中国投连险账户收益情况总览</w:t>
          </w:r>
          <w:r>
            <w:rPr>
              <w:rFonts w:ascii="KaiTi" w:eastAsia="KaiTi" w:hAnsi="KaiTi" w:cs="KaiTi"/>
              <w:spacing w:val="-76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1"/>
              <w:sz w:val="20"/>
              <w:szCs w:val="20"/>
            </w:rPr>
            <w:t xml:space="preserve"> </w:t>
          </w:r>
          <w:hyperlink w:anchor="bookmark5" w:history="1">
            <w:r>
              <w:rPr>
                <w:b/>
                <w:bCs/>
                <w:sz w:val="20"/>
                <w:szCs w:val="20"/>
              </w:rPr>
              <w:t>3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5" w:lineRule="auto"/>
            <w:ind w:left="889"/>
            <w:rPr>
              <w:sz w:val="20"/>
              <w:szCs w:val="20"/>
            </w:rPr>
          </w:pPr>
          <w:r>
            <w:rPr>
              <w:spacing w:val="1"/>
              <w:sz w:val="20"/>
              <w:szCs w:val="20"/>
            </w:rPr>
            <w:t>3.</w:t>
          </w:r>
          <w:r>
            <w:rPr>
              <w:spacing w:val="-27"/>
              <w:sz w:val="20"/>
              <w:szCs w:val="20"/>
            </w:rPr>
            <w:t xml:space="preserve"> </w:t>
          </w:r>
          <w:r>
            <w:rPr>
              <w:spacing w:val="1"/>
              <w:sz w:val="20"/>
              <w:szCs w:val="20"/>
            </w:rPr>
            <w:t xml:space="preserve">1.  </w:t>
          </w:r>
          <w:r>
            <w:rPr>
              <w:rFonts w:ascii="KaiTi" w:eastAsia="KaiTi" w:hAnsi="KaiTi" w:cs="KaiTi"/>
              <w:spacing w:val="1"/>
              <w:sz w:val="20"/>
              <w:szCs w:val="20"/>
            </w:rPr>
            <w:t>市场回顾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6" w:history="1">
            <w:r>
              <w:rPr>
                <w:spacing w:val="7"/>
                <w:sz w:val="20"/>
                <w:szCs w:val="20"/>
              </w:rPr>
              <w:t>3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7" w:line="234" w:lineRule="auto"/>
            <w:ind w:left="889"/>
            <w:rPr>
              <w:sz w:val="20"/>
              <w:szCs w:val="20"/>
            </w:rPr>
          </w:pPr>
          <w:r>
            <w:rPr>
              <w:spacing w:val="6"/>
              <w:sz w:val="20"/>
              <w:szCs w:val="20"/>
            </w:rPr>
            <w:t xml:space="preserve">3.2. 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中国投连险账户收益情况汇总</w:t>
          </w:r>
          <w:r>
            <w:rPr>
              <w:rFonts w:ascii="KaiTi" w:eastAsia="KaiTi" w:hAnsi="KaiTi" w:cs="KaiTi"/>
              <w:spacing w:val="-67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6"/>
              <w:sz w:val="20"/>
              <w:szCs w:val="20"/>
            </w:rPr>
            <w:t xml:space="preserve"> </w:t>
          </w:r>
          <w:hyperlink w:anchor="bookmark7" w:history="1">
            <w:r>
              <w:rPr>
                <w:sz w:val="20"/>
                <w:szCs w:val="20"/>
              </w:rPr>
              <w:t>3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2" w:lineRule="auto"/>
            <w:ind w:left="524"/>
            <w:rPr>
              <w:sz w:val="20"/>
              <w:szCs w:val="20"/>
            </w:rPr>
          </w:pPr>
          <w:r>
            <w:rPr>
              <w:b/>
              <w:bCs/>
              <w:spacing w:val="8"/>
              <w:sz w:val="20"/>
              <w:szCs w:val="20"/>
            </w:rPr>
            <w:t xml:space="preserve">4.  </w:t>
          </w:r>
          <w:r>
            <w:rPr>
              <w:rFonts w:ascii="KaiTi" w:eastAsia="KaiTi" w:hAnsi="KaiTi" w:cs="KaiTi"/>
              <w:spacing w:val="8"/>
              <w:sz w:val="20"/>
              <w:szCs w:val="20"/>
              <w14:textOutline w14:w="3795" w14:cap="sq">
                <w14:solidFill>
                  <w14:srgbClr w14:val="000000"/>
                </w14:solidFill>
                <w14:prstDash w14:val="solid"/>
                <w14:bevel/>
              </w14:textOutline>
            </w:rPr>
            <w:t>中国投连险账户市场表现分类点评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62"/>
              <w:sz w:val="20"/>
              <w:szCs w:val="20"/>
            </w:rPr>
            <w:t xml:space="preserve"> </w:t>
          </w:r>
          <w:hyperlink w:anchor="bookmark8" w:history="1">
            <w:r>
              <w:rPr>
                <w:b/>
                <w:bCs/>
                <w:spacing w:val="1"/>
                <w:sz w:val="20"/>
                <w:szCs w:val="20"/>
              </w:rPr>
              <w:t>4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0" w:line="237" w:lineRule="auto"/>
            <w:ind w:left="883"/>
            <w:rPr>
              <w:sz w:val="20"/>
              <w:szCs w:val="20"/>
            </w:rPr>
          </w:pPr>
          <w:r>
            <w:rPr>
              <w:spacing w:val="3"/>
              <w:sz w:val="20"/>
              <w:szCs w:val="20"/>
            </w:rPr>
            <w:t>4.</w:t>
          </w:r>
          <w:r>
            <w:rPr>
              <w:spacing w:val="-33"/>
              <w:sz w:val="20"/>
              <w:szCs w:val="20"/>
            </w:rPr>
            <w:t xml:space="preserve"> </w:t>
          </w:r>
          <w:r>
            <w:rPr>
              <w:spacing w:val="3"/>
              <w:sz w:val="20"/>
              <w:szCs w:val="20"/>
            </w:rPr>
            <w:t xml:space="preserve">1.  </w:t>
          </w:r>
          <w:r>
            <w:rPr>
              <w:rFonts w:ascii="KaiTi" w:eastAsia="KaiTi" w:hAnsi="KaiTi" w:cs="KaiTi"/>
              <w:spacing w:val="3"/>
              <w:sz w:val="20"/>
              <w:szCs w:val="20"/>
            </w:rPr>
            <w:t>指数型账户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9" w:history="1">
            <w:r>
              <w:rPr>
                <w:spacing w:val="4"/>
                <w:sz w:val="20"/>
                <w:szCs w:val="20"/>
              </w:rPr>
              <w:t>4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6" w:line="237" w:lineRule="auto"/>
            <w:ind w:left="883"/>
            <w:rPr>
              <w:sz w:val="20"/>
              <w:szCs w:val="20"/>
            </w:rPr>
          </w:pPr>
          <w:r>
            <w:rPr>
              <w:spacing w:val="5"/>
              <w:sz w:val="20"/>
              <w:szCs w:val="20"/>
            </w:rPr>
            <w:t xml:space="preserve">4.2.  </w:t>
          </w:r>
          <w:r>
            <w:rPr>
              <w:rFonts w:ascii="KaiTi" w:eastAsia="KaiTi" w:hAnsi="KaiTi" w:cs="KaiTi"/>
              <w:spacing w:val="5"/>
              <w:sz w:val="20"/>
              <w:szCs w:val="20"/>
            </w:rPr>
            <w:t>激进型账户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10" w:history="1">
            <w:r>
              <w:rPr>
                <w:spacing w:val="4"/>
                <w:sz w:val="20"/>
                <w:szCs w:val="20"/>
              </w:rPr>
              <w:t>5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5" w:line="237" w:lineRule="auto"/>
            <w:ind w:left="883"/>
            <w:rPr>
              <w:sz w:val="20"/>
              <w:szCs w:val="20"/>
            </w:rPr>
          </w:pPr>
          <w:r>
            <w:rPr>
              <w:spacing w:val="4"/>
              <w:sz w:val="20"/>
              <w:szCs w:val="20"/>
            </w:rPr>
            <w:t>4.3.</w:t>
          </w:r>
          <w:r>
            <w:rPr>
              <w:spacing w:val="10"/>
              <w:sz w:val="20"/>
              <w:szCs w:val="20"/>
            </w:rPr>
            <w:t xml:space="preserve">  </w:t>
          </w:r>
          <w:r>
            <w:rPr>
              <w:rFonts w:ascii="KaiTi" w:eastAsia="KaiTi" w:hAnsi="KaiTi" w:cs="KaiTi"/>
              <w:spacing w:val="4"/>
              <w:sz w:val="20"/>
              <w:szCs w:val="20"/>
            </w:rPr>
            <w:t>混合型账户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11" w:history="1">
            <w:r>
              <w:rPr>
                <w:spacing w:val="4"/>
                <w:sz w:val="20"/>
                <w:szCs w:val="20"/>
              </w:rPr>
              <w:t>6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5" w:line="234" w:lineRule="auto"/>
            <w:ind w:left="883"/>
            <w:rPr>
              <w:sz w:val="20"/>
              <w:szCs w:val="20"/>
            </w:rPr>
          </w:pPr>
          <w:r>
            <w:rPr>
              <w:spacing w:val="5"/>
              <w:sz w:val="20"/>
              <w:szCs w:val="20"/>
            </w:rPr>
            <w:t xml:space="preserve">4.4.  </w:t>
          </w:r>
          <w:r>
            <w:rPr>
              <w:rFonts w:ascii="KaiTi" w:eastAsia="KaiTi" w:hAnsi="KaiTi" w:cs="KaiTi"/>
              <w:spacing w:val="5"/>
              <w:sz w:val="20"/>
              <w:szCs w:val="20"/>
            </w:rPr>
            <w:t>债券型账户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12" w:history="1">
            <w:r>
              <w:rPr>
                <w:spacing w:val="4"/>
                <w:sz w:val="20"/>
                <w:szCs w:val="20"/>
              </w:rPr>
              <w:t>9</w:t>
            </w:r>
          </w:hyperlink>
        </w:p>
        <w:p>
          <w:pPr>
            <w:pStyle w:val="BodyText"/>
            <w:tabs>
              <w:tab w:val="right" w:leader="dot" w:pos="10152"/>
            </w:tabs>
            <w:spacing w:before="59" w:line="237" w:lineRule="auto"/>
            <w:ind w:left="883"/>
            <w:rPr>
              <w:sz w:val="20"/>
              <w:szCs w:val="20"/>
            </w:rPr>
          </w:pPr>
          <w:r>
            <w:rPr>
              <w:spacing w:val="6"/>
              <w:sz w:val="20"/>
              <w:szCs w:val="20"/>
            </w:rPr>
            <w:t xml:space="preserve">4.5. 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类固定收益型账户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28"/>
              <w:sz w:val="20"/>
              <w:szCs w:val="20"/>
            </w:rPr>
            <w:t xml:space="preserve"> </w:t>
          </w:r>
          <w:hyperlink w:anchor="bookmark13" w:history="1">
            <w:r>
              <w:rPr>
                <w:spacing w:val="-9"/>
                <w:sz w:val="20"/>
                <w:szCs w:val="20"/>
              </w:rPr>
              <w:t>1</w:t>
            </w:r>
          </w:hyperlink>
          <w:r>
            <w:rPr>
              <w:spacing w:val="-9"/>
              <w:sz w:val="20"/>
              <w:szCs w:val="20"/>
            </w:rPr>
            <w:t>1</w:t>
          </w:r>
        </w:p>
        <w:p>
          <w:pPr>
            <w:pStyle w:val="BodyText"/>
            <w:tabs>
              <w:tab w:val="right" w:leader="dot" w:pos="10152"/>
            </w:tabs>
            <w:spacing w:before="55" w:line="233" w:lineRule="auto"/>
            <w:ind w:left="883"/>
            <w:rPr>
              <w:sz w:val="20"/>
              <w:szCs w:val="20"/>
            </w:rPr>
          </w:pPr>
          <w:r>
            <w:rPr>
              <w:spacing w:val="5"/>
              <w:sz w:val="20"/>
              <w:szCs w:val="20"/>
            </w:rPr>
            <w:t xml:space="preserve">4.6.  </w:t>
          </w:r>
          <w:r>
            <w:rPr>
              <w:rFonts w:ascii="KaiTi" w:eastAsia="KaiTi" w:hAnsi="KaiTi" w:cs="KaiTi"/>
              <w:spacing w:val="5"/>
              <w:sz w:val="20"/>
              <w:szCs w:val="20"/>
            </w:rPr>
            <w:t>货币型账户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75"/>
              <w:sz w:val="20"/>
              <w:szCs w:val="20"/>
            </w:rPr>
            <w:t xml:space="preserve"> </w:t>
          </w:r>
          <w:hyperlink w:anchor="bookmark14" w:history="1">
            <w:r>
              <w:rPr>
                <w:spacing w:val="-9"/>
                <w:sz w:val="20"/>
                <w:szCs w:val="20"/>
              </w:rPr>
              <w:t>1</w:t>
            </w:r>
          </w:hyperlink>
          <w:r>
            <w:rPr>
              <w:spacing w:val="-9"/>
              <w:sz w:val="20"/>
              <w:szCs w:val="20"/>
            </w:rPr>
            <w:t>1</w:t>
          </w:r>
        </w:p>
        <w:p>
          <w:pPr>
            <w:pStyle w:val="BodyText"/>
            <w:tabs>
              <w:tab w:val="right" w:leader="dot" w:pos="10147"/>
            </w:tabs>
            <w:spacing w:before="60" w:line="239" w:lineRule="auto"/>
            <w:ind w:left="529"/>
            <w:rPr>
              <w:sz w:val="20"/>
              <w:szCs w:val="20"/>
            </w:rPr>
          </w:pPr>
          <w:r>
            <w:rPr>
              <w:b/>
              <w:bCs/>
              <w:spacing w:val="5"/>
              <w:sz w:val="20"/>
              <w:szCs w:val="20"/>
            </w:rPr>
            <w:t>5.</w:t>
          </w:r>
          <w:r>
            <w:rPr>
              <w:b/>
              <w:bCs/>
              <w:spacing w:val="2"/>
              <w:sz w:val="20"/>
              <w:szCs w:val="20"/>
            </w:rPr>
            <w:t xml:space="preserve">  </w:t>
          </w:r>
          <w:r>
            <w:rPr>
              <w:rFonts w:ascii="KaiTi" w:eastAsia="KaiTi" w:hAnsi="KaiTi" w:cs="KaiTi"/>
              <w:spacing w:val="5"/>
              <w:sz w:val="20"/>
              <w:szCs w:val="20"/>
              <w14:textOutline w14:w="3795" w14:cap="sq">
                <w14:solidFill>
                  <w14:srgbClr w14:val="000000"/>
                </w14:solidFill>
                <w14:prstDash w14:val="solid"/>
                <w14:bevel/>
              </w14:textOutline>
            </w:rPr>
            <w:t>风险提示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79"/>
              <w:sz w:val="20"/>
              <w:szCs w:val="20"/>
            </w:rPr>
            <w:t xml:space="preserve"> </w:t>
          </w:r>
          <w:hyperlink w:anchor="bookmark15" w:history="1">
            <w:r>
              <w:rPr>
                <w:b/>
                <w:bCs/>
                <w:spacing w:val="-4"/>
                <w:sz w:val="20"/>
                <w:szCs w:val="20"/>
              </w:rPr>
              <w:t>1</w:t>
            </w:r>
          </w:hyperlink>
          <w:r>
            <w:rPr>
              <w:b/>
              <w:bCs/>
              <w:spacing w:val="-4"/>
              <w:sz w:val="20"/>
              <w:szCs w:val="20"/>
            </w:rPr>
            <w:t>3</w:t>
          </w:r>
        </w:p>
      </w:sdtContent>
    </w:sdt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9"/>
          <w:pgSz w:w="11906" w:h="16839"/>
          <w:pgMar w:top="400" w:right="1130" w:bottom="0" w:left="612" w:header="0" w:footer="0" w:gutter="0"/>
          <w:pgNumType w:start="3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58" w:line="227" w:lineRule="auto"/>
        <w:ind w:left="53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position w:val="5"/>
          <w:sz w:val="18"/>
          <w:szCs w:val="18"/>
        </w:rPr>
        <w:t>敬请参阅报告结尾处免责声明</w:t>
      </w:r>
      <w:r>
        <w:rPr>
          <w:rFonts w:ascii="KaiTi" w:eastAsia="KaiTi" w:hAnsi="KaiTi" w:cs="KaiTi"/>
          <w:position w:val="5"/>
          <w:sz w:val="18"/>
          <w:szCs w:val="18"/>
        </w:rPr>
        <w:t xml:space="preserve">                                                                        </w:t>
      </w:r>
      <w:r>
        <w:rPr>
          <w:rFonts w:ascii="KaiTi" w:eastAsia="KaiTi" w:hAnsi="KaiTi" w:cs="KaiTi"/>
          <w:spacing w:val="-1"/>
          <w:position w:val="-18"/>
          <w:sz w:val="18"/>
          <w:szCs w:val="18"/>
        </w:rPr>
        <w:t>华宝证券</w:t>
      </w:r>
      <w:r>
        <w:rPr>
          <w:rFonts w:ascii="KaiTi" w:eastAsia="KaiTi" w:hAnsi="KaiTi" w:cs="KaiTi"/>
          <w:position w:val="-18"/>
          <w:sz w:val="18"/>
          <w:szCs w:val="18"/>
        </w:rPr>
        <w:t xml:space="preserve"> </w:t>
      </w:r>
    </w:p>
    <w:p>
      <w:pPr>
        <w:spacing w:line="227" w:lineRule="auto"/>
        <w:rPr>
          <w:rFonts w:ascii="KaiTi" w:eastAsia="KaiTi" w:hAnsi="KaiTi" w:cs="KaiTi"/>
          <w:sz w:val="18"/>
          <w:szCs w:val="18"/>
        </w:rPr>
        <w:sectPr>
          <w:headerReference w:type="default" r:id="rId10"/>
          <w:type w:val="nextPage"/>
          <w:pgSz w:w="11906" w:h="16839"/>
          <w:pgMar w:top="400" w:right="1130" w:bottom="0" w:left="612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334" w:lineRule="auto"/>
      </w:pPr>
      <w:r>
        <w:pict>
          <v:shape id="_x0000_s1028" style="width:352.1pt;height:0.85pt;margin-top:796.56pt;margin-left:186.12pt;mso-position-horizontal-relative:page;mso-position-vertical-relative:page;position:absolute;z-index:-251655168" coordorigin="0,0" coordsize="7042,17" o:allowincell="f" path="m,l7041,l7041,16l,16l,xe" filled="t" fillcolor="#b30924" stroked="f"/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388620</wp:posOffset>
            </wp:positionH>
            <wp:positionV relativeFrom="page">
              <wp:posOffset>350519</wp:posOffset>
            </wp:positionV>
            <wp:extent cx="5078095" cy="39928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8095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96" w:lineRule="exact"/>
        <w:ind w:firstLine="8086"/>
      </w:pPr>
      <w:r>
        <w:rPr>
          <w:position w:val="-7"/>
        </w:rPr>
        <w:pict>
          <v:shape id="_x0000_i1029" type="#_x0000_t202" style="width:103.85pt;height:19.85pt;mso-position-horizontal-relative:char;mso-position-vertical-relative:line" filled="t" fillcolor="#af2135" stroked="f">
            <o:lock v:ext="edit" aspectratio="f"/>
            <v:textbox inset="0,0,0,0">
              <w:txbxContent>
                <w:p>
                  <w:pPr>
                    <w:spacing w:before="107" w:line="223" w:lineRule="auto"/>
                    <w:ind w:left="317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z w:val="18"/>
                      <w:szCs w:val="18"/>
                      <w14:textOutline w14:w="326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金融产品年度报告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sdt>
      <w:sdtPr>
        <w:rPr>
          <w:rFonts w:ascii="KaiTi" w:eastAsia="KaiTi" w:hAnsi="KaiTi" w:cs="KaiTi"/>
          <w:sz w:val="30"/>
          <w:szCs w:val="30"/>
        </w:rPr>
        <w:id w:val="52172110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spacing w:before="97" w:line="227" w:lineRule="auto"/>
            <w:ind w:left="4787"/>
            <w:rPr>
              <w:rFonts w:ascii="KaiTi" w:eastAsia="KaiTi" w:hAnsi="KaiTi" w:cs="KaiTi"/>
              <w:sz w:val="30"/>
              <w:szCs w:val="30"/>
            </w:rPr>
          </w:pPr>
          <w:bookmarkStart w:id="1" w:name="bookmark16"/>
          <w:bookmarkEnd w:id="1"/>
          <w:bookmarkStart w:id="2" w:name="bookmark5"/>
          <w:bookmarkEnd w:id="2"/>
          <w:bookmarkStart w:id="3" w:name="bookmark6"/>
          <w:bookmarkEnd w:id="3"/>
          <w:bookmarkStart w:id="4" w:name="bookmark7"/>
          <w:bookmarkEnd w:id="4"/>
          <w:r>
            <w:rPr>
              <w:rFonts w:ascii="KaiTi" w:eastAsia="KaiTi" w:hAnsi="KaiTi" w:cs="KaiTi"/>
              <w:spacing w:val="-12"/>
              <w:sz w:val="30"/>
              <w:szCs w:val="30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图表目录</w:t>
          </w:r>
        </w:p>
        <w:p>
          <w:pPr>
            <w:pStyle w:val="BodyText"/>
            <w:tabs>
              <w:tab w:val="right" w:leader="dot" w:pos="10147"/>
            </w:tabs>
            <w:spacing w:before="146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3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9"/>
              <w:sz w:val="20"/>
              <w:szCs w:val="20"/>
            </w:rPr>
            <w:t xml:space="preserve"> </w:t>
          </w:r>
          <w:r>
            <w:rPr>
              <w:spacing w:val="3"/>
              <w:sz w:val="20"/>
              <w:szCs w:val="20"/>
            </w:rPr>
            <w:t>1</w:t>
          </w:r>
          <w:r>
            <w:rPr>
              <w:spacing w:val="17"/>
              <w:w w:val="101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3"/>
              <w:sz w:val="20"/>
              <w:szCs w:val="20"/>
            </w:rPr>
            <w:t>投连险账户</w:t>
          </w:r>
          <w:r>
            <w:rPr>
              <w:rFonts w:ascii="KaiTi" w:eastAsia="KaiTi" w:hAnsi="KaiTi" w:cs="KaiTi"/>
              <w:spacing w:val="-40"/>
              <w:sz w:val="20"/>
              <w:szCs w:val="20"/>
            </w:rPr>
            <w:t xml:space="preserve"> </w:t>
          </w:r>
          <w:r>
            <w:rPr>
              <w:spacing w:val="3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3"/>
              <w:sz w:val="20"/>
              <w:szCs w:val="20"/>
            </w:rPr>
            <w:t>年收益率情况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17" w:history="1">
            <w:r>
              <w:rPr>
                <w:spacing w:val="15"/>
                <w:sz w:val="20"/>
                <w:szCs w:val="20"/>
              </w:rPr>
              <w:t>4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8" w:line="232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39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>2   2023</w:t>
          </w:r>
          <w:r>
            <w:rPr>
              <w:spacing w:val="7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年指数型投连险账户与股票指数型基金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收益对比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9"/>
              <w:sz w:val="20"/>
              <w:szCs w:val="20"/>
            </w:rPr>
            <w:t xml:space="preserve"> </w:t>
          </w:r>
          <w:hyperlink w:anchor="bookmark18" w:history="1">
            <w:r>
              <w:rPr>
                <w:sz w:val="20"/>
                <w:szCs w:val="20"/>
              </w:rPr>
              <w:t>5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1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37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3</w:t>
          </w:r>
          <w:r>
            <w:rPr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年指数型投连险账户月度收益情况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19" w:history="1">
            <w:r>
              <w:rPr>
                <w:spacing w:val="7"/>
                <w:sz w:val="20"/>
                <w:szCs w:val="20"/>
              </w:rPr>
              <w:t>5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8" w:line="232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43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>4   2023</w:t>
          </w:r>
          <w:r>
            <w:rPr>
              <w:spacing w:val="7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年激进型投连险账户与普通股票型基金收益对比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0"/>
              <w:sz w:val="20"/>
              <w:szCs w:val="20"/>
            </w:rPr>
            <w:t xml:space="preserve"> </w:t>
          </w:r>
          <w:hyperlink w:anchor="bookmark20" w:history="1">
            <w:r>
              <w:rPr>
                <w:sz w:val="20"/>
                <w:szCs w:val="20"/>
              </w:rPr>
              <w:t>6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1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37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5</w:t>
          </w:r>
          <w:r>
            <w:rPr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年激进型投连险账户月度收益情况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21" w:history="1">
            <w:r>
              <w:rPr>
                <w:spacing w:val="7"/>
                <w:sz w:val="20"/>
                <w:szCs w:val="20"/>
              </w:rPr>
              <w:t>6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37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 xml:space="preserve">6   2023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年混合激进型投连险账户与偏股混合型基金收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益对比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2"/>
              <w:sz w:val="20"/>
              <w:szCs w:val="20"/>
            </w:rPr>
            <w:t xml:space="preserve"> </w:t>
          </w:r>
          <w:hyperlink w:anchor="bookmark22" w:history="1">
            <w:r>
              <w:rPr>
                <w:sz w:val="20"/>
                <w:szCs w:val="20"/>
              </w:rPr>
              <w:t>7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8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29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7</w:t>
          </w:r>
          <w:r>
            <w:rPr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年混合激进型投连险账户月度收益情况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23" w:history="1">
            <w:r>
              <w:rPr>
                <w:spacing w:val="3"/>
                <w:sz w:val="20"/>
                <w:szCs w:val="20"/>
              </w:rPr>
              <w:t>7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8" w:line="232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37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 xml:space="preserve">8   2023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年混合保守型投连险账户与偏债混合型基金收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益对比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3"/>
              <w:sz w:val="20"/>
              <w:szCs w:val="20"/>
            </w:rPr>
            <w:t xml:space="preserve"> </w:t>
          </w:r>
          <w:hyperlink w:anchor="bookmark24" w:history="1">
            <w:r>
              <w:rPr>
                <w:sz w:val="20"/>
                <w:szCs w:val="20"/>
              </w:rPr>
              <w:t>8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1" w:line="232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29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9</w:t>
          </w:r>
          <w:r>
            <w:rPr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年混合保守型投连险账户月度收益情况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25" w:history="1">
            <w:r>
              <w:rPr>
                <w:spacing w:val="3"/>
                <w:sz w:val="20"/>
                <w:szCs w:val="20"/>
              </w:rPr>
              <w:t>8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1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13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10</w:t>
          </w:r>
          <w:r>
            <w:rPr>
              <w:spacing w:val="17"/>
              <w:w w:val="101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年增强债券型投连险账户与混合二级债基收益对比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63"/>
              <w:sz w:val="20"/>
              <w:szCs w:val="20"/>
            </w:rPr>
            <w:t xml:space="preserve"> </w:t>
          </w:r>
          <w:hyperlink w:anchor="bookmark26" w:history="1">
            <w:r>
              <w:rPr>
                <w:sz w:val="20"/>
                <w:szCs w:val="20"/>
              </w:rPr>
              <w:t>9</w:t>
            </w:r>
          </w:hyperlink>
        </w:p>
        <w:p>
          <w:pPr>
            <w:pStyle w:val="BodyText"/>
            <w:tabs>
              <w:tab w:val="right" w:leader="dot" w:pos="10150"/>
            </w:tabs>
            <w:spacing w:before="58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5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16"/>
              <w:sz w:val="20"/>
              <w:szCs w:val="20"/>
            </w:rPr>
            <w:t xml:space="preserve"> </w:t>
          </w:r>
          <w:r>
            <w:rPr>
              <w:spacing w:val="5"/>
              <w:sz w:val="20"/>
              <w:szCs w:val="20"/>
            </w:rPr>
            <w:t>11</w:t>
          </w:r>
          <w:r>
            <w:rPr>
              <w:spacing w:val="15"/>
              <w:w w:val="101"/>
              <w:sz w:val="20"/>
              <w:szCs w:val="20"/>
            </w:rPr>
            <w:t xml:space="preserve">   </w:t>
          </w:r>
          <w:r>
            <w:rPr>
              <w:spacing w:val="5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5"/>
              <w:sz w:val="20"/>
              <w:szCs w:val="20"/>
            </w:rPr>
            <w:t>年增强债券型投连险账户月度收益情况</w:t>
          </w:r>
          <w:r>
            <w:rPr>
              <w:rFonts w:ascii="KaiTi" w:eastAsia="KaiTi" w:hAnsi="KaiTi" w:cs="KaiTi"/>
              <w:spacing w:val="-85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27" w:history="1">
            <w:r>
              <w:rPr>
                <w:spacing w:val="10"/>
                <w:sz w:val="20"/>
                <w:szCs w:val="20"/>
              </w:rPr>
              <w:t>9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3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15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12</w:t>
          </w:r>
          <w:r>
            <w:rPr>
              <w:spacing w:val="17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年全债型投连险账户与中长期纯债基金收益对比</w:t>
          </w:r>
          <w:r>
            <w:rPr>
              <w:rFonts w:ascii="KaiTi" w:eastAsia="KaiTi" w:hAnsi="KaiTi" w:cs="KaiTi"/>
              <w:spacing w:val="-85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7"/>
              <w:sz w:val="20"/>
              <w:szCs w:val="20"/>
            </w:rPr>
            <w:t xml:space="preserve"> </w:t>
          </w:r>
          <w:hyperlink w:anchor="bookmark28" w:history="1">
            <w:r>
              <w:rPr>
                <w:spacing w:val="-7"/>
                <w:sz w:val="20"/>
                <w:szCs w:val="20"/>
              </w:rPr>
              <w:t>1</w:t>
            </w:r>
          </w:hyperlink>
          <w:r>
            <w:rPr>
              <w:spacing w:val="-7"/>
              <w:sz w:val="20"/>
              <w:szCs w:val="20"/>
            </w:rPr>
            <w:t>0</w:t>
          </w:r>
        </w:p>
        <w:p>
          <w:pPr>
            <w:pStyle w:val="BodyText"/>
            <w:tabs>
              <w:tab w:val="right" w:leader="dot" w:pos="10147"/>
            </w:tabs>
            <w:spacing w:before="60" w:line="234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5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16"/>
              <w:sz w:val="20"/>
              <w:szCs w:val="20"/>
            </w:rPr>
            <w:t xml:space="preserve"> </w:t>
          </w:r>
          <w:r>
            <w:rPr>
              <w:spacing w:val="5"/>
              <w:sz w:val="20"/>
              <w:szCs w:val="20"/>
            </w:rPr>
            <w:t>13</w:t>
          </w:r>
          <w:r>
            <w:rPr>
              <w:spacing w:val="17"/>
              <w:sz w:val="20"/>
              <w:szCs w:val="20"/>
            </w:rPr>
            <w:t xml:space="preserve">   </w:t>
          </w:r>
          <w:r>
            <w:rPr>
              <w:spacing w:val="5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5"/>
              <w:sz w:val="20"/>
              <w:szCs w:val="20"/>
            </w:rPr>
            <w:t>年全债型投连险账户月度收益情况</w:t>
          </w:r>
          <w:r>
            <w:rPr>
              <w:rFonts w:ascii="KaiTi" w:eastAsia="KaiTi" w:hAnsi="KaiTi" w:cs="KaiTi"/>
              <w:spacing w:val="-85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5"/>
              <w:sz w:val="20"/>
              <w:szCs w:val="20"/>
            </w:rPr>
            <w:t xml:space="preserve"> </w:t>
          </w:r>
          <w:hyperlink w:anchor="bookmark29" w:history="1">
            <w:r>
              <w:rPr>
                <w:spacing w:val="-7"/>
                <w:sz w:val="20"/>
                <w:szCs w:val="20"/>
              </w:rPr>
              <w:t>1</w:t>
            </w:r>
          </w:hyperlink>
          <w:r>
            <w:rPr>
              <w:spacing w:val="-7"/>
              <w:sz w:val="20"/>
              <w:szCs w:val="20"/>
            </w:rPr>
            <w:t>0</w:t>
          </w:r>
        </w:p>
        <w:p>
          <w:pPr>
            <w:pStyle w:val="BodyText"/>
            <w:tabs>
              <w:tab w:val="right" w:leader="dot" w:pos="10147"/>
            </w:tabs>
            <w:spacing w:before="58" w:line="233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21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14</w:t>
          </w:r>
          <w:r>
            <w:rPr>
              <w:spacing w:val="17"/>
              <w:w w:val="101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年货币型投连险账户与货币市场基金收益对比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6"/>
              <w:sz w:val="20"/>
              <w:szCs w:val="20"/>
            </w:rPr>
            <w:t xml:space="preserve"> </w:t>
          </w:r>
          <w:hyperlink w:anchor="bookmark30" w:history="1">
            <w:r>
              <w:rPr>
                <w:spacing w:val="-7"/>
                <w:sz w:val="20"/>
                <w:szCs w:val="20"/>
              </w:rPr>
              <w:t>1</w:t>
            </w:r>
          </w:hyperlink>
          <w:r>
            <w:rPr>
              <w:spacing w:val="-7"/>
              <w:sz w:val="20"/>
              <w:szCs w:val="20"/>
            </w:rPr>
            <w:t>2</w:t>
          </w:r>
        </w:p>
        <w:p>
          <w:pPr>
            <w:pStyle w:val="BodyText"/>
            <w:tabs>
              <w:tab w:val="right" w:leader="dot" w:pos="10147"/>
            </w:tabs>
            <w:spacing w:before="60" w:line="233" w:lineRule="auto"/>
            <w:ind w:left="91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5"/>
              <w:sz w:val="20"/>
              <w:szCs w:val="20"/>
            </w:rPr>
            <w:t>图</w:t>
          </w:r>
          <w:r>
            <w:rPr>
              <w:rFonts w:ascii="KaiTi" w:eastAsia="KaiTi" w:hAnsi="KaiTi" w:cs="KaiTi"/>
              <w:spacing w:val="-16"/>
              <w:sz w:val="20"/>
              <w:szCs w:val="20"/>
            </w:rPr>
            <w:t xml:space="preserve"> </w:t>
          </w:r>
          <w:r>
            <w:rPr>
              <w:spacing w:val="5"/>
              <w:sz w:val="20"/>
              <w:szCs w:val="20"/>
            </w:rPr>
            <w:t>15</w:t>
          </w:r>
          <w:r>
            <w:rPr>
              <w:spacing w:val="17"/>
              <w:sz w:val="20"/>
              <w:szCs w:val="20"/>
            </w:rPr>
            <w:t xml:space="preserve">   </w:t>
          </w:r>
          <w:r>
            <w:rPr>
              <w:spacing w:val="5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5"/>
              <w:sz w:val="20"/>
              <w:szCs w:val="20"/>
            </w:rPr>
            <w:t>年货币型投连险账户月度收益情况</w:t>
          </w:r>
          <w:r>
            <w:rPr>
              <w:rFonts w:ascii="KaiTi" w:eastAsia="KaiTi" w:hAnsi="KaiTi" w:cs="KaiTi"/>
              <w:spacing w:val="-85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5"/>
              <w:sz w:val="20"/>
              <w:szCs w:val="20"/>
            </w:rPr>
            <w:t xml:space="preserve"> </w:t>
          </w:r>
          <w:hyperlink w:anchor="bookmark31" w:history="1">
            <w:r>
              <w:rPr>
                <w:spacing w:val="-7"/>
                <w:sz w:val="20"/>
                <w:szCs w:val="20"/>
              </w:rPr>
              <w:t>1</w:t>
            </w:r>
          </w:hyperlink>
          <w:r>
            <w:rPr>
              <w:spacing w:val="-7"/>
              <w:sz w:val="20"/>
              <w:szCs w:val="20"/>
            </w:rPr>
            <w:t>2</w:t>
          </w:r>
        </w:p>
        <w:p>
          <w:pPr>
            <w:pStyle w:val="BodyText"/>
            <w:spacing w:line="307" w:lineRule="auto"/>
          </w:pPr>
        </w:p>
        <w:p>
          <w:pPr>
            <w:pStyle w:val="BodyText"/>
            <w:spacing w:line="307" w:lineRule="auto"/>
          </w:pPr>
        </w:p>
        <w:p>
          <w:pPr>
            <w:pStyle w:val="BodyText"/>
            <w:tabs>
              <w:tab w:val="right" w:leader="dot" w:pos="10147"/>
            </w:tabs>
            <w:spacing w:before="66" w:line="233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4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14"/>
              <w:sz w:val="20"/>
              <w:szCs w:val="20"/>
            </w:rPr>
            <w:t xml:space="preserve"> </w:t>
          </w:r>
          <w:r>
            <w:rPr>
              <w:spacing w:val="4"/>
              <w:sz w:val="20"/>
              <w:szCs w:val="20"/>
            </w:rPr>
            <w:t>1</w:t>
          </w:r>
          <w:r>
            <w:rPr>
              <w:spacing w:val="1"/>
              <w:sz w:val="20"/>
              <w:szCs w:val="20"/>
            </w:rPr>
            <w:t xml:space="preserve">    </w:t>
          </w:r>
          <w:r>
            <w:rPr>
              <w:rFonts w:ascii="KaiTi" w:eastAsia="KaiTi" w:hAnsi="KaiTi" w:cs="KaiTi"/>
              <w:spacing w:val="4"/>
              <w:sz w:val="20"/>
              <w:szCs w:val="20"/>
            </w:rPr>
            <w:t>华宝证券分类标准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61"/>
              <w:sz w:val="20"/>
              <w:szCs w:val="20"/>
            </w:rPr>
            <w:t xml:space="preserve"> </w:t>
          </w:r>
          <w:hyperlink w:anchor="bookmark32" w:history="1">
            <w:r>
              <w:rPr>
                <w:spacing w:val="-18"/>
                <w:sz w:val="20"/>
                <w:szCs w:val="20"/>
              </w:rPr>
              <w:t>1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2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32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>2</w:t>
          </w:r>
          <w:r>
            <w:rPr>
              <w:spacing w:val="17"/>
              <w:w w:val="101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投连险账户规模排名前十的保险公司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33" w:history="1">
            <w:r>
              <w:rPr>
                <w:spacing w:val="5"/>
                <w:sz w:val="20"/>
                <w:szCs w:val="20"/>
              </w:rPr>
              <w:t>1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1" w:line="230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29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>3</w:t>
          </w:r>
          <w:r>
            <w:rPr>
              <w:spacing w:val="15"/>
              <w:w w:val="101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各类别投连险账户最新规模汇总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34" w:history="1">
            <w:r>
              <w:rPr>
                <w:spacing w:val="9"/>
                <w:sz w:val="20"/>
                <w:szCs w:val="20"/>
              </w:rPr>
              <w:t>2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2" w:line="237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33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>4</w:t>
          </w:r>
          <w:r>
            <w:rPr>
              <w:spacing w:val="15"/>
              <w:w w:val="101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各分类投连险账户规模之首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35" w:history="1">
            <w:r>
              <w:rPr>
                <w:spacing w:val="13"/>
                <w:sz w:val="20"/>
                <w:szCs w:val="20"/>
              </w:rPr>
              <w:t>2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6" w:line="234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31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5</w:t>
          </w:r>
          <w:r>
            <w:rPr>
              <w:spacing w:val="16"/>
              <w:w w:val="101"/>
              <w:sz w:val="20"/>
              <w:szCs w:val="20"/>
            </w:rPr>
            <w:t xml:space="preserve">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年市场主要指数收益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77"/>
              <w:sz w:val="20"/>
              <w:szCs w:val="20"/>
            </w:rPr>
            <w:t xml:space="preserve"> </w:t>
          </w:r>
          <w:hyperlink w:anchor="bookmark16" w:history="1">
            <w:r>
              <w:rPr>
                <w:sz w:val="20"/>
                <w:szCs w:val="20"/>
              </w:rPr>
              <w:t>3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8" w:line="234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20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6</w:t>
          </w:r>
          <w:r>
            <w:rPr>
              <w:spacing w:val="11"/>
              <w:sz w:val="20"/>
              <w:szCs w:val="20"/>
            </w:rPr>
            <w:t xml:space="preserve">   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年投连险二级账户回报统计</w:t>
          </w:r>
          <w:r>
            <w:rPr>
              <w:rFonts w:ascii="KaiTi" w:eastAsia="KaiTi" w:hAnsi="KaiTi" w:cs="KaiTi"/>
              <w:spacing w:val="-80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16" w:history="1">
            <w:r>
              <w:rPr>
                <w:spacing w:val="14"/>
                <w:sz w:val="20"/>
                <w:szCs w:val="20"/>
              </w:rPr>
              <w:t>3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2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8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28"/>
              <w:sz w:val="20"/>
              <w:szCs w:val="20"/>
            </w:rPr>
            <w:t xml:space="preserve"> </w:t>
          </w:r>
          <w:r>
            <w:rPr>
              <w:spacing w:val="8"/>
              <w:sz w:val="20"/>
              <w:szCs w:val="20"/>
            </w:rPr>
            <w:t xml:space="preserve">7    2023 </w:t>
          </w:r>
          <w:r>
            <w:rPr>
              <w:rFonts w:ascii="KaiTi" w:eastAsia="KaiTi" w:hAnsi="KaiTi" w:cs="KaiTi"/>
              <w:spacing w:val="8"/>
              <w:sz w:val="20"/>
              <w:szCs w:val="20"/>
            </w:rPr>
            <w:t>年投连险账户收益及可比指数基金产品收益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5"/>
              <w:sz w:val="20"/>
              <w:szCs w:val="20"/>
            </w:rPr>
            <w:t xml:space="preserve"> </w:t>
          </w:r>
          <w:hyperlink w:anchor="bookmark16" w:history="1">
            <w:r>
              <w:rPr>
                <w:sz w:val="20"/>
                <w:szCs w:val="20"/>
              </w:rPr>
              <w:t>3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0" w:line="234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19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8</w:t>
          </w:r>
          <w:r>
            <w:rPr>
              <w:spacing w:val="13"/>
              <w:sz w:val="20"/>
              <w:szCs w:val="20"/>
            </w:rPr>
            <w:t xml:space="preserve">   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指数型投连险账户</w:t>
          </w:r>
          <w:r>
            <w:rPr>
              <w:rFonts w:ascii="KaiTi" w:eastAsia="KaiTi" w:hAnsi="KaiTi" w:cs="KaiTi"/>
              <w:spacing w:val="-38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年累计收益率表现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hyperlink w:anchor="bookmark36" w:history="1">
            <w:r>
              <w:rPr>
                <w:spacing w:val="5"/>
                <w:sz w:val="20"/>
                <w:szCs w:val="20"/>
              </w:rPr>
              <w:t>5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3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7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32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>9</w:t>
          </w:r>
          <w:r>
            <w:rPr>
              <w:spacing w:val="17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部分激进型投连险账户</w:t>
          </w:r>
          <w:r>
            <w:rPr>
              <w:rFonts w:ascii="KaiTi" w:eastAsia="KaiTi" w:hAnsi="KaiTi" w:cs="KaiTi"/>
              <w:spacing w:val="-38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年累计收益率表现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3"/>
              <w:sz w:val="20"/>
              <w:szCs w:val="20"/>
            </w:rPr>
            <w:t xml:space="preserve"> </w:t>
          </w:r>
          <w:hyperlink w:anchor="bookmark37" w:history="1">
            <w:r>
              <w:rPr>
                <w:sz w:val="20"/>
                <w:szCs w:val="20"/>
              </w:rPr>
              <w:t>6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0" w:line="233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7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22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>10</w:t>
          </w:r>
          <w:r>
            <w:rPr>
              <w:spacing w:val="18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部分混合激进型投连险账户</w:t>
          </w:r>
          <w:r>
            <w:rPr>
              <w:rFonts w:ascii="KaiTi" w:eastAsia="KaiTi" w:hAnsi="KaiTi" w:cs="KaiTi"/>
              <w:spacing w:val="-42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年累计收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益率表现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9"/>
              <w:sz w:val="20"/>
              <w:szCs w:val="20"/>
            </w:rPr>
            <w:t xml:space="preserve"> </w:t>
          </w:r>
          <w:hyperlink w:anchor="bookmark38" w:history="1">
            <w:r>
              <w:rPr>
                <w:sz w:val="20"/>
                <w:szCs w:val="20"/>
              </w:rPr>
              <w:t>7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9" w:line="232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7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13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 xml:space="preserve">11  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部分混合保守型投连险账户</w:t>
          </w:r>
          <w:r>
            <w:rPr>
              <w:rFonts w:ascii="KaiTi" w:eastAsia="KaiTi" w:hAnsi="KaiTi" w:cs="KaiTi"/>
              <w:spacing w:val="-39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>2023</w:t>
          </w:r>
          <w:r>
            <w:rPr>
              <w:spacing w:val="8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年累计收益率表现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3"/>
              <w:sz w:val="20"/>
              <w:szCs w:val="20"/>
            </w:rPr>
            <w:t xml:space="preserve"> </w:t>
          </w:r>
          <w:hyperlink w:anchor="bookmark39" w:history="1">
            <w:r>
              <w:rPr>
                <w:sz w:val="20"/>
                <w:szCs w:val="20"/>
              </w:rPr>
              <w:t>8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61" w:line="234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8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12</w:t>
          </w:r>
          <w:r>
            <w:rPr>
              <w:sz w:val="20"/>
              <w:szCs w:val="20"/>
            </w:rPr>
            <w:t xml:space="preserve">   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增强债券型投连险账户</w:t>
          </w:r>
          <w:r>
            <w:rPr>
              <w:rFonts w:ascii="KaiTi" w:eastAsia="KaiTi" w:hAnsi="KaiTi" w:cs="KaiTi"/>
              <w:spacing w:val="-41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年累计收益率表现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6"/>
              <w:sz w:val="20"/>
              <w:szCs w:val="20"/>
            </w:rPr>
            <w:t xml:space="preserve"> </w:t>
          </w:r>
          <w:hyperlink w:anchor="bookmark40" w:history="1">
            <w:r>
              <w:rPr>
                <w:sz w:val="20"/>
                <w:szCs w:val="20"/>
              </w:rPr>
              <w:t>9</w:t>
            </w:r>
          </w:hyperlink>
        </w:p>
        <w:p>
          <w:pPr>
            <w:pStyle w:val="BodyText"/>
            <w:tabs>
              <w:tab w:val="right" w:leader="dot" w:pos="10147"/>
            </w:tabs>
            <w:spacing w:before="58" w:line="234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18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13</w:t>
          </w:r>
          <w:r>
            <w:rPr>
              <w:sz w:val="20"/>
              <w:szCs w:val="20"/>
            </w:rPr>
            <w:t xml:space="preserve">   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全债型投连险账户</w:t>
          </w:r>
          <w:r>
            <w:rPr>
              <w:rFonts w:ascii="KaiTi" w:eastAsia="KaiTi" w:hAnsi="KaiTi" w:cs="KaiTi"/>
              <w:spacing w:val="-39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年累计收益率表现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9"/>
              <w:sz w:val="20"/>
              <w:szCs w:val="20"/>
            </w:rPr>
            <w:t xml:space="preserve"> </w:t>
          </w:r>
          <w:hyperlink w:anchor="bookmark41" w:history="1">
            <w:r>
              <w:rPr>
                <w:spacing w:val="-7"/>
                <w:sz w:val="20"/>
                <w:szCs w:val="20"/>
              </w:rPr>
              <w:t>1</w:t>
            </w:r>
          </w:hyperlink>
          <w:r>
            <w:rPr>
              <w:spacing w:val="-7"/>
              <w:sz w:val="20"/>
              <w:szCs w:val="20"/>
            </w:rPr>
            <w:t>0</w:t>
          </w:r>
        </w:p>
        <w:p>
          <w:pPr>
            <w:pStyle w:val="BodyText"/>
            <w:tabs>
              <w:tab w:val="right" w:leader="dot" w:pos="10152"/>
            </w:tabs>
            <w:spacing w:before="59" w:line="233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7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23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>14</w:t>
          </w:r>
          <w:r>
            <w:rPr>
              <w:spacing w:val="18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部分类固定收益型投连险账户</w:t>
          </w:r>
          <w:r>
            <w:rPr>
              <w:rFonts w:ascii="KaiTi" w:eastAsia="KaiTi" w:hAnsi="KaiTi" w:cs="KaiTi"/>
              <w:spacing w:val="-41"/>
              <w:sz w:val="20"/>
              <w:szCs w:val="20"/>
            </w:rPr>
            <w:t xml:space="preserve"> </w:t>
          </w:r>
          <w:r>
            <w:rPr>
              <w:spacing w:val="7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7"/>
              <w:sz w:val="20"/>
              <w:szCs w:val="20"/>
            </w:rPr>
            <w:t>年累计收益率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表现</w:t>
          </w:r>
          <w:r>
            <w:rPr>
              <w:rFonts w:ascii="KaiTi" w:eastAsia="KaiTi" w:hAnsi="KaiTi" w:cs="KaiTi"/>
              <w:spacing w:val="-83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44"/>
              <w:sz w:val="20"/>
              <w:szCs w:val="20"/>
            </w:rPr>
            <w:t xml:space="preserve"> </w:t>
          </w:r>
          <w:hyperlink w:anchor="bookmark42" w:history="1">
            <w:r>
              <w:rPr>
                <w:spacing w:val="-9"/>
                <w:sz w:val="20"/>
                <w:szCs w:val="20"/>
              </w:rPr>
              <w:t>1</w:t>
            </w:r>
          </w:hyperlink>
          <w:r>
            <w:rPr>
              <w:spacing w:val="-9"/>
              <w:sz w:val="20"/>
              <w:szCs w:val="20"/>
            </w:rPr>
            <w:t>1</w:t>
          </w:r>
        </w:p>
        <w:p>
          <w:pPr>
            <w:pStyle w:val="BodyText"/>
            <w:tabs>
              <w:tab w:val="right" w:leader="dot" w:pos="10147"/>
            </w:tabs>
            <w:spacing w:before="60" w:line="233" w:lineRule="auto"/>
            <w:ind w:left="884"/>
            <w:rPr>
              <w:sz w:val="20"/>
              <w:szCs w:val="20"/>
            </w:rPr>
          </w:pPr>
          <w:r>
            <w:rPr>
              <w:rFonts w:ascii="KaiTi" w:eastAsia="KaiTi" w:hAnsi="KaiTi" w:cs="KaiTi"/>
              <w:spacing w:val="6"/>
              <w:sz w:val="20"/>
              <w:szCs w:val="20"/>
            </w:rPr>
            <w:t>表</w:t>
          </w:r>
          <w:r>
            <w:rPr>
              <w:rFonts w:ascii="KaiTi" w:eastAsia="KaiTi" w:hAnsi="KaiTi" w:cs="KaiTi"/>
              <w:spacing w:val="-6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>15</w:t>
          </w:r>
          <w:r>
            <w:rPr>
              <w:spacing w:val="18"/>
              <w:sz w:val="20"/>
              <w:szCs w:val="20"/>
            </w:rPr>
            <w:t xml:space="preserve">  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部分货币型投连险账户</w:t>
          </w:r>
          <w:r>
            <w:rPr>
              <w:rFonts w:ascii="KaiTi" w:eastAsia="KaiTi" w:hAnsi="KaiTi" w:cs="KaiTi"/>
              <w:spacing w:val="-42"/>
              <w:sz w:val="20"/>
              <w:szCs w:val="20"/>
            </w:rPr>
            <w:t xml:space="preserve"> </w:t>
          </w:r>
          <w:r>
            <w:rPr>
              <w:spacing w:val="6"/>
              <w:sz w:val="20"/>
              <w:szCs w:val="20"/>
            </w:rPr>
            <w:t xml:space="preserve">2023 </w:t>
          </w:r>
          <w:r>
            <w:rPr>
              <w:rFonts w:ascii="KaiTi" w:eastAsia="KaiTi" w:hAnsi="KaiTi" w:cs="KaiTi"/>
              <w:spacing w:val="6"/>
              <w:sz w:val="20"/>
              <w:szCs w:val="20"/>
            </w:rPr>
            <w:t>年累计收益率表现</w:t>
          </w:r>
          <w:r>
            <w:rPr>
              <w:rFonts w:ascii="KaiTi" w:eastAsia="KaiTi" w:hAnsi="KaiTi" w:cs="KaiTi"/>
              <w:spacing w:val="-82"/>
              <w:sz w:val="20"/>
              <w:szCs w:val="20"/>
            </w:rPr>
            <w:t xml:space="preserve"> </w:t>
          </w:r>
          <w:r>
            <w:rPr>
              <w:rFonts w:ascii="KaiTi" w:eastAsia="KaiTi" w:hAnsi="KaiTi" w:cs="KaiTi"/>
              <w:sz w:val="20"/>
              <w:szCs w:val="20"/>
            </w:rPr>
            <w:tab/>
          </w:r>
          <w:r>
            <w:rPr>
              <w:rFonts w:ascii="KaiTi" w:eastAsia="KaiTi" w:hAnsi="KaiTi" w:cs="KaiTi"/>
              <w:spacing w:val="-53"/>
              <w:sz w:val="20"/>
              <w:szCs w:val="20"/>
            </w:rPr>
            <w:t xml:space="preserve"> </w:t>
          </w:r>
          <w:hyperlink w:anchor="bookmark43" w:history="1">
            <w:r>
              <w:rPr>
                <w:spacing w:val="-7"/>
                <w:sz w:val="20"/>
                <w:szCs w:val="20"/>
              </w:rPr>
              <w:t>1</w:t>
            </w:r>
          </w:hyperlink>
          <w:r>
            <w:rPr>
              <w:spacing w:val="-7"/>
              <w:sz w:val="20"/>
              <w:szCs w:val="20"/>
            </w:rPr>
            <w:t>2</w:t>
          </w:r>
        </w:p>
      </w:sdtContent>
    </w:sdt>
    <w:p>
      <w:pPr>
        <w:pStyle w:val="BodyText"/>
        <w:spacing w:line="249" w:lineRule="auto"/>
      </w:pPr>
    </w:p>
    <w:p>
      <w:pPr>
        <w:pStyle w:val="BodyText"/>
        <w:spacing w:line="250" w:lineRule="auto"/>
        <w:sectPr>
          <w:headerReference w:type="default" r:id="rId11"/>
          <w:pgSz w:w="11906" w:h="16839"/>
          <w:pgMar w:top="400" w:right="1130" w:bottom="0" w:left="612" w:header="0" w:footer="0" w:gutter="0"/>
          <w:pgNumType w:start="5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58" w:line="227" w:lineRule="auto"/>
        <w:ind w:left="53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position w:val="5"/>
          <w:sz w:val="18"/>
          <w:szCs w:val="18"/>
        </w:rPr>
        <w:t>敬请参阅报告结尾处免责声明</w:t>
      </w:r>
      <w:r>
        <w:rPr>
          <w:rFonts w:ascii="KaiTi" w:eastAsia="KaiTi" w:hAnsi="KaiTi" w:cs="KaiTi"/>
          <w:position w:val="5"/>
          <w:sz w:val="18"/>
          <w:szCs w:val="18"/>
        </w:rPr>
        <w:t xml:space="preserve">                                                                        </w:t>
      </w:r>
      <w:r>
        <w:rPr>
          <w:rFonts w:ascii="KaiTi" w:eastAsia="KaiTi" w:hAnsi="KaiTi" w:cs="KaiTi"/>
          <w:spacing w:val="-1"/>
          <w:position w:val="-18"/>
          <w:sz w:val="18"/>
          <w:szCs w:val="18"/>
        </w:rPr>
        <w:t>华宝证券</w:t>
      </w:r>
      <w:r>
        <w:rPr>
          <w:rFonts w:ascii="KaiTi" w:eastAsia="KaiTi" w:hAnsi="KaiTi" w:cs="KaiTi"/>
          <w:position w:val="-18"/>
          <w:sz w:val="18"/>
          <w:szCs w:val="18"/>
        </w:rPr>
        <w:t xml:space="preserve"> </w:t>
      </w:r>
    </w:p>
    <w:p>
      <w:pPr>
        <w:spacing w:line="227" w:lineRule="auto"/>
        <w:rPr>
          <w:rFonts w:ascii="KaiTi" w:eastAsia="KaiTi" w:hAnsi="KaiTi" w:cs="KaiTi"/>
          <w:sz w:val="18"/>
          <w:szCs w:val="18"/>
        </w:rPr>
        <w:sectPr>
          <w:headerReference w:type="default" r:id="rId12"/>
          <w:type w:val="nextPage"/>
          <w:pgSz w:w="11906" w:h="16839"/>
          <w:pgMar w:top="400" w:right="1130" w:bottom="0" w:left="612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334" w:lineRule="auto"/>
      </w:pPr>
      <w:r>
        <w:pict>
          <v:shape id="_x0000_s1030" style="width:352.1pt;height:0.85pt;margin-top:795.48pt;margin-left:186.96pt;mso-position-horizontal-relative:page;mso-position-vertical-relative:page;position:absolute;z-index:251664384" coordorigin="0,0" coordsize="7042,17" o:allowincell="f" path="m,l7041,l7041,16l,16l,xe" filled="t" fillcolor="#b30924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361188</wp:posOffset>
            </wp:positionH>
            <wp:positionV relativeFrom="page">
              <wp:posOffset>330707</wp:posOffset>
            </wp:positionV>
            <wp:extent cx="4638802" cy="399288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8802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98" w:lineRule="exact"/>
        <w:ind w:firstLine="7395"/>
      </w:pPr>
      <w:r>
        <w:rPr>
          <w:position w:val="-7"/>
        </w:rPr>
        <w:pict>
          <v:shape id="_x0000_i1031" type="#_x0000_t202" style="width:106.4pt;height:19.95pt;mso-position-horizontal-relative:char;mso-position-vertical-relative:line" filled="t" fillcolor="#af2135" stroked="f">
            <o:lock v:ext="edit" aspectratio="f"/>
            <v:textbox inset="0,0,0,0">
              <w:txbxContent>
                <w:p>
                  <w:pPr>
                    <w:spacing w:before="107" w:line="223" w:lineRule="auto"/>
                    <w:ind w:left="342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z w:val="18"/>
                      <w:szCs w:val="18"/>
                      <w14:textOutline w14:w="326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金融产品年度报告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423" w:lineRule="auto"/>
      </w:pPr>
    </w:p>
    <w:p>
      <w:pPr>
        <w:pStyle w:val="BodyText"/>
        <w:spacing w:before="97" w:line="223" w:lineRule="auto"/>
        <w:ind w:left="587"/>
        <w:outlineLvl w:val="0"/>
        <w:rPr>
          <w:rFonts w:ascii="KaiTi" w:eastAsia="KaiTi" w:hAnsi="KaiTi" w:cs="KaiTi"/>
          <w:sz w:val="30"/>
          <w:szCs w:val="30"/>
        </w:rPr>
      </w:pPr>
      <w:bookmarkStart w:id="5" w:name="bookmark17"/>
      <w:bookmarkEnd w:id="5"/>
      <w:bookmarkStart w:id="6" w:name="bookmark8"/>
      <w:bookmarkEnd w:id="6"/>
      <w:bookmarkStart w:id="7" w:name="bookmark9"/>
      <w:bookmarkEnd w:id="7"/>
      <w:r>
        <w:rPr>
          <w:b/>
          <w:bCs/>
          <w:spacing w:val="-2"/>
          <w:sz w:val="30"/>
          <w:szCs w:val="30"/>
        </w:rPr>
        <w:t>1.</w:t>
      </w:r>
      <w:r>
        <w:rPr>
          <w:rFonts w:ascii="KaiTi" w:eastAsia="KaiTi" w:hAnsi="KaiTi" w:cs="KaiTi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华宝证券分类体系</w:t>
      </w:r>
    </w:p>
    <w:p>
      <w:pPr>
        <w:pStyle w:val="BodyText"/>
        <w:spacing w:before="302" w:line="253" w:lineRule="auto"/>
        <w:ind w:left="571" w:right="54" w:firstLine="450"/>
        <w:jc w:val="both"/>
        <w:rPr>
          <w:rFonts w:ascii="KaiTi" w:eastAsia="KaiTi" w:hAnsi="KaiTi" w:cs="KaiTi"/>
          <w:sz w:val="22"/>
          <w:szCs w:val="22"/>
        </w:rPr>
      </w:pPr>
      <w:r>
        <w:rPr>
          <w:rFonts w:ascii="KaiTi" w:eastAsia="KaiTi" w:hAnsi="KaiTi" w:cs="KaiTi"/>
          <w:spacing w:val="-1"/>
          <w:sz w:val="22"/>
          <w:szCs w:val="22"/>
        </w:rPr>
        <w:t>我们根据不同的风险收益结构，将国内现有的投连险品种进行了两级分类。其中，一级分类有</w:t>
      </w:r>
      <w:r>
        <w:rPr>
          <w:rFonts w:ascii="KaiTi" w:eastAsia="KaiTi" w:hAnsi="KaiTi" w:cs="KaiTi"/>
          <w:spacing w:val="-3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6</w:t>
      </w:r>
      <w:r>
        <w:rPr>
          <w:sz w:val="22"/>
          <w:szCs w:val="22"/>
        </w:rPr>
        <w:t xml:space="preserve">  </w:t>
      </w:r>
      <w:r>
        <w:rPr>
          <w:rFonts w:ascii="KaiTi" w:eastAsia="KaiTi" w:hAnsi="KaiTi" w:cs="KaiTi"/>
          <w:spacing w:val="-3"/>
          <w:sz w:val="22"/>
          <w:szCs w:val="22"/>
        </w:rPr>
        <w:t>类，分别是指数型、激进型、混合型、债券型和货币型，以及类固定收益类（</w:t>
      </w:r>
      <w:r>
        <w:rPr>
          <w:spacing w:val="-3"/>
          <w:sz w:val="22"/>
          <w:szCs w:val="22"/>
        </w:rPr>
        <w:t>2014</w:t>
      </w:r>
      <w:r>
        <w:rPr>
          <w:spacing w:val="56"/>
          <w:sz w:val="22"/>
          <w:szCs w:val="22"/>
        </w:rPr>
        <w:t xml:space="preserve"> </w:t>
      </w:r>
      <w:r>
        <w:rPr>
          <w:rFonts w:ascii="KaiTi" w:eastAsia="KaiTi" w:hAnsi="KaiTi" w:cs="KaiTi"/>
          <w:spacing w:val="-3"/>
          <w:sz w:val="22"/>
          <w:szCs w:val="22"/>
        </w:rPr>
        <w:t>年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 xml:space="preserve">8 </w:t>
      </w:r>
      <w:r>
        <w:rPr>
          <w:rFonts w:ascii="KaiTi" w:eastAsia="KaiTi" w:hAnsi="KaiTi" w:cs="KaiTi"/>
          <w:spacing w:val="-3"/>
          <w:sz w:val="22"/>
          <w:szCs w:val="22"/>
        </w:rPr>
        <w:t>月期新增</w:t>
      </w:r>
      <w:r>
        <w:rPr>
          <w:rFonts w:ascii="KaiTi" w:eastAsia="KaiTi" w:hAnsi="KaiTi" w:cs="KaiTi"/>
          <w:spacing w:val="-18"/>
          <w:sz w:val="22"/>
          <w:szCs w:val="22"/>
        </w:rPr>
        <w:t>）；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二级分类共有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8</w:t>
      </w:r>
      <w:r>
        <w:rPr>
          <w:spacing w:val="17"/>
          <w:w w:val="101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类，将一级分类中的混合型细分为混</w:t>
      </w:r>
      <w:r>
        <w:rPr>
          <w:rFonts w:ascii="KaiTi" w:eastAsia="KaiTi" w:hAnsi="KaiTi" w:cs="KaiTi"/>
          <w:spacing w:val="-3"/>
          <w:sz w:val="22"/>
          <w:szCs w:val="22"/>
        </w:rPr>
        <w:t>合激进型和混合保守型，将债券型细分为增强债</w:t>
      </w:r>
      <w:r>
        <w:rPr>
          <w:rFonts w:ascii="KaiTi" w:eastAsia="KaiTi" w:hAnsi="KaiTi" w:cs="KaiTi"/>
          <w:spacing w:val="-3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券型和全债型。</w:t>
      </w:r>
    </w:p>
    <w:p>
      <w:pPr>
        <w:pStyle w:val="BodyText"/>
        <w:spacing w:before="207" w:line="234" w:lineRule="auto"/>
        <w:ind w:left="555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5"/>
          <w:sz w:val="19"/>
          <w:szCs w:val="19"/>
        </w:rPr>
        <w:t>表</w:t>
      </w:r>
      <w:r>
        <w:rPr>
          <w:rFonts w:ascii="KaiTi" w:eastAsia="KaiTi" w:hAnsi="KaiTi" w:cs="KaiTi"/>
          <w:spacing w:val="-23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1"/>
          <w:sz w:val="19"/>
          <w:szCs w:val="19"/>
        </w:rPr>
        <w:t xml:space="preserve">    </w:t>
      </w:r>
      <w:r>
        <w:rPr>
          <w:rFonts w:ascii="KaiTi" w:eastAsia="KaiTi" w:hAnsi="KaiTi" w:cs="KaiTi"/>
          <w:spacing w:val="5"/>
          <w:sz w:val="19"/>
          <w:szCs w:val="19"/>
        </w:rPr>
        <w:t>华宝证券分类标准</w:t>
      </w:r>
    </w:p>
    <w:p>
      <w:pPr>
        <w:spacing w:line="16" w:lineRule="exact"/>
      </w:pPr>
    </w:p>
    <w:tbl>
      <w:tblPr>
        <w:tblStyle w:val="TableNormal0"/>
        <w:tblW w:w="9886" w:type="dxa"/>
        <w:tblInd w:w="440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1686"/>
        <w:gridCol w:w="1416"/>
        <w:gridCol w:w="3893"/>
        <w:gridCol w:w="2891"/>
      </w:tblGrid>
      <w:tr>
        <w:tblPrEx>
          <w:tblW w:w="9886" w:type="dxa"/>
          <w:tblInd w:w="440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19"/>
        </w:trPr>
        <w:tc>
          <w:tcPr>
            <w:tcW w:w="1686" w:type="dxa"/>
            <w:vMerge w:val="restart"/>
            <w:tcBorders>
              <w:top w:val="single" w:sz="10" w:space="0" w:color="BE0000"/>
              <w:bottom w:val="nil"/>
            </w:tcBorders>
            <w:vAlign w:val="top"/>
          </w:tcPr>
          <w:p>
            <w:pPr>
              <w:pStyle w:val="TableText"/>
              <w:spacing w:before="223" w:line="239" w:lineRule="auto"/>
              <w:ind w:left="450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一级分类</w:t>
            </w:r>
          </w:p>
        </w:tc>
        <w:tc>
          <w:tcPr>
            <w:tcW w:w="1416" w:type="dxa"/>
            <w:vMerge w:val="restart"/>
            <w:tcBorders>
              <w:top w:val="single" w:sz="10" w:space="0" w:color="BE0000"/>
              <w:bottom w:val="nil"/>
            </w:tcBorders>
            <w:vAlign w:val="top"/>
          </w:tcPr>
          <w:p>
            <w:pPr>
              <w:pStyle w:val="TableText"/>
              <w:spacing w:before="223" w:line="239" w:lineRule="auto"/>
              <w:ind w:left="312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二级分类</w:t>
            </w:r>
          </w:p>
        </w:tc>
        <w:tc>
          <w:tcPr>
            <w:tcW w:w="6784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2" w:line="236" w:lineRule="auto"/>
              <w:ind w:left="2997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分类标准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7"/>
        </w:trPr>
        <w:tc>
          <w:tcPr>
            <w:tcW w:w="1686" w:type="dxa"/>
            <w:vMerge/>
            <w:tcBorders>
              <w:top w:val="nil"/>
              <w:bottom w:val="single" w:sz="4" w:space="0" w:color="BE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Merge/>
            <w:tcBorders>
              <w:top w:val="nil"/>
              <w:bottom w:val="single" w:sz="4" w:space="0" w:color="BE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93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0" w:line="235" w:lineRule="auto"/>
              <w:ind w:left="1348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按权益投资分</w:t>
            </w:r>
          </w:p>
        </w:tc>
        <w:tc>
          <w:tcPr>
            <w:tcW w:w="2891" w:type="dxa"/>
            <w:tcBorders>
              <w:bottom w:val="single" w:sz="4" w:space="0" w:color="000000"/>
            </w:tcBorders>
            <w:vAlign w:val="top"/>
          </w:tcPr>
          <w:p>
            <w:pPr>
              <w:pStyle w:val="TableText"/>
              <w:spacing w:before="60" w:line="232" w:lineRule="auto"/>
              <w:ind w:left="448"/>
              <w:rPr>
                <w:sz w:val="19"/>
                <w:szCs w:val="19"/>
              </w:rPr>
            </w:pPr>
            <w:r>
              <w:rPr>
                <w:spacing w:val="10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按投资股票基金比例分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2"/>
        </w:trPr>
        <w:tc>
          <w:tcPr>
            <w:tcW w:w="1686" w:type="dxa"/>
            <w:tcBorders>
              <w:top w:val="single" w:sz="4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59" w:line="236" w:lineRule="auto"/>
              <w:ind w:left="552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指数型</w:t>
            </w:r>
          </w:p>
        </w:tc>
        <w:tc>
          <w:tcPr>
            <w:tcW w:w="1416" w:type="dxa"/>
            <w:tcBorders>
              <w:top w:val="single" w:sz="4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59" w:line="236" w:lineRule="auto"/>
              <w:ind w:left="414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指数型</w:t>
            </w:r>
          </w:p>
        </w:tc>
        <w:tc>
          <w:tcPr>
            <w:tcW w:w="3893" w:type="dxa"/>
            <w:tcBorders>
              <w:top w:val="single" w:sz="4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59" w:line="233" w:lineRule="auto"/>
              <w:ind w:left="1246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采取指数化策略</w:t>
            </w:r>
          </w:p>
        </w:tc>
        <w:tc>
          <w:tcPr>
            <w:tcW w:w="2891" w:type="dxa"/>
            <w:tcBorders>
              <w:top w:val="single" w:sz="4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59" w:line="233" w:lineRule="auto"/>
              <w:ind w:left="95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指数化策略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5"/>
        </w:trPr>
        <w:tc>
          <w:tcPr>
            <w:tcW w:w="1686" w:type="dxa"/>
            <w:vAlign w:val="top"/>
          </w:tcPr>
          <w:p>
            <w:pPr>
              <w:pStyle w:val="TableText"/>
              <w:spacing w:before="64" w:line="234" w:lineRule="auto"/>
              <w:ind w:left="553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激进型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64" w:line="234" w:lineRule="auto"/>
              <w:ind w:left="415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激进型</w:t>
            </w:r>
          </w:p>
        </w:tc>
        <w:tc>
          <w:tcPr>
            <w:tcW w:w="3893" w:type="dxa"/>
            <w:vAlign w:val="top"/>
          </w:tcPr>
          <w:p>
            <w:pPr>
              <w:pStyle w:val="TableText"/>
              <w:spacing w:before="28" w:line="271" w:lineRule="exact"/>
              <w:ind w:left="823"/>
              <w:rPr>
                <w:sz w:val="19"/>
                <w:szCs w:val="19"/>
              </w:rPr>
            </w:pPr>
            <w:r>
              <w:rPr>
                <w:spacing w:val="4"/>
                <w:position w:val="1"/>
                <w:sz w:val="19"/>
                <w:szCs w:val="19"/>
              </w:rPr>
              <w:t>权益配置比例在</w:t>
            </w:r>
            <w:r>
              <w:rPr>
                <w:spacing w:val="-26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70%</w:t>
            </w:r>
            <w:r>
              <w:rPr>
                <w:rFonts w:ascii="Arial" w:eastAsia="Arial" w:hAnsi="Arial" w:cs="Arial"/>
                <w:spacing w:val="-16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4"/>
                <w:position w:val="1"/>
                <w:sz w:val="19"/>
                <w:szCs w:val="19"/>
              </w:rPr>
              <w:t>以上</w:t>
            </w:r>
          </w:p>
        </w:tc>
        <w:tc>
          <w:tcPr>
            <w:tcW w:w="2891" w:type="dxa"/>
            <w:vAlign w:val="top"/>
          </w:tcPr>
          <w:p>
            <w:pPr>
              <w:pStyle w:val="TableText"/>
              <w:spacing w:before="28" w:line="271" w:lineRule="exact"/>
              <w:ind w:left="1051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position w:val="1"/>
                <w:sz w:val="19"/>
                <w:szCs w:val="19"/>
              </w:rPr>
              <w:t>80%</w:t>
            </w:r>
            <w:r>
              <w:rPr>
                <w:rFonts w:ascii="Arial" w:eastAsia="Arial" w:hAnsi="Arial" w:cs="Arial"/>
                <w:spacing w:val="-16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-2"/>
                <w:position w:val="1"/>
                <w:sz w:val="19"/>
                <w:szCs w:val="19"/>
              </w:rPr>
              <w:t>以上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4"/>
        </w:trPr>
        <w:tc>
          <w:tcPr>
            <w:tcW w:w="1686" w:type="dxa"/>
            <w:vMerge w:val="restart"/>
            <w:tcBorders>
              <w:bottom w:val="nil"/>
            </w:tcBorders>
            <w:shd w:val="clear" w:color="auto" w:fill="F1F1F1"/>
            <w:vAlign w:val="top"/>
          </w:tcPr>
          <w:p>
            <w:pPr>
              <w:pStyle w:val="TableText"/>
              <w:spacing w:before="228" w:line="239" w:lineRule="auto"/>
              <w:ind w:left="56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混合型</w:t>
            </w:r>
          </w:p>
        </w:tc>
        <w:tc>
          <w:tcPr>
            <w:tcW w:w="1416" w:type="dxa"/>
            <w:shd w:val="clear" w:color="auto" w:fill="F1F1F1"/>
            <w:vAlign w:val="top"/>
          </w:tcPr>
          <w:p>
            <w:pPr>
              <w:pStyle w:val="TableText"/>
              <w:spacing w:before="68" w:line="229" w:lineRule="auto"/>
              <w:ind w:left="222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混合激进型</w:t>
            </w:r>
          </w:p>
        </w:tc>
        <w:tc>
          <w:tcPr>
            <w:tcW w:w="3893" w:type="dxa"/>
            <w:shd w:val="clear" w:color="auto" w:fill="F1F1F1"/>
            <w:vAlign w:val="top"/>
          </w:tcPr>
          <w:p>
            <w:pPr>
              <w:pStyle w:val="TableText"/>
              <w:spacing w:before="32" w:line="271" w:lineRule="exact"/>
              <w:ind w:left="72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pacing w:val="7"/>
                <w:position w:val="1"/>
                <w:sz w:val="19"/>
                <w:szCs w:val="19"/>
              </w:rPr>
              <w:t>权益配置比例在</w:t>
            </w:r>
            <w:r>
              <w:rPr>
                <w:spacing w:val="-3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>40%</w:t>
            </w:r>
            <w:r>
              <w:rPr>
                <w:spacing w:val="7"/>
                <w:position w:val="1"/>
                <w:sz w:val="19"/>
                <w:szCs w:val="19"/>
              </w:rPr>
              <w:t>－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>70%</w:t>
            </w:r>
          </w:p>
        </w:tc>
        <w:tc>
          <w:tcPr>
            <w:tcW w:w="2891" w:type="dxa"/>
            <w:shd w:val="clear" w:color="auto" w:fill="F1F1F1"/>
            <w:vAlign w:val="top"/>
          </w:tcPr>
          <w:p>
            <w:pPr>
              <w:spacing w:before="32" w:line="271" w:lineRule="exact"/>
              <w:ind w:left="10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50%-80%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5"/>
        </w:trPr>
        <w:tc>
          <w:tcPr>
            <w:tcW w:w="16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70" w:line="228" w:lineRule="auto"/>
              <w:ind w:left="222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混合保守型</w:t>
            </w:r>
          </w:p>
        </w:tc>
        <w:tc>
          <w:tcPr>
            <w:tcW w:w="3893" w:type="dxa"/>
            <w:vAlign w:val="top"/>
          </w:tcPr>
          <w:p>
            <w:pPr>
              <w:pStyle w:val="TableText"/>
              <w:spacing w:before="34" w:line="271" w:lineRule="exact"/>
              <w:ind w:left="72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pacing w:val="7"/>
                <w:position w:val="1"/>
                <w:sz w:val="19"/>
                <w:szCs w:val="19"/>
              </w:rPr>
              <w:t>权益配置比例在</w:t>
            </w:r>
            <w:r>
              <w:rPr>
                <w:spacing w:val="-31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>20%</w:t>
            </w:r>
            <w:r>
              <w:rPr>
                <w:spacing w:val="7"/>
                <w:position w:val="1"/>
                <w:sz w:val="19"/>
                <w:szCs w:val="19"/>
              </w:rPr>
              <w:t>－</w:t>
            </w:r>
            <w:r>
              <w:rPr>
                <w:rFonts w:ascii="Arial" w:eastAsia="Arial" w:hAnsi="Arial" w:cs="Arial"/>
                <w:spacing w:val="7"/>
                <w:position w:val="1"/>
                <w:sz w:val="19"/>
                <w:szCs w:val="19"/>
              </w:rPr>
              <w:t>40%</w:t>
            </w:r>
          </w:p>
        </w:tc>
        <w:tc>
          <w:tcPr>
            <w:tcW w:w="2891" w:type="dxa"/>
            <w:vAlign w:val="top"/>
          </w:tcPr>
          <w:p>
            <w:pPr>
              <w:spacing w:before="34" w:line="271" w:lineRule="exact"/>
              <w:ind w:left="10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position w:val="1"/>
                <w:sz w:val="19"/>
                <w:szCs w:val="19"/>
              </w:rPr>
              <w:t>20%-50%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5"/>
        </w:trPr>
        <w:tc>
          <w:tcPr>
            <w:tcW w:w="168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33" w:line="234" w:lineRule="auto"/>
              <w:ind w:left="547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债券型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72" w:line="226" w:lineRule="auto"/>
              <w:ind w:left="212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增强债券型</w:t>
            </w:r>
          </w:p>
        </w:tc>
        <w:tc>
          <w:tcPr>
            <w:tcW w:w="3893" w:type="dxa"/>
            <w:vAlign w:val="top"/>
          </w:tcPr>
          <w:p>
            <w:pPr>
              <w:pStyle w:val="TableText"/>
              <w:spacing w:before="72" w:line="226" w:lineRule="auto"/>
              <w:ind w:left="259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可投债券型基金，或者少量权益类投资</w:t>
            </w:r>
          </w:p>
        </w:tc>
        <w:tc>
          <w:tcPr>
            <w:tcW w:w="2891" w:type="dxa"/>
            <w:vAlign w:val="top"/>
          </w:tcPr>
          <w:p>
            <w:pPr>
              <w:pStyle w:val="TableText"/>
              <w:spacing w:before="36" w:line="268" w:lineRule="exact"/>
              <w:ind w:left="1048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position w:val="2"/>
                <w:sz w:val="19"/>
                <w:szCs w:val="19"/>
              </w:rPr>
              <w:t>20%</w:t>
            </w:r>
            <w:r>
              <w:rPr>
                <w:rFonts w:ascii="Arial" w:eastAsia="Arial" w:hAnsi="Arial" w:cs="Arial"/>
                <w:spacing w:val="-19"/>
                <w:position w:val="2"/>
                <w:sz w:val="19"/>
                <w:szCs w:val="19"/>
              </w:rPr>
              <w:t xml:space="preserve"> </w:t>
            </w:r>
            <w:r>
              <w:rPr>
                <w:spacing w:val="-1"/>
                <w:position w:val="2"/>
                <w:sz w:val="19"/>
                <w:szCs w:val="19"/>
              </w:rPr>
              <w:t>以下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5"/>
        </w:trPr>
        <w:tc>
          <w:tcPr>
            <w:tcW w:w="16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73" w:line="225" w:lineRule="auto"/>
              <w:ind w:left="414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全债型</w:t>
            </w:r>
          </w:p>
        </w:tc>
        <w:tc>
          <w:tcPr>
            <w:tcW w:w="3893" w:type="dxa"/>
            <w:vAlign w:val="top"/>
          </w:tcPr>
          <w:p>
            <w:pPr>
              <w:pStyle w:val="TableText"/>
              <w:spacing w:before="73" w:line="225" w:lineRule="auto"/>
              <w:ind w:left="254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不投资权益，仅投资于债券和货币市场</w:t>
            </w:r>
          </w:p>
        </w:tc>
        <w:tc>
          <w:tcPr>
            <w:tcW w:w="2891" w:type="dxa"/>
            <w:vAlign w:val="top"/>
          </w:tcPr>
          <w:p>
            <w:pPr>
              <w:pStyle w:val="TableText"/>
              <w:spacing w:before="38" w:line="267" w:lineRule="exact"/>
              <w:ind w:left="506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position w:val="1"/>
                <w:sz w:val="19"/>
                <w:szCs w:val="19"/>
              </w:rPr>
              <w:t>0%</w:t>
            </w:r>
            <w:r>
              <w:rPr>
                <w:spacing w:val="3"/>
                <w:position w:val="1"/>
                <w:sz w:val="19"/>
                <w:szCs w:val="19"/>
              </w:rPr>
              <w:t>（</w:t>
            </w:r>
            <w:r>
              <w:rPr>
                <w:rFonts w:ascii="Arial" w:eastAsia="Arial" w:hAnsi="Arial" w:cs="Arial"/>
                <w:spacing w:val="3"/>
                <w:position w:val="1"/>
                <w:sz w:val="19"/>
                <w:szCs w:val="19"/>
              </w:rPr>
              <w:t>80%</w:t>
            </w:r>
            <w:r>
              <w:rPr>
                <w:rFonts w:ascii="Arial" w:eastAsia="Arial" w:hAnsi="Arial" w:cs="Arial"/>
                <w:spacing w:val="-11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3"/>
                <w:position w:val="1"/>
                <w:sz w:val="19"/>
                <w:szCs w:val="19"/>
              </w:rPr>
              <w:t>以上债券）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315"/>
        </w:trPr>
        <w:tc>
          <w:tcPr>
            <w:tcW w:w="1686" w:type="dxa"/>
            <w:vAlign w:val="top"/>
          </w:tcPr>
          <w:p>
            <w:pPr>
              <w:pStyle w:val="TableText"/>
              <w:spacing w:before="75" w:line="223" w:lineRule="auto"/>
              <w:ind w:left="551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货币型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75" w:line="223" w:lineRule="auto"/>
              <w:ind w:left="413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货币型</w:t>
            </w:r>
          </w:p>
        </w:tc>
        <w:tc>
          <w:tcPr>
            <w:tcW w:w="3893" w:type="dxa"/>
            <w:vAlign w:val="top"/>
          </w:tcPr>
          <w:p>
            <w:pPr>
              <w:pStyle w:val="TableText"/>
              <w:spacing w:before="39" w:line="266" w:lineRule="exact"/>
              <w:ind w:left="529"/>
              <w:rPr>
                <w:sz w:val="19"/>
                <w:szCs w:val="19"/>
              </w:rPr>
            </w:pPr>
            <w:r>
              <w:rPr>
                <w:spacing w:val="5"/>
                <w:position w:val="1"/>
                <w:sz w:val="19"/>
                <w:szCs w:val="19"/>
              </w:rPr>
              <w:t>投资于货币市场比例在</w:t>
            </w:r>
            <w:r>
              <w:rPr>
                <w:spacing w:val="-29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position w:val="1"/>
                <w:sz w:val="19"/>
                <w:szCs w:val="19"/>
              </w:rPr>
              <w:t>80%</w:t>
            </w:r>
            <w:r>
              <w:rPr>
                <w:rFonts w:ascii="Arial" w:eastAsia="Arial" w:hAnsi="Arial" w:cs="Arial"/>
                <w:spacing w:val="-16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5"/>
                <w:position w:val="1"/>
                <w:sz w:val="19"/>
                <w:szCs w:val="19"/>
              </w:rPr>
              <w:t>以上</w:t>
            </w:r>
          </w:p>
        </w:tc>
        <w:tc>
          <w:tcPr>
            <w:tcW w:w="2891" w:type="dxa"/>
            <w:vAlign w:val="top"/>
          </w:tcPr>
          <w:p>
            <w:pPr>
              <w:pStyle w:val="TableText"/>
              <w:spacing w:before="39" w:line="266" w:lineRule="exact"/>
              <w:ind w:left="307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0%</w:t>
            </w:r>
            <w:r>
              <w:rPr>
                <w:spacing w:val="4"/>
                <w:position w:val="1"/>
                <w:sz w:val="19"/>
                <w:szCs w:val="19"/>
              </w:rPr>
              <w:t>（</w:t>
            </w: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80%</w:t>
            </w:r>
            <w:r>
              <w:rPr>
                <w:rFonts w:ascii="Arial" w:eastAsia="Arial" w:hAnsi="Arial" w:cs="Arial"/>
                <w:spacing w:val="-12"/>
                <w:position w:val="1"/>
                <w:sz w:val="19"/>
                <w:szCs w:val="19"/>
              </w:rPr>
              <w:t xml:space="preserve"> </w:t>
            </w:r>
            <w:r>
              <w:rPr>
                <w:spacing w:val="4"/>
                <w:position w:val="1"/>
                <w:sz w:val="19"/>
                <w:szCs w:val="19"/>
              </w:rPr>
              <w:t>以上货币市场）</w:t>
            </w:r>
          </w:p>
        </w:tc>
      </w:tr>
      <w:tr>
        <w:tblPrEx>
          <w:tblW w:w="9886" w:type="dxa"/>
          <w:tblInd w:w="440" w:type="dxa"/>
          <w:tblLayout w:type="fixed"/>
        </w:tblPrEx>
        <w:trPr>
          <w:trHeight w:val="648"/>
        </w:trPr>
        <w:tc>
          <w:tcPr>
            <w:tcW w:w="1686" w:type="dxa"/>
            <w:tcBorders>
              <w:bottom w:val="single" w:sz="10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232" w:line="238" w:lineRule="auto"/>
              <w:ind w:left="261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类固定收益型</w:t>
            </w:r>
          </w:p>
        </w:tc>
        <w:tc>
          <w:tcPr>
            <w:tcW w:w="1416" w:type="dxa"/>
            <w:tcBorders>
              <w:bottom w:val="single" w:sz="10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232" w:line="238" w:lineRule="auto"/>
              <w:ind w:left="123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类固定收益型</w:t>
            </w:r>
          </w:p>
        </w:tc>
        <w:tc>
          <w:tcPr>
            <w:tcW w:w="3893" w:type="dxa"/>
            <w:tcBorders>
              <w:bottom w:val="single" w:sz="10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76" w:line="268" w:lineRule="auto"/>
              <w:ind w:left="375" w:right="144" w:hanging="223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投资范围包括债权计划、不动产计划以及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固定收益类信托计划等非标准化资产</w:t>
            </w:r>
          </w:p>
        </w:tc>
        <w:tc>
          <w:tcPr>
            <w:tcW w:w="2891" w:type="dxa"/>
            <w:tcBorders>
              <w:bottom w:val="single" w:sz="10" w:space="0" w:color="000000"/>
            </w:tcBorders>
            <w:shd w:val="clear" w:color="auto" w:fill="F1F1F1"/>
            <w:vAlign w:val="top"/>
          </w:tcPr>
          <w:p>
            <w:pPr>
              <w:pStyle w:val="TableText"/>
              <w:spacing w:before="233" w:line="325" w:lineRule="exact"/>
              <w:ind w:left="1368"/>
              <w:rPr>
                <w:sz w:val="19"/>
                <w:szCs w:val="19"/>
              </w:rPr>
            </w:pPr>
            <w:r>
              <w:rPr>
                <w:spacing w:val="14"/>
                <w:w w:val="140"/>
                <w:position w:val="3"/>
                <w:sz w:val="19"/>
                <w:szCs w:val="19"/>
              </w:rPr>
              <w:t>-</w:t>
            </w:r>
          </w:p>
        </w:tc>
      </w:tr>
    </w:tbl>
    <w:p>
      <w:pPr>
        <w:spacing w:before="68" w:line="224" w:lineRule="auto"/>
        <w:ind w:left="56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2"/>
          <w:sz w:val="18"/>
          <w:szCs w:val="18"/>
        </w:rPr>
        <w:t>资料来源：华宝证券研究创新部</w:t>
      </w:r>
    </w:p>
    <w:p>
      <w:pPr>
        <w:spacing w:before="93" w:line="223" w:lineRule="auto"/>
        <w:ind w:left="568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注：上述两大分类标准满足其中的一个即可；</w:t>
      </w:r>
      <w:r>
        <w:rPr>
          <w:rFonts w:ascii="KaiTi" w:eastAsia="KaiTi" w:hAnsi="KaiTi" w:cs="KaiTi"/>
          <w:spacing w:val="-44"/>
          <w:sz w:val="18"/>
          <w:szCs w:val="18"/>
        </w:rPr>
        <w:t xml:space="preserve"> </w:t>
      </w:r>
      <w:r>
        <w:rPr>
          <w:rFonts w:ascii="KaiTi" w:eastAsia="KaiTi" w:hAnsi="KaiTi" w:cs="KaiTi"/>
          <w:spacing w:val="-2"/>
          <w:sz w:val="18"/>
          <w:szCs w:val="18"/>
        </w:rPr>
        <w:t>目前纳入统计的指数型投连险账户均为股票指数型</w:t>
      </w:r>
    </w:p>
    <w:p>
      <w:pPr>
        <w:pStyle w:val="BodyText"/>
        <w:spacing w:line="246" w:lineRule="auto"/>
      </w:pPr>
    </w:p>
    <w:p>
      <w:pPr>
        <w:pStyle w:val="BodyText"/>
        <w:spacing w:before="98" w:line="227" w:lineRule="auto"/>
        <w:ind w:left="571"/>
        <w:outlineLvl w:val="0"/>
        <w:rPr>
          <w:rFonts w:ascii="KaiTi" w:eastAsia="KaiTi" w:hAnsi="KaiTi" w:cs="KaiTi"/>
          <w:sz w:val="30"/>
          <w:szCs w:val="30"/>
        </w:rPr>
      </w:pPr>
      <w:r>
        <w:rPr>
          <w:b/>
          <w:bCs/>
          <w:sz w:val="30"/>
          <w:szCs w:val="30"/>
        </w:rPr>
        <w:t>2.</w:t>
      </w:r>
      <w:r>
        <w:rPr>
          <w:rFonts w:ascii="KaiTi" w:eastAsia="KaiTi" w:hAnsi="KaiTi" w:cs="KaiTi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纳入统计的投连险账户规模情况</w:t>
      </w:r>
    </w:p>
    <w:p>
      <w:pPr>
        <w:spacing w:before="294" w:line="252" w:lineRule="auto"/>
        <w:ind w:left="564" w:right="122" w:firstLine="457"/>
        <w:jc w:val="both"/>
        <w:rPr>
          <w:rFonts w:ascii="KaiTi" w:eastAsia="KaiTi" w:hAnsi="KaiTi" w:cs="KaiTi"/>
          <w:sz w:val="22"/>
          <w:szCs w:val="22"/>
        </w:rPr>
      </w:pPr>
      <w:r>
        <w:rPr>
          <w:rFonts w:ascii="KaiTi" w:eastAsia="KaiTi" w:hAnsi="KaiTi" w:cs="KaiTi"/>
          <w:spacing w:val="-1"/>
          <w:sz w:val="22"/>
          <w:szCs w:val="22"/>
        </w:rPr>
        <w:t>我们从各保险公司投连险业务披露报告（月报、季报、半年报、</w:t>
      </w:r>
      <w:r>
        <w:rPr>
          <w:rFonts w:ascii="KaiTi" w:eastAsia="KaiTi" w:hAnsi="KaiTi" w:cs="KaiTi"/>
          <w:spacing w:val="-2"/>
          <w:sz w:val="22"/>
          <w:szCs w:val="22"/>
        </w:rPr>
        <w:t>年报）中摘录出各投连险账户最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新规模数据，并通过对摘录数据的统计分析，以及对部分缺失数据的合理估算，整理各投连险账户规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模如下。</w:t>
      </w:r>
    </w:p>
    <w:p>
      <w:pPr>
        <w:pStyle w:val="BodyText"/>
        <w:spacing w:before="319" w:line="227" w:lineRule="auto"/>
        <w:ind w:left="571"/>
        <w:outlineLvl w:val="0"/>
        <w:rPr>
          <w:rFonts w:ascii="KaiTi" w:eastAsia="KaiTi" w:hAnsi="KaiTi" w:cs="KaiTi"/>
          <w:sz w:val="28"/>
          <w:szCs w:val="28"/>
        </w:rPr>
      </w:pPr>
      <w:r>
        <w:rPr>
          <w:b/>
          <w:bCs/>
          <w:sz w:val="28"/>
          <w:szCs w:val="28"/>
        </w:rPr>
        <w:t>2.1.</w:t>
      </w:r>
      <w:r>
        <w:rPr>
          <w:rFonts w:ascii="KaiTi" w:eastAsia="KaiTi" w:hAnsi="KaiTi" w:cs="KaiT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各保险机构旗下投连险账户规模情况</w:t>
      </w:r>
    </w:p>
    <w:p>
      <w:pPr>
        <w:pStyle w:val="BodyText"/>
        <w:spacing w:before="269" w:line="260" w:lineRule="auto"/>
        <w:ind w:left="569" w:right="120" w:firstLine="439"/>
        <w:jc w:val="both"/>
        <w:rPr>
          <w:rFonts w:ascii="KaiTi" w:eastAsia="KaiTi" w:hAnsi="KaiTi" w:cs="KaiTi"/>
          <w:sz w:val="22"/>
          <w:szCs w:val="22"/>
        </w:rPr>
      </w:pPr>
      <w:r>
        <w:rPr>
          <w:rFonts w:ascii="KaiTi" w:eastAsia="KaiTi" w:hAnsi="KaiTi" w:cs="KaiTi"/>
          <w:spacing w:val="-1"/>
          <w:sz w:val="22"/>
          <w:szCs w:val="22"/>
        </w:rPr>
        <w:t>根据各大保险机构</w:t>
      </w:r>
      <w:r>
        <w:rPr>
          <w:rFonts w:ascii="KaiTi" w:eastAsia="KaiTi" w:hAnsi="KaiTi" w:cs="KaiTi"/>
          <w:spacing w:val="-4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2021 </w:t>
      </w:r>
      <w:r>
        <w:rPr>
          <w:rFonts w:ascii="KaiTi" w:eastAsia="KaiTi" w:hAnsi="KaiTi" w:cs="KaiTi"/>
          <w:spacing w:val="-1"/>
          <w:sz w:val="22"/>
          <w:szCs w:val="22"/>
        </w:rPr>
        <w:t>年</w:t>
      </w:r>
      <w:r>
        <w:rPr>
          <w:spacing w:val="-1"/>
          <w:sz w:val="22"/>
          <w:szCs w:val="22"/>
        </w:rPr>
        <w:t xml:space="preserve">-2023 </w:t>
      </w:r>
      <w:r>
        <w:rPr>
          <w:rFonts w:ascii="KaiTi" w:eastAsia="KaiTi" w:hAnsi="KaiTi" w:cs="KaiTi"/>
          <w:spacing w:val="-1"/>
          <w:sz w:val="22"/>
          <w:szCs w:val="22"/>
        </w:rPr>
        <w:t>年月报、中报和年报中披露的相关信息，截至</w:t>
      </w:r>
      <w:r>
        <w:rPr>
          <w:rFonts w:ascii="KaiTi" w:eastAsia="KaiTi" w:hAnsi="KaiTi" w:cs="KaiTi"/>
          <w:spacing w:val="-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2023/</w:t>
      </w:r>
      <w:r>
        <w:rPr>
          <w:spacing w:val="-3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12/31</w:t>
      </w:r>
      <w:r>
        <w:rPr>
          <w:rFonts w:ascii="KaiTi" w:eastAsia="KaiTi" w:hAnsi="KaiTi" w:cs="KaiTi"/>
          <w:spacing w:val="-1"/>
          <w:sz w:val="22"/>
          <w:szCs w:val="22"/>
        </w:rPr>
        <w:t>，已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3"/>
          <w:sz w:val="22"/>
          <w:szCs w:val="22"/>
        </w:rPr>
        <w:t>纳入排名统计的</w:t>
      </w:r>
      <w:r>
        <w:rPr>
          <w:rFonts w:ascii="KaiTi" w:eastAsia="KaiTi" w:hAnsi="KaiTi" w:cs="KaiTi"/>
          <w:spacing w:val="-48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 xml:space="preserve">217 </w:t>
      </w:r>
      <w:r>
        <w:rPr>
          <w:rFonts w:ascii="KaiTi" w:eastAsia="KaiTi" w:hAnsi="KaiTi" w:cs="KaiTi"/>
          <w:spacing w:val="-3"/>
          <w:sz w:val="22"/>
          <w:szCs w:val="22"/>
        </w:rPr>
        <w:t>只投连险账户最新总规模为</w:t>
      </w:r>
      <w:r>
        <w:rPr>
          <w:rFonts w:ascii="KaiTi" w:eastAsia="KaiTi" w:hAnsi="KaiTi" w:cs="KaiTi"/>
          <w:spacing w:val="-31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 xml:space="preserve">1924.30 </w:t>
      </w:r>
      <w:r>
        <w:rPr>
          <w:rFonts w:ascii="KaiTi" w:eastAsia="KaiTi" w:hAnsi="KaiTi" w:cs="KaiTi"/>
          <w:spacing w:val="-3"/>
          <w:sz w:val="22"/>
          <w:szCs w:val="22"/>
        </w:rPr>
        <w:t>亿元。具体到各家公司看，泰康人寿旗下共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计</w:t>
      </w:r>
      <w:r>
        <w:rPr>
          <w:rFonts w:ascii="KaiTi" w:eastAsia="KaiTi" w:hAnsi="KaiTi" w:cs="KaiTi"/>
          <w:spacing w:val="-3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18 </w:t>
      </w:r>
      <w:r>
        <w:rPr>
          <w:rFonts w:ascii="KaiTi" w:eastAsia="KaiTi" w:hAnsi="KaiTi" w:cs="KaiTi"/>
          <w:spacing w:val="-2"/>
          <w:sz w:val="22"/>
          <w:szCs w:val="22"/>
        </w:rPr>
        <w:t>只投连险账户纳入排名统计，总规模</w:t>
      </w:r>
      <w:r>
        <w:rPr>
          <w:rFonts w:ascii="KaiTi" w:eastAsia="KaiTi" w:hAnsi="KaiTi" w:cs="KaiTi"/>
          <w:spacing w:val="-4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6</w:t>
      </w:r>
      <w:r>
        <w:rPr>
          <w:spacing w:val="-3"/>
          <w:sz w:val="22"/>
          <w:szCs w:val="22"/>
        </w:rPr>
        <w:t xml:space="preserve">62.48 </w:t>
      </w:r>
      <w:r>
        <w:rPr>
          <w:rFonts w:ascii="KaiTi" w:eastAsia="KaiTi" w:hAnsi="KaiTi" w:cs="KaiTi"/>
          <w:spacing w:val="-3"/>
          <w:sz w:val="22"/>
          <w:szCs w:val="22"/>
        </w:rPr>
        <w:t>亿元，位居首位；弘康人寿和中信保诚人寿紧随其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后，均有</w:t>
      </w:r>
      <w:r>
        <w:rPr>
          <w:rFonts w:ascii="KaiTi" w:eastAsia="KaiTi" w:hAnsi="KaiTi" w:cs="KaiTi"/>
          <w:spacing w:val="-45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8 </w:t>
      </w:r>
      <w:r>
        <w:rPr>
          <w:rFonts w:ascii="KaiTi" w:eastAsia="KaiTi" w:hAnsi="KaiTi" w:cs="KaiTi"/>
          <w:spacing w:val="-1"/>
          <w:sz w:val="22"/>
          <w:szCs w:val="22"/>
        </w:rPr>
        <w:t>只投连险账户纳入排名统计，总规模分别达</w:t>
      </w:r>
      <w:r>
        <w:rPr>
          <w:rFonts w:ascii="KaiTi" w:eastAsia="KaiTi" w:hAnsi="KaiTi" w:cs="KaiTi"/>
          <w:spacing w:val="-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338.77</w:t>
      </w:r>
      <w:r>
        <w:rPr>
          <w:spacing w:val="53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亿元和</w:t>
      </w:r>
      <w:r>
        <w:rPr>
          <w:rFonts w:ascii="KaiTi" w:eastAsia="KaiTi" w:hAnsi="KaiTi" w:cs="KaiTi"/>
          <w:spacing w:val="-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280.97 </w:t>
      </w:r>
      <w:r>
        <w:rPr>
          <w:rFonts w:ascii="KaiTi" w:eastAsia="KaiTi" w:hAnsi="KaiTi" w:cs="KaiTi"/>
          <w:spacing w:val="-1"/>
          <w:sz w:val="22"/>
          <w:szCs w:val="22"/>
        </w:rPr>
        <w:t>亿元。</w:t>
      </w:r>
    </w:p>
    <w:p>
      <w:pPr>
        <w:pStyle w:val="BodyText"/>
        <w:spacing w:before="216" w:line="232" w:lineRule="auto"/>
        <w:ind w:left="795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8"/>
          <w:sz w:val="19"/>
          <w:szCs w:val="19"/>
        </w:rPr>
        <w:t>表</w:t>
      </w:r>
      <w:r>
        <w:rPr>
          <w:rFonts w:ascii="KaiTi" w:eastAsia="KaiTi" w:hAnsi="KaiTi" w:cs="KaiTi"/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 xml:space="preserve">2   </w:t>
      </w:r>
      <w:r>
        <w:rPr>
          <w:rFonts w:ascii="KaiTi" w:eastAsia="KaiTi" w:hAnsi="KaiTi" w:cs="KaiTi"/>
          <w:spacing w:val="8"/>
          <w:sz w:val="19"/>
          <w:szCs w:val="19"/>
        </w:rPr>
        <w:t>投连险账户规模排名前十的保险公司</w:t>
      </w:r>
    </w:p>
    <w:tbl>
      <w:tblPr>
        <w:tblStyle w:val="TableNormal0"/>
        <w:tblW w:w="9405" w:type="dxa"/>
        <w:tblInd w:w="681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2437"/>
        <w:gridCol w:w="3542"/>
        <w:gridCol w:w="3426"/>
      </w:tblGrid>
      <w:tr>
        <w:tblPrEx>
          <w:tblW w:w="9405" w:type="dxa"/>
          <w:tblInd w:w="681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448"/>
        </w:trPr>
        <w:tc>
          <w:tcPr>
            <w:tcW w:w="2437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123" w:line="236" w:lineRule="auto"/>
              <w:ind w:left="817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公司名称</w:t>
            </w:r>
          </w:p>
        </w:tc>
        <w:tc>
          <w:tcPr>
            <w:tcW w:w="3542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123" w:line="231" w:lineRule="auto"/>
              <w:ind w:left="287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最新可得投连险账户规模（亿元）</w:t>
            </w:r>
          </w:p>
        </w:tc>
        <w:tc>
          <w:tcPr>
            <w:tcW w:w="3426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123" w:line="237" w:lineRule="auto"/>
              <w:ind w:left="113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旗下纳入统计投连险账户数量（只）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14"/>
        </w:trPr>
        <w:tc>
          <w:tcPr>
            <w:tcW w:w="2437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56" w:line="232" w:lineRule="auto"/>
              <w:ind w:left="827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泰康人寿</w:t>
            </w:r>
          </w:p>
        </w:tc>
        <w:tc>
          <w:tcPr>
            <w:tcW w:w="3542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2" w:line="204" w:lineRule="auto"/>
              <w:ind w:left="14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662.48</w:t>
            </w:r>
          </w:p>
        </w:tc>
        <w:tc>
          <w:tcPr>
            <w:tcW w:w="3426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2" w:line="204" w:lineRule="auto"/>
              <w:ind w:left="162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>18</w:t>
            </w:r>
          </w:p>
        </w:tc>
      </w:tr>
    </w:tbl>
    <w:p>
      <w:pPr>
        <w:sectPr>
          <w:headerReference w:type="default" r:id="rId14"/>
          <w:pgSz w:w="11906" w:h="16839"/>
          <w:pgMar w:top="400" w:right="1007" w:bottom="0" w:left="568" w:header="0" w:footer="0" w:gutter="0"/>
          <w:pgNumType w:start="7"/>
          <w:cols w:num="1" w:space="708" w:equalWidth="0">
            <w:col w:w="10330" w:space="0"/>
          </w:cols>
        </w:sectPr>
      </w:pPr>
    </w:p>
    <w:tbl>
      <w:tblPr>
        <w:tblStyle w:val="TableNormal1"/>
        <w:tblW w:w="9405" w:type="dxa"/>
        <w:tblInd w:w="681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2437"/>
        <w:gridCol w:w="3542"/>
        <w:gridCol w:w="3426"/>
      </w:tblGrid>
      <w:tr>
        <w:tblPrEx>
          <w:tblW w:w="9405" w:type="dxa"/>
          <w:tblInd w:w="681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34"/>
        </w:trPr>
        <w:tc>
          <w:tcPr>
            <w:tcW w:w="2437" w:type="dxa"/>
            <w:vAlign w:val="top"/>
          </w:tcPr>
          <w:p>
            <w:pPr>
              <w:pStyle w:val="TableText"/>
              <w:spacing w:before="66" w:line="233" w:lineRule="auto"/>
              <w:ind w:left="837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弘康人寿</w:t>
            </w:r>
          </w:p>
        </w:tc>
        <w:tc>
          <w:tcPr>
            <w:tcW w:w="3542" w:type="dxa"/>
            <w:vAlign w:val="top"/>
          </w:tcPr>
          <w:p>
            <w:pPr>
              <w:spacing w:before="94" w:line="204" w:lineRule="auto"/>
              <w:ind w:left="14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338.77</w:t>
            </w:r>
          </w:p>
        </w:tc>
        <w:tc>
          <w:tcPr>
            <w:tcW w:w="3426" w:type="dxa"/>
            <w:vAlign w:val="top"/>
          </w:tcPr>
          <w:p>
            <w:pPr>
              <w:spacing w:before="94" w:line="204" w:lineRule="auto"/>
              <w:ind w:left="16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33"/>
        </w:trPr>
        <w:tc>
          <w:tcPr>
            <w:tcW w:w="2437" w:type="dxa"/>
            <w:shd w:val="clear" w:color="auto" w:fill="F2F2F2"/>
            <w:vAlign w:val="top"/>
          </w:tcPr>
          <w:p>
            <w:pPr>
              <w:pStyle w:val="TableText"/>
              <w:spacing w:before="66" w:line="234" w:lineRule="auto"/>
              <w:ind w:left="846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中信保诚</w:t>
            </w:r>
          </w:p>
        </w:tc>
        <w:tc>
          <w:tcPr>
            <w:tcW w:w="3542" w:type="dxa"/>
            <w:shd w:val="clear" w:color="auto" w:fill="F2F2F2"/>
            <w:vAlign w:val="top"/>
          </w:tcPr>
          <w:p>
            <w:pPr>
              <w:spacing w:before="93" w:line="204" w:lineRule="auto"/>
              <w:ind w:left="146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280.97</w:t>
            </w:r>
          </w:p>
        </w:tc>
        <w:tc>
          <w:tcPr>
            <w:tcW w:w="3426" w:type="dxa"/>
            <w:shd w:val="clear" w:color="auto" w:fill="F2F2F2"/>
            <w:vAlign w:val="top"/>
          </w:tcPr>
          <w:p>
            <w:pPr>
              <w:spacing w:before="93" w:line="204" w:lineRule="auto"/>
              <w:ind w:left="16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33"/>
        </w:trPr>
        <w:tc>
          <w:tcPr>
            <w:tcW w:w="2437" w:type="dxa"/>
            <w:vAlign w:val="top"/>
          </w:tcPr>
          <w:p>
            <w:pPr>
              <w:pStyle w:val="TableText"/>
              <w:spacing w:before="68" w:line="233" w:lineRule="auto"/>
              <w:ind w:left="831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恒大人寿</w:t>
            </w:r>
          </w:p>
        </w:tc>
        <w:tc>
          <w:tcPr>
            <w:tcW w:w="3542" w:type="dxa"/>
            <w:vAlign w:val="top"/>
          </w:tcPr>
          <w:p>
            <w:pPr>
              <w:spacing w:before="94" w:line="204" w:lineRule="auto"/>
              <w:ind w:left="146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200.34</w:t>
            </w:r>
          </w:p>
        </w:tc>
        <w:tc>
          <w:tcPr>
            <w:tcW w:w="3426" w:type="dxa"/>
            <w:vAlign w:val="top"/>
          </w:tcPr>
          <w:p>
            <w:pPr>
              <w:spacing w:before="94" w:line="204" w:lineRule="auto"/>
              <w:ind w:left="16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33"/>
        </w:trPr>
        <w:tc>
          <w:tcPr>
            <w:tcW w:w="2437" w:type="dxa"/>
            <w:shd w:val="clear" w:color="auto" w:fill="F2F2F2"/>
            <w:vAlign w:val="top"/>
          </w:tcPr>
          <w:p>
            <w:pPr>
              <w:pStyle w:val="TableText"/>
              <w:spacing w:before="68" w:line="233" w:lineRule="auto"/>
              <w:ind w:left="647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中国平安人寿</w:t>
            </w:r>
          </w:p>
        </w:tc>
        <w:tc>
          <w:tcPr>
            <w:tcW w:w="3542" w:type="dxa"/>
            <w:shd w:val="clear" w:color="auto" w:fill="F2F2F2"/>
            <w:vAlign w:val="top"/>
          </w:tcPr>
          <w:p>
            <w:pPr>
              <w:spacing w:before="94" w:line="204" w:lineRule="auto"/>
              <w:ind w:left="148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178.14</w:t>
            </w:r>
          </w:p>
        </w:tc>
        <w:tc>
          <w:tcPr>
            <w:tcW w:w="3426" w:type="dxa"/>
            <w:shd w:val="clear" w:color="auto" w:fill="F2F2F2"/>
            <w:vAlign w:val="top"/>
          </w:tcPr>
          <w:p>
            <w:pPr>
              <w:spacing w:before="94" w:line="204" w:lineRule="auto"/>
              <w:ind w:left="166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34"/>
        </w:trPr>
        <w:tc>
          <w:tcPr>
            <w:tcW w:w="2437" w:type="dxa"/>
            <w:vAlign w:val="top"/>
          </w:tcPr>
          <w:p>
            <w:pPr>
              <w:pStyle w:val="TableText"/>
              <w:spacing w:before="69" w:line="233" w:lineRule="auto"/>
              <w:ind w:left="847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国华人寿</w:t>
            </w:r>
          </w:p>
        </w:tc>
        <w:tc>
          <w:tcPr>
            <w:tcW w:w="3542" w:type="dxa"/>
            <w:vAlign w:val="top"/>
          </w:tcPr>
          <w:p>
            <w:pPr>
              <w:spacing w:before="97" w:line="204" w:lineRule="auto"/>
              <w:ind w:left="15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49.97</w:t>
            </w:r>
          </w:p>
        </w:tc>
        <w:tc>
          <w:tcPr>
            <w:tcW w:w="3426" w:type="dxa"/>
            <w:vAlign w:val="top"/>
          </w:tcPr>
          <w:p>
            <w:pPr>
              <w:spacing w:before="100" w:line="201" w:lineRule="auto"/>
              <w:ind w:left="166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36"/>
        </w:trPr>
        <w:tc>
          <w:tcPr>
            <w:tcW w:w="2437" w:type="dxa"/>
            <w:shd w:val="clear" w:color="auto" w:fill="F2F2F2"/>
            <w:vAlign w:val="top"/>
          </w:tcPr>
          <w:p>
            <w:pPr>
              <w:pStyle w:val="TableText"/>
              <w:spacing w:before="69" w:line="236" w:lineRule="auto"/>
              <w:ind w:left="820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友邦保险</w:t>
            </w:r>
          </w:p>
        </w:tc>
        <w:tc>
          <w:tcPr>
            <w:tcW w:w="3542" w:type="dxa"/>
            <w:shd w:val="clear" w:color="auto" w:fill="F2F2F2"/>
            <w:vAlign w:val="top"/>
          </w:tcPr>
          <w:p>
            <w:pPr>
              <w:spacing w:before="96" w:line="204" w:lineRule="auto"/>
              <w:ind w:left="15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41.29</w:t>
            </w:r>
          </w:p>
        </w:tc>
        <w:tc>
          <w:tcPr>
            <w:tcW w:w="3426" w:type="dxa"/>
            <w:shd w:val="clear" w:color="auto" w:fill="F2F2F2"/>
            <w:vAlign w:val="top"/>
          </w:tcPr>
          <w:p>
            <w:pPr>
              <w:spacing w:before="99" w:line="201" w:lineRule="auto"/>
              <w:ind w:left="16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</w:tbl>
    <w:p>
      <w:pPr>
        <w:pStyle w:val="BodyText"/>
        <w:spacing w:line="218" w:lineRule="exact"/>
        <w:rPr>
          <w:sz w:val="18"/>
        </w:rPr>
      </w:pPr>
    </w:p>
    <w:p>
      <w:pPr>
        <w:spacing w:line="218" w:lineRule="exact"/>
        <w:rPr>
          <w:sz w:val="18"/>
          <w:szCs w:val="18"/>
        </w:rPr>
        <w:sectPr>
          <w:headerReference w:type="default" r:id="rId15"/>
          <w:type w:val="nextPage"/>
          <w:pgSz w:w="11906" w:h="16839"/>
          <w:pgMar w:top="400" w:right="1007" w:bottom="0" w:left="568" w:header="0" w:footer="0" w:gutter="0"/>
          <w:pgNumType w:start="8"/>
          <w:cols w:num="1" w:space="708" w:equalWidth="0">
            <w:col w:w="10330" w:space="0"/>
          </w:cols>
          <w:titlePg w:val="0"/>
        </w:sectPr>
      </w:pPr>
    </w:p>
    <w:p>
      <w:pPr>
        <w:spacing w:before="49" w:line="222" w:lineRule="auto"/>
        <w:ind w:left="57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敬请参阅报告结尾处免责声明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8" w:line="246" w:lineRule="exact"/>
        <w:ind w:left="5615"/>
        <w:rPr>
          <w:sz w:val="18"/>
          <w:szCs w:val="18"/>
        </w:rPr>
      </w:pPr>
      <w:r>
        <w:rPr>
          <w:rFonts w:ascii="KaiTi" w:eastAsia="KaiTi" w:hAnsi="KaiTi" w:cs="KaiTi"/>
          <w:spacing w:val="-4"/>
          <w:position w:val="1"/>
          <w:sz w:val="18"/>
          <w:szCs w:val="18"/>
        </w:rPr>
        <w:t>华宝证券</w:t>
      </w:r>
      <w:r>
        <w:rPr>
          <w:rFonts w:ascii="KaiTi" w:eastAsia="KaiTi" w:hAnsi="KaiTi" w:cs="KaiTi"/>
          <w:spacing w:val="4"/>
          <w:position w:val="1"/>
          <w:sz w:val="18"/>
          <w:szCs w:val="18"/>
        </w:rPr>
        <w:t xml:space="preserve">    </w:t>
      </w:r>
      <w:r>
        <w:rPr>
          <w:spacing w:val="-4"/>
          <w:position w:val="1"/>
          <w:sz w:val="18"/>
          <w:szCs w:val="18"/>
        </w:rPr>
        <w:t>1/14</w:t>
      </w:r>
    </w:p>
    <w:p>
      <w:pPr>
        <w:spacing w:line="246" w:lineRule="exact"/>
        <w:rPr>
          <w:sz w:val="18"/>
          <w:szCs w:val="18"/>
        </w:rPr>
        <w:sectPr>
          <w:headerReference w:type="default" r:id="rId16"/>
          <w:type w:val="continuous"/>
          <w:pgSz w:w="11906" w:h="16839"/>
          <w:pgMar w:top="400" w:right="1007" w:bottom="0" w:left="568" w:header="0" w:footer="0" w:gutter="0"/>
          <w:pgNumType w:start="9"/>
          <w:cols w:num="2" w:space="708" w:equalWidth="0">
            <w:col w:w="3071" w:space="100"/>
            <w:col w:w="7160" w:space="0"/>
          </w:cols>
        </w:sectPr>
      </w:pPr>
    </w:p>
    <w:p>
      <w:pPr>
        <w:pStyle w:val="BodyText"/>
        <w:spacing w:line="334" w:lineRule="auto"/>
      </w:pPr>
      <w:r>
        <w:pict>
          <v:shape id="_x0000_s1032" style="width:352.1pt;height:0.85pt;margin-top:795.48pt;margin-left:186.96pt;mso-position-horizontal-relative:page;mso-position-vertical-relative:page;position:absolute;z-index:251666432" coordorigin="0,0" coordsize="7042,17" o:allowincell="f" path="m,l7041,l7041,16l,16l,xe" filled="t" fillcolor="#b30924" stroked="f"/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361188</wp:posOffset>
            </wp:positionH>
            <wp:positionV relativeFrom="page">
              <wp:posOffset>330707</wp:posOffset>
            </wp:positionV>
            <wp:extent cx="4638802" cy="399288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8802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98" w:lineRule="exact"/>
        <w:ind w:firstLine="7395"/>
      </w:pPr>
      <w:r>
        <w:rPr>
          <w:position w:val="-7"/>
        </w:rPr>
        <w:pict>
          <v:shape id="_x0000_i1033" type="#_x0000_t202" style="width:106.4pt;height:19.95pt;mso-position-horizontal-relative:char;mso-position-vertical-relative:line" filled="t" fillcolor="#af2135" stroked="f">
            <o:lock v:ext="edit" aspectratio="f"/>
            <v:textbox inset="0,0,0,0">
              <w:txbxContent>
                <w:p>
                  <w:pPr>
                    <w:spacing w:before="107" w:line="223" w:lineRule="auto"/>
                    <w:ind w:left="342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bookmarkStart w:id="8" w:name="bookmark10"/>
                  <w:bookmarkEnd w:id="8"/>
                  <w:bookmarkStart w:id="9" w:name="bookmark36"/>
                  <w:bookmarkEnd w:id="9"/>
                  <w:bookmarkStart w:id="10" w:name="bookmark18"/>
                  <w:bookmarkEnd w:id="10"/>
                  <w:bookmarkStart w:id="11" w:name="bookmark19"/>
                  <w:bookmarkEnd w:id="11"/>
                  <w:r>
                    <w:rPr>
                      <w:rFonts w:ascii="KaiTi" w:eastAsia="KaiTi" w:hAnsi="KaiTi" w:cs="KaiTi"/>
                      <w:color w:val="FFFFFF"/>
                      <w:sz w:val="18"/>
                      <w:szCs w:val="18"/>
                      <w14:textOutline w14:w="326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金融产品年度报告</w:t>
                  </w:r>
                </w:p>
              </w:txbxContent>
            </v:textbox>
            <w10:wrap type="none"/>
          </v:shape>
        </w:pict>
      </w:r>
    </w:p>
    <w:p>
      <w:pPr>
        <w:spacing w:line="205" w:lineRule="exact"/>
      </w:pPr>
    </w:p>
    <w:tbl>
      <w:tblPr>
        <w:tblStyle w:val="TableNormal2"/>
        <w:tblW w:w="9405" w:type="dxa"/>
        <w:tblInd w:w="681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2437"/>
        <w:gridCol w:w="3542"/>
        <w:gridCol w:w="3426"/>
      </w:tblGrid>
      <w:tr>
        <w:tblPrEx>
          <w:tblW w:w="9405" w:type="dxa"/>
          <w:tblInd w:w="681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30"/>
        </w:trPr>
        <w:tc>
          <w:tcPr>
            <w:tcW w:w="2437" w:type="dxa"/>
            <w:vAlign w:val="top"/>
          </w:tcPr>
          <w:p>
            <w:pPr>
              <w:pStyle w:val="TableText"/>
              <w:spacing w:before="70" w:line="236" w:lineRule="auto"/>
              <w:ind w:left="1037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汇丰</w:t>
            </w:r>
          </w:p>
        </w:tc>
        <w:tc>
          <w:tcPr>
            <w:tcW w:w="3542" w:type="dxa"/>
            <w:vAlign w:val="top"/>
          </w:tcPr>
          <w:p>
            <w:pPr>
              <w:spacing w:before="95" w:line="204" w:lineRule="auto"/>
              <w:ind w:left="15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26.52</w:t>
            </w:r>
          </w:p>
        </w:tc>
        <w:tc>
          <w:tcPr>
            <w:tcW w:w="3426" w:type="dxa"/>
            <w:vAlign w:val="top"/>
          </w:tcPr>
          <w:p>
            <w:pPr>
              <w:spacing w:before="98" w:line="201" w:lineRule="auto"/>
              <w:ind w:left="166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26"/>
        </w:trPr>
        <w:tc>
          <w:tcPr>
            <w:tcW w:w="2437" w:type="dxa"/>
            <w:shd w:val="clear" w:color="auto" w:fill="F2F2F2"/>
            <w:vAlign w:val="top"/>
          </w:tcPr>
          <w:p>
            <w:pPr>
              <w:pStyle w:val="TableText"/>
              <w:spacing w:before="74" w:line="235" w:lineRule="auto"/>
              <w:ind w:left="82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工银安盛</w:t>
            </w:r>
          </w:p>
        </w:tc>
        <w:tc>
          <w:tcPr>
            <w:tcW w:w="3542" w:type="dxa"/>
            <w:shd w:val="clear" w:color="auto" w:fill="F2F2F2"/>
            <w:vAlign w:val="top"/>
          </w:tcPr>
          <w:p>
            <w:pPr>
              <w:spacing w:before="99" w:line="204" w:lineRule="auto"/>
              <w:ind w:left="15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24.83</w:t>
            </w:r>
          </w:p>
        </w:tc>
        <w:tc>
          <w:tcPr>
            <w:tcW w:w="3426" w:type="dxa"/>
            <w:shd w:val="clear" w:color="auto" w:fill="F2F2F2"/>
            <w:vAlign w:val="top"/>
          </w:tcPr>
          <w:p>
            <w:pPr>
              <w:spacing w:before="99" w:line="204" w:lineRule="auto"/>
              <w:ind w:left="16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</w:tr>
      <w:tr>
        <w:tblPrEx>
          <w:tblW w:w="9405" w:type="dxa"/>
          <w:tblInd w:w="681" w:type="dxa"/>
          <w:tblLayout w:type="fixed"/>
        </w:tblPrEx>
        <w:trPr>
          <w:trHeight w:val="349"/>
        </w:trPr>
        <w:tc>
          <w:tcPr>
            <w:tcW w:w="2437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0" w:line="236" w:lineRule="auto"/>
              <w:ind w:left="82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光大永明</w:t>
            </w:r>
          </w:p>
        </w:tc>
        <w:tc>
          <w:tcPr>
            <w:tcW w:w="3542" w:type="dxa"/>
            <w:tcBorders>
              <w:bottom w:val="single" w:sz="10" w:space="0" w:color="000000"/>
            </w:tcBorders>
            <w:vAlign w:val="top"/>
          </w:tcPr>
          <w:p>
            <w:pPr>
              <w:spacing w:before="109" w:line="204" w:lineRule="auto"/>
              <w:ind w:left="15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24.64</w:t>
            </w:r>
          </w:p>
        </w:tc>
        <w:tc>
          <w:tcPr>
            <w:tcW w:w="3426" w:type="dxa"/>
            <w:tcBorders>
              <w:bottom w:val="single" w:sz="10" w:space="0" w:color="000000"/>
            </w:tcBorders>
            <w:vAlign w:val="top"/>
          </w:tcPr>
          <w:p>
            <w:pPr>
              <w:spacing w:before="109" w:line="204" w:lineRule="auto"/>
              <w:ind w:left="162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>11</w:t>
            </w:r>
          </w:p>
        </w:tc>
      </w:tr>
    </w:tbl>
    <w:p>
      <w:pPr>
        <w:spacing w:before="68" w:line="220" w:lineRule="auto"/>
        <w:ind w:left="80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资料来源：各保险公司官网，华宝证券研究创新部</w:t>
      </w:r>
    </w:p>
    <w:p>
      <w:pPr>
        <w:pStyle w:val="BodyText"/>
        <w:spacing w:before="96" w:line="287" w:lineRule="auto"/>
        <w:ind w:left="797" w:right="333" w:firstLine="10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7"/>
          <w:sz w:val="18"/>
          <w:szCs w:val="18"/>
        </w:rPr>
        <w:t>注：统计标的为</w:t>
      </w:r>
      <w:r>
        <w:rPr>
          <w:rFonts w:ascii="KaiTi" w:eastAsia="KaiTi" w:hAnsi="KaiTi" w:cs="KaiTi"/>
          <w:spacing w:val="-29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 xml:space="preserve">2023 </w:t>
      </w:r>
      <w:r>
        <w:rPr>
          <w:rFonts w:ascii="KaiTi" w:eastAsia="KaiTi" w:hAnsi="KaiTi" w:cs="KaiTi"/>
          <w:spacing w:val="7"/>
          <w:sz w:val="18"/>
          <w:szCs w:val="18"/>
        </w:rPr>
        <w:t>年纳入华宝投连险账户排名的</w:t>
      </w:r>
      <w:r>
        <w:rPr>
          <w:rFonts w:ascii="KaiTi" w:eastAsia="KaiTi" w:hAnsi="KaiTi" w:cs="KaiTi"/>
          <w:spacing w:val="-32"/>
          <w:sz w:val="18"/>
          <w:szCs w:val="18"/>
        </w:rPr>
        <w:t xml:space="preserve"> </w:t>
      </w:r>
      <w:r>
        <w:rPr>
          <w:spacing w:val="7"/>
          <w:sz w:val="18"/>
          <w:szCs w:val="18"/>
        </w:rPr>
        <w:t xml:space="preserve">217 </w:t>
      </w:r>
      <w:r>
        <w:rPr>
          <w:rFonts w:ascii="KaiTi" w:eastAsia="KaiTi" w:hAnsi="KaiTi" w:cs="KaiTi"/>
          <w:spacing w:val="6"/>
          <w:sz w:val="18"/>
          <w:szCs w:val="18"/>
        </w:rPr>
        <w:t>只投连账户，未公布</w:t>
      </w:r>
      <w:r>
        <w:rPr>
          <w:rFonts w:ascii="KaiTi" w:eastAsia="KaiTi" w:hAnsi="KaiTi" w:cs="KaiTi"/>
          <w:spacing w:val="-30"/>
          <w:sz w:val="18"/>
          <w:szCs w:val="18"/>
        </w:rPr>
        <w:t xml:space="preserve"> </w:t>
      </w:r>
      <w:r>
        <w:rPr>
          <w:spacing w:val="6"/>
          <w:sz w:val="18"/>
          <w:szCs w:val="18"/>
        </w:rPr>
        <w:t xml:space="preserve">2023 </w:t>
      </w:r>
      <w:r>
        <w:rPr>
          <w:rFonts w:ascii="KaiTi" w:eastAsia="KaiTi" w:hAnsi="KaiTi" w:cs="KaiTi"/>
          <w:spacing w:val="6"/>
          <w:sz w:val="18"/>
          <w:szCs w:val="18"/>
        </w:rPr>
        <w:t>年底规模数据的账户以截至</w:t>
      </w:r>
      <w:r>
        <w:rPr>
          <w:rFonts w:ascii="KaiTi" w:eastAsia="KaiTi" w:hAnsi="KaiTi" w:cs="KaiTi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 xml:space="preserve">2023/12/31 </w:t>
      </w:r>
      <w:r>
        <w:rPr>
          <w:rFonts w:ascii="KaiTi" w:eastAsia="KaiTi" w:hAnsi="KaiTi" w:cs="KaiTi"/>
          <w:spacing w:val="-1"/>
          <w:sz w:val="18"/>
          <w:szCs w:val="18"/>
        </w:rPr>
        <w:t>可获取的最新披露规模数据替代；其中恒大人寿已将业务转交给海港人寿，但目前尚未投连险的规模数据</w:t>
      </w:r>
      <w:r>
        <w:rPr>
          <w:rFonts w:ascii="KaiTi" w:eastAsia="KaiTi" w:hAnsi="KaiTi" w:cs="KaiTi"/>
          <w:spacing w:val="7"/>
          <w:sz w:val="18"/>
          <w:szCs w:val="18"/>
        </w:rPr>
        <w:t xml:space="preserve"> </w:t>
      </w:r>
      <w:r>
        <w:rPr>
          <w:rFonts w:ascii="KaiTi" w:eastAsia="KaiTi" w:hAnsi="KaiTi" w:cs="KaiTi"/>
          <w:spacing w:val="-4"/>
          <w:sz w:val="18"/>
          <w:szCs w:val="18"/>
        </w:rPr>
        <w:t>披露，</w:t>
      </w:r>
      <w:r>
        <w:rPr>
          <w:rFonts w:ascii="KaiTi" w:eastAsia="KaiTi" w:hAnsi="KaiTi" w:cs="KaiTi"/>
          <w:spacing w:val="-28"/>
          <w:sz w:val="18"/>
          <w:szCs w:val="18"/>
        </w:rPr>
        <w:t xml:space="preserve"> </w:t>
      </w:r>
      <w:r>
        <w:rPr>
          <w:rFonts w:ascii="KaiTi" w:eastAsia="KaiTi" w:hAnsi="KaiTi" w:cs="KaiTi"/>
          <w:spacing w:val="-4"/>
          <w:sz w:val="18"/>
          <w:szCs w:val="18"/>
        </w:rPr>
        <w:t>目前统计的规模截至到</w:t>
      </w:r>
      <w:r>
        <w:rPr>
          <w:rFonts w:ascii="KaiTi" w:eastAsia="KaiTi" w:hAnsi="KaiTi" w:cs="KaiTi"/>
          <w:spacing w:val="-40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 xml:space="preserve">2021 </w:t>
      </w:r>
      <w:r>
        <w:rPr>
          <w:rFonts w:ascii="KaiTi" w:eastAsia="KaiTi" w:hAnsi="KaiTi" w:cs="KaiTi"/>
          <w:spacing w:val="-4"/>
          <w:sz w:val="18"/>
          <w:szCs w:val="18"/>
        </w:rPr>
        <w:t>年底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before="92" w:line="227" w:lineRule="auto"/>
        <w:ind w:left="571"/>
        <w:outlineLvl w:val="0"/>
        <w:rPr>
          <w:rFonts w:ascii="KaiTi" w:eastAsia="KaiTi" w:hAnsi="KaiTi" w:cs="KaiTi"/>
          <w:sz w:val="28"/>
          <w:szCs w:val="28"/>
        </w:rPr>
      </w:pPr>
      <w:r>
        <w:rPr>
          <w:b/>
          <w:bCs/>
          <w:sz w:val="28"/>
          <w:szCs w:val="28"/>
        </w:rPr>
        <w:t>2.2.</w:t>
      </w:r>
      <w:r>
        <w:rPr>
          <w:rFonts w:ascii="KaiTi" w:eastAsia="KaiTi" w:hAnsi="KaiTi" w:cs="KaiTi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投连险分类账户规模情况</w:t>
      </w:r>
    </w:p>
    <w:p>
      <w:pPr>
        <w:pStyle w:val="BodyText"/>
        <w:spacing w:before="307" w:line="258" w:lineRule="auto"/>
        <w:ind w:left="568" w:right="100" w:firstLine="444"/>
        <w:jc w:val="both"/>
        <w:rPr>
          <w:rFonts w:ascii="KaiTi" w:eastAsia="KaiTi" w:hAnsi="KaiTi" w:cs="KaiTi"/>
          <w:sz w:val="22"/>
          <w:szCs w:val="22"/>
        </w:rPr>
      </w:pPr>
      <w:r>
        <w:rPr>
          <w:rFonts w:ascii="KaiTi" w:eastAsia="KaiTi" w:hAnsi="KaiTi" w:cs="KaiTi"/>
          <w:sz w:val="22"/>
          <w:szCs w:val="22"/>
        </w:rPr>
        <w:t>截至</w:t>
      </w:r>
      <w:r>
        <w:rPr>
          <w:rFonts w:ascii="KaiTi" w:eastAsia="KaiTi" w:hAnsi="KaiTi" w:cs="KaiTi"/>
          <w:spacing w:val="-49"/>
          <w:sz w:val="22"/>
          <w:szCs w:val="22"/>
        </w:rPr>
        <w:t xml:space="preserve"> </w:t>
      </w:r>
      <w:r>
        <w:rPr>
          <w:sz w:val="22"/>
          <w:szCs w:val="22"/>
        </w:rPr>
        <w:t xml:space="preserve">2023 </w:t>
      </w:r>
      <w:r>
        <w:rPr>
          <w:rFonts w:ascii="KaiTi" w:eastAsia="KaiTi" w:hAnsi="KaiTi" w:cs="KaiTi"/>
          <w:sz w:val="22"/>
          <w:szCs w:val="22"/>
        </w:rPr>
        <w:t>年底，已纳入统计的各类投连险账户规模从高到低排序如下表所示，具体来看，激进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型账户</w:t>
      </w:r>
      <w:r>
        <w:rPr>
          <w:rFonts w:ascii="KaiTi" w:eastAsia="KaiTi" w:hAnsi="KaiTi" w:cs="KaiTi"/>
          <w:spacing w:val="-5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46 </w:t>
      </w:r>
      <w:r>
        <w:rPr>
          <w:rFonts w:ascii="KaiTi" w:eastAsia="KaiTi" w:hAnsi="KaiTi" w:cs="KaiTi"/>
          <w:spacing w:val="-1"/>
          <w:sz w:val="22"/>
          <w:szCs w:val="22"/>
        </w:rPr>
        <w:t>只，最新总规模为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665.89 </w:t>
      </w:r>
      <w:r>
        <w:rPr>
          <w:rFonts w:ascii="KaiTi" w:eastAsia="KaiTi" w:hAnsi="KaiTi" w:cs="KaiTi"/>
          <w:spacing w:val="-1"/>
          <w:sz w:val="22"/>
          <w:szCs w:val="22"/>
        </w:rPr>
        <w:t>亿元，占总规模的</w:t>
      </w:r>
      <w:r>
        <w:rPr>
          <w:rFonts w:ascii="KaiTi" w:eastAsia="KaiTi" w:hAnsi="KaiTi" w:cs="KaiTi"/>
          <w:spacing w:val="-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34.60%</w:t>
      </w:r>
      <w:r>
        <w:rPr>
          <w:spacing w:val="-37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，排名第一；其次是类固定收益型账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户共计</w:t>
      </w:r>
      <w:r>
        <w:rPr>
          <w:rFonts w:ascii="KaiTi" w:eastAsia="KaiTi" w:hAnsi="KaiTi" w:cs="KaiTi"/>
          <w:spacing w:val="-47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26 </w:t>
      </w:r>
      <w:r>
        <w:rPr>
          <w:rFonts w:ascii="KaiTi" w:eastAsia="KaiTi" w:hAnsi="KaiTi" w:cs="KaiTi"/>
          <w:spacing w:val="-1"/>
          <w:sz w:val="22"/>
          <w:szCs w:val="22"/>
        </w:rPr>
        <w:t>只，最新总规模</w:t>
      </w:r>
      <w:r>
        <w:rPr>
          <w:rFonts w:ascii="KaiTi" w:eastAsia="KaiTi" w:hAnsi="KaiTi" w:cs="KaiTi"/>
          <w:spacing w:val="-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629.74 </w:t>
      </w:r>
      <w:r>
        <w:rPr>
          <w:rFonts w:ascii="KaiTi" w:eastAsia="KaiTi" w:hAnsi="KaiTi" w:cs="KaiTi"/>
          <w:spacing w:val="-1"/>
          <w:sz w:val="22"/>
          <w:szCs w:val="22"/>
        </w:rPr>
        <w:t>亿元，占比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32.73%</w:t>
      </w:r>
      <w:r>
        <w:rPr>
          <w:rFonts w:ascii="KaiTi" w:eastAsia="KaiTi" w:hAnsi="KaiTi" w:cs="KaiTi"/>
          <w:spacing w:val="-1"/>
          <w:sz w:val="22"/>
          <w:szCs w:val="22"/>
        </w:rPr>
        <w:t>；混合型账户共计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68 </w:t>
      </w:r>
      <w:r>
        <w:rPr>
          <w:rFonts w:ascii="KaiTi" w:eastAsia="KaiTi" w:hAnsi="KaiTi" w:cs="KaiTi"/>
          <w:spacing w:val="-1"/>
          <w:sz w:val="22"/>
          <w:szCs w:val="22"/>
        </w:rPr>
        <w:t>只，最新总规模</w:t>
      </w:r>
      <w:r>
        <w:rPr>
          <w:rFonts w:ascii="KaiTi" w:eastAsia="KaiTi" w:hAnsi="KaiTi" w:cs="KaiTi"/>
          <w:spacing w:val="-48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381.60</w:t>
      </w:r>
      <w:r>
        <w:rPr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亿元，占比</w:t>
      </w:r>
      <w:r>
        <w:rPr>
          <w:rFonts w:ascii="KaiTi" w:eastAsia="KaiTi" w:hAnsi="KaiTi" w:cs="KaiTi"/>
          <w:spacing w:val="-23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19.83%</w:t>
      </w:r>
      <w:r>
        <w:rPr>
          <w:rFonts w:ascii="KaiTi" w:eastAsia="KaiTi" w:hAnsi="KaiTi" w:cs="KaiTi"/>
          <w:spacing w:val="-2"/>
          <w:sz w:val="22"/>
          <w:szCs w:val="22"/>
        </w:rPr>
        <w:t>，位居第三。</w:t>
      </w:r>
    </w:p>
    <w:p>
      <w:pPr>
        <w:pStyle w:val="BodyText"/>
        <w:spacing w:before="188" w:line="231" w:lineRule="auto"/>
        <w:ind w:left="651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8"/>
          <w:sz w:val="19"/>
          <w:szCs w:val="19"/>
        </w:rPr>
        <w:t>表</w:t>
      </w:r>
      <w:r>
        <w:rPr>
          <w:rFonts w:ascii="KaiTi" w:eastAsia="KaiTi" w:hAnsi="KaiTi" w:cs="KaiTi"/>
          <w:spacing w:val="-2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 xml:space="preserve">3   </w:t>
      </w:r>
      <w:r>
        <w:rPr>
          <w:rFonts w:ascii="KaiTi" w:eastAsia="KaiTi" w:hAnsi="KaiTi" w:cs="KaiTi"/>
          <w:spacing w:val="8"/>
          <w:sz w:val="19"/>
          <w:szCs w:val="19"/>
        </w:rPr>
        <w:t>各类别投连险账户最新规模汇总</w:t>
      </w:r>
    </w:p>
    <w:p>
      <w:pPr>
        <w:spacing w:line="16" w:lineRule="exact"/>
      </w:pPr>
    </w:p>
    <w:tbl>
      <w:tblPr>
        <w:tblStyle w:val="TableNormal2"/>
        <w:tblW w:w="9691" w:type="dxa"/>
        <w:tblInd w:w="537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2663"/>
        <w:gridCol w:w="3542"/>
        <w:gridCol w:w="3486"/>
      </w:tblGrid>
      <w:tr>
        <w:tblPrEx>
          <w:tblW w:w="9691" w:type="dxa"/>
          <w:tblInd w:w="537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529"/>
        </w:trPr>
        <w:tc>
          <w:tcPr>
            <w:tcW w:w="2663" w:type="dxa"/>
            <w:tcBorders>
              <w:top w:val="single" w:sz="10" w:space="0" w:color="C00000"/>
              <w:bottom w:val="single" w:sz="4" w:space="0" w:color="C00000"/>
            </w:tcBorders>
            <w:vAlign w:val="top"/>
          </w:tcPr>
          <w:p>
            <w:pPr>
              <w:pStyle w:val="TableText"/>
              <w:spacing w:before="165" w:line="237" w:lineRule="auto"/>
              <w:ind w:left="640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投连险账户分类</w:t>
            </w:r>
          </w:p>
        </w:tc>
        <w:tc>
          <w:tcPr>
            <w:tcW w:w="3542" w:type="dxa"/>
            <w:tcBorders>
              <w:top w:val="single" w:sz="10" w:space="0" w:color="C00000"/>
              <w:bottom w:val="single" w:sz="4" w:space="0" w:color="C00000"/>
            </w:tcBorders>
            <w:vAlign w:val="top"/>
          </w:tcPr>
          <w:p>
            <w:pPr>
              <w:pStyle w:val="TableText"/>
              <w:spacing w:before="164" w:line="231" w:lineRule="auto"/>
              <w:ind w:left="287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最新可得投连险账户规模（亿元）</w:t>
            </w:r>
          </w:p>
        </w:tc>
        <w:tc>
          <w:tcPr>
            <w:tcW w:w="3486" w:type="dxa"/>
            <w:tcBorders>
              <w:top w:val="single" w:sz="10" w:space="0" w:color="C00000"/>
              <w:bottom w:val="single" w:sz="4" w:space="0" w:color="C00000"/>
            </w:tcBorders>
            <w:vAlign w:val="top"/>
          </w:tcPr>
          <w:p>
            <w:pPr>
              <w:pStyle w:val="TableText"/>
              <w:spacing w:before="165" w:line="232" w:lineRule="auto"/>
              <w:ind w:left="157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纳入排名统计投连险账户数量（只）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2"/>
        </w:trPr>
        <w:tc>
          <w:tcPr>
            <w:tcW w:w="2663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58" w:line="237" w:lineRule="auto"/>
              <w:ind w:left="120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激进型</w:t>
            </w:r>
          </w:p>
        </w:tc>
        <w:tc>
          <w:tcPr>
            <w:tcW w:w="3542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5" w:line="204" w:lineRule="auto"/>
              <w:ind w:left="14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665.89</w:t>
            </w:r>
          </w:p>
        </w:tc>
        <w:tc>
          <w:tcPr>
            <w:tcW w:w="3486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5" w:line="204" w:lineRule="auto"/>
              <w:ind w:left="16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46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vAlign w:val="top"/>
          </w:tcPr>
          <w:p>
            <w:pPr>
              <w:pStyle w:val="TableText"/>
              <w:spacing w:before="65" w:line="233" w:lineRule="auto"/>
              <w:ind w:left="128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类固定收益型</w:t>
            </w:r>
          </w:p>
        </w:tc>
        <w:tc>
          <w:tcPr>
            <w:tcW w:w="3542" w:type="dxa"/>
            <w:vAlign w:val="top"/>
          </w:tcPr>
          <w:p>
            <w:pPr>
              <w:spacing w:before="90" w:line="204" w:lineRule="auto"/>
              <w:ind w:left="14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629.74</w:t>
            </w:r>
          </w:p>
        </w:tc>
        <w:tc>
          <w:tcPr>
            <w:tcW w:w="3486" w:type="dxa"/>
            <w:vAlign w:val="top"/>
          </w:tcPr>
          <w:p>
            <w:pPr>
              <w:spacing w:before="90" w:line="204" w:lineRule="auto"/>
              <w:ind w:left="163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26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shd w:val="clear" w:color="auto" w:fill="F2F2F2"/>
            <w:vAlign w:val="top"/>
          </w:tcPr>
          <w:p>
            <w:pPr>
              <w:pStyle w:val="TableText"/>
              <w:spacing w:before="66" w:line="232" w:lineRule="auto"/>
              <w:ind w:left="12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混合型</w:t>
            </w:r>
          </w:p>
        </w:tc>
        <w:tc>
          <w:tcPr>
            <w:tcW w:w="3542" w:type="dxa"/>
            <w:shd w:val="clear" w:color="auto" w:fill="F2F2F2"/>
            <w:vAlign w:val="top"/>
          </w:tcPr>
          <w:p>
            <w:pPr>
              <w:spacing w:before="92" w:line="204" w:lineRule="auto"/>
              <w:ind w:left="14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381.60</w:t>
            </w:r>
          </w:p>
        </w:tc>
        <w:tc>
          <w:tcPr>
            <w:tcW w:w="3486" w:type="dxa"/>
            <w:shd w:val="clear" w:color="auto" w:fill="F2F2F2"/>
            <w:vAlign w:val="top"/>
          </w:tcPr>
          <w:p>
            <w:pPr>
              <w:spacing w:before="92" w:line="204" w:lineRule="auto"/>
              <w:ind w:left="16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68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vAlign w:val="top"/>
          </w:tcPr>
          <w:p>
            <w:pPr>
              <w:pStyle w:val="TableText"/>
              <w:spacing w:before="68" w:line="230" w:lineRule="auto"/>
              <w:ind w:left="326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混合激进型</w:t>
            </w:r>
          </w:p>
        </w:tc>
        <w:tc>
          <w:tcPr>
            <w:tcW w:w="3542" w:type="dxa"/>
            <w:vAlign w:val="top"/>
          </w:tcPr>
          <w:p>
            <w:pPr>
              <w:spacing w:before="93" w:line="204" w:lineRule="auto"/>
              <w:ind w:left="147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250.07</w:t>
            </w:r>
          </w:p>
        </w:tc>
        <w:tc>
          <w:tcPr>
            <w:tcW w:w="3486" w:type="dxa"/>
            <w:vAlign w:val="top"/>
          </w:tcPr>
          <w:p>
            <w:pPr>
              <w:spacing w:before="93" w:line="204" w:lineRule="auto"/>
              <w:ind w:left="163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28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vAlign w:val="top"/>
          </w:tcPr>
          <w:p>
            <w:pPr>
              <w:pStyle w:val="TableText"/>
              <w:spacing w:before="70" w:line="228" w:lineRule="auto"/>
              <w:ind w:left="326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混合保守型</w:t>
            </w:r>
          </w:p>
        </w:tc>
        <w:tc>
          <w:tcPr>
            <w:tcW w:w="3542" w:type="dxa"/>
            <w:vAlign w:val="top"/>
          </w:tcPr>
          <w:p>
            <w:pPr>
              <w:spacing w:before="95" w:line="204" w:lineRule="auto"/>
              <w:ind w:left="14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131.53</w:t>
            </w:r>
          </w:p>
        </w:tc>
        <w:tc>
          <w:tcPr>
            <w:tcW w:w="3486" w:type="dxa"/>
            <w:vAlign w:val="top"/>
          </w:tcPr>
          <w:p>
            <w:pPr>
              <w:spacing w:before="95" w:line="204" w:lineRule="auto"/>
              <w:ind w:left="16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40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shd w:val="clear" w:color="auto" w:fill="F2F2F2"/>
            <w:vAlign w:val="top"/>
          </w:tcPr>
          <w:p>
            <w:pPr>
              <w:pStyle w:val="TableText"/>
              <w:spacing w:before="71" w:line="227" w:lineRule="auto"/>
              <w:ind w:left="11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债券型</w:t>
            </w:r>
          </w:p>
        </w:tc>
        <w:tc>
          <w:tcPr>
            <w:tcW w:w="3542" w:type="dxa"/>
            <w:shd w:val="clear" w:color="auto" w:fill="F2F2F2"/>
            <w:vAlign w:val="top"/>
          </w:tcPr>
          <w:p>
            <w:pPr>
              <w:spacing w:before="99" w:line="204" w:lineRule="auto"/>
              <w:ind w:left="146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204.96</w:t>
            </w:r>
          </w:p>
        </w:tc>
        <w:tc>
          <w:tcPr>
            <w:tcW w:w="3486" w:type="dxa"/>
            <w:shd w:val="clear" w:color="auto" w:fill="F2F2F2"/>
            <w:vAlign w:val="top"/>
          </w:tcPr>
          <w:p>
            <w:pPr>
              <w:spacing w:before="99" w:line="204" w:lineRule="auto"/>
              <w:ind w:left="16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>31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vAlign w:val="top"/>
          </w:tcPr>
          <w:p>
            <w:pPr>
              <w:pStyle w:val="TableText"/>
              <w:spacing w:before="73" w:line="225" w:lineRule="auto"/>
              <w:ind w:left="31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增强债券型</w:t>
            </w:r>
          </w:p>
        </w:tc>
        <w:tc>
          <w:tcPr>
            <w:tcW w:w="3542" w:type="dxa"/>
            <w:vAlign w:val="top"/>
          </w:tcPr>
          <w:p>
            <w:pPr>
              <w:spacing w:before="100" w:line="204" w:lineRule="auto"/>
              <w:ind w:left="14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178.25</w:t>
            </w:r>
          </w:p>
        </w:tc>
        <w:tc>
          <w:tcPr>
            <w:tcW w:w="3486" w:type="dxa"/>
            <w:vAlign w:val="top"/>
          </w:tcPr>
          <w:p>
            <w:pPr>
              <w:spacing w:before="100" w:line="204" w:lineRule="auto"/>
              <w:ind w:left="16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>15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vAlign w:val="top"/>
          </w:tcPr>
          <w:p>
            <w:pPr>
              <w:pStyle w:val="TableText"/>
              <w:spacing w:before="77" w:line="221" w:lineRule="auto"/>
              <w:ind w:left="318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全债型</w:t>
            </w:r>
          </w:p>
        </w:tc>
        <w:tc>
          <w:tcPr>
            <w:tcW w:w="3542" w:type="dxa"/>
            <w:vAlign w:val="top"/>
          </w:tcPr>
          <w:p>
            <w:pPr>
              <w:spacing w:before="102" w:line="204" w:lineRule="auto"/>
              <w:ind w:left="152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26.71</w:t>
            </w:r>
          </w:p>
        </w:tc>
        <w:tc>
          <w:tcPr>
            <w:tcW w:w="3486" w:type="dxa"/>
            <w:vAlign w:val="top"/>
          </w:tcPr>
          <w:p>
            <w:pPr>
              <w:spacing w:before="102" w:line="204" w:lineRule="auto"/>
              <w:ind w:left="16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>16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15"/>
        </w:trPr>
        <w:tc>
          <w:tcPr>
            <w:tcW w:w="2663" w:type="dxa"/>
            <w:shd w:val="clear" w:color="auto" w:fill="F2F2F2"/>
            <w:vAlign w:val="top"/>
          </w:tcPr>
          <w:p>
            <w:pPr>
              <w:pStyle w:val="TableText"/>
              <w:spacing w:before="78" w:line="220" w:lineRule="auto"/>
              <w:ind w:left="118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货币型</w:t>
            </w:r>
          </w:p>
        </w:tc>
        <w:tc>
          <w:tcPr>
            <w:tcW w:w="3542" w:type="dxa"/>
            <w:shd w:val="clear" w:color="auto" w:fill="F2F2F2"/>
            <w:vAlign w:val="top"/>
          </w:tcPr>
          <w:p>
            <w:pPr>
              <w:spacing w:before="104" w:line="204" w:lineRule="auto"/>
              <w:ind w:left="15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40.76</w:t>
            </w:r>
          </w:p>
        </w:tc>
        <w:tc>
          <w:tcPr>
            <w:tcW w:w="3486" w:type="dxa"/>
            <w:shd w:val="clear" w:color="auto" w:fill="F2F2F2"/>
            <w:vAlign w:val="top"/>
          </w:tcPr>
          <w:p>
            <w:pPr>
              <w:spacing w:before="104" w:line="204" w:lineRule="auto"/>
              <w:ind w:left="16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40</w:t>
            </w:r>
          </w:p>
        </w:tc>
      </w:tr>
      <w:tr>
        <w:tblPrEx>
          <w:tblW w:w="9691" w:type="dxa"/>
          <w:tblInd w:w="537" w:type="dxa"/>
          <w:tblLayout w:type="fixed"/>
        </w:tblPrEx>
        <w:trPr>
          <w:trHeight w:val="338"/>
        </w:trPr>
        <w:tc>
          <w:tcPr>
            <w:tcW w:w="266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9" w:line="239" w:lineRule="auto"/>
              <w:ind w:left="119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指数型</w:t>
            </w:r>
          </w:p>
        </w:tc>
        <w:tc>
          <w:tcPr>
            <w:tcW w:w="3542" w:type="dxa"/>
            <w:tcBorders>
              <w:bottom w:val="single" w:sz="10" w:space="0" w:color="000000"/>
            </w:tcBorders>
            <w:vAlign w:val="top"/>
          </w:tcPr>
          <w:p>
            <w:pPr>
              <w:spacing w:before="105" w:line="204" w:lineRule="auto"/>
              <w:ind w:left="15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1.35</w:t>
            </w:r>
          </w:p>
        </w:tc>
        <w:tc>
          <w:tcPr>
            <w:tcW w:w="3486" w:type="dxa"/>
            <w:tcBorders>
              <w:bottom w:val="single" w:sz="10" w:space="0" w:color="000000"/>
            </w:tcBorders>
            <w:vAlign w:val="top"/>
          </w:tcPr>
          <w:p>
            <w:pPr>
              <w:spacing w:before="105" w:line="204" w:lineRule="auto"/>
              <w:ind w:left="169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6</w:t>
            </w:r>
          </w:p>
        </w:tc>
      </w:tr>
    </w:tbl>
    <w:p>
      <w:pPr>
        <w:spacing w:before="67" w:line="220" w:lineRule="auto"/>
        <w:ind w:left="662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资料来源：各保险公司官网，华宝证券研究创新部</w:t>
      </w:r>
    </w:p>
    <w:p>
      <w:pPr>
        <w:pStyle w:val="BodyText"/>
        <w:spacing w:before="65" w:line="287" w:lineRule="auto"/>
        <w:ind w:left="662" w:right="195" w:firstLine="2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4"/>
          <w:sz w:val="18"/>
          <w:szCs w:val="18"/>
        </w:rPr>
        <w:t>注：统计标的为</w:t>
      </w:r>
      <w:r>
        <w:rPr>
          <w:rFonts w:ascii="KaiTi" w:eastAsia="KaiTi" w:hAnsi="KaiTi" w:cs="KaiTi"/>
          <w:spacing w:val="-41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 xml:space="preserve">2023 </w:t>
      </w:r>
      <w:r>
        <w:rPr>
          <w:rFonts w:ascii="KaiTi" w:eastAsia="KaiTi" w:hAnsi="KaiTi" w:cs="KaiTi"/>
          <w:spacing w:val="-4"/>
          <w:sz w:val="18"/>
          <w:szCs w:val="18"/>
        </w:rPr>
        <w:t>年纳入华宝投连险账户排名的</w:t>
      </w:r>
      <w:r>
        <w:rPr>
          <w:rFonts w:ascii="KaiTi" w:eastAsia="KaiTi" w:hAnsi="KaiTi" w:cs="KaiTi"/>
          <w:spacing w:val="-46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 xml:space="preserve">217 </w:t>
      </w:r>
      <w:r>
        <w:rPr>
          <w:rFonts w:ascii="KaiTi" w:eastAsia="KaiTi" w:hAnsi="KaiTi" w:cs="KaiTi"/>
          <w:spacing w:val="-4"/>
          <w:sz w:val="18"/>
          <w:szCs w:val="18"/>
        </w:rPr>
        <w:t>只投连账户，未公布</w:t>
      </w:r>
      <w:r>
        <w:rPr>
          <w:rFonts w:ascii="KaiTi" w:eastAsia="KaiTi" w:hAnsi="KaiTi" w:cs="KaiTi"/>
          <w:spacing w:val="-47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 xml:space="preserve">2023 </w:t>
      </w:r>
      <w:r>
        <w:rPr>
          <w:rFonts w:ascii="KaiTi" w:eastAsia="KaiTi" w:hAnsi="KaiTi" w:cs="KaiTi"/>
          <w:spacing w:val="-4"/>
          <w:sz w:val="18"/>
          <w:szCs w:val="18"/>
        </w:rPr>
        <w:t>年底规模数据的账户以截至</w:t>
      </w:r>
      <w:r>
        <w:rPr>
          <w:rFonts w:ascii="KaiTi" w:eastAsia="KaiTi" w:hAnsi="KaiTi" w:cs="KaiTi"/>
          <w:spacing w:val="-46"/>
          <w:sz w:val="18"/>
          <w:szCs w:val="18"/>
        </w:rPr>
        <w:t xml:space="preserve"> </w:t>
      </w:r>
      <w:r>
        <w:rPr>
          <w:spacing w:val="-4"/>
          <w:sz w:val="18"/>
          <w:szCs w:val="18"/>
        </w:rPr>
        <w:t>2023/12/31</w:t>
      </w:r>
      <w:r>
        <w:rPr>
          <w:sz w:val="18"/>
          <w:szCs w:val="18"/>
        </w:rPr>
        <w:t xml:space="preserve"> </w:t>
      </w:r>
      <w:r>
        <w:rPr>
          <w:rFonts w:ascii="KaiTi" w:eastAsia="KaiTi" w:hAnsi="KaiTi" w:cs="KaiTi"/>
          <w:spacing w:val="-2"/>
          <w:sz w:val="18"/>
          <w:szCs w:val="18"/>
        </w:rPr>
        <w:t>可获取的最新披露规模数据替代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before="62" w:line="237" w:lineRule="auto"/>
        <w:ind w:left="571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8"/>
          <w:sz w:val="19"/>
          <w:szCs w:val="19"/>
        </w:rPr>
        <w:t>表</w:t>
      </w:r>
      <w:r>
        <w:rPr>
          <w:rFonts w:ascii="KaiTi" w:eastAsia="KaiTi" w:hAnsi="KaiTi" w:cs="KaiTi"/>
          <w:spacing w:val="-3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 xml:space="preserve">4   </w:t>
      </w:r>
      <w:r>
        <w:rPr>
          <w:rFonts w:ascii="KaiTi" w:eastAsia="KaiTi" w:hAnsi="KaiTi" w:cs="KaiTi"/>
          <w:spacing w:val="8"/>
          <w:sz w:val="19"/>
          <w:szCs w:val="19"/>
        </w:rPr>
        <w:t>各分类投连险账户规模之首</w:t>
      </w:r>
    </w:p>
    <w:tbl>
      <w:tblPr>
        <w:tblStyle w:val="TableNormal2"/>
        <w:tblW w:w="9852" w:type="dxa"/>
        <w:tblInd w:w="457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1758"/>
        <w:gridCol w:w="2668"/>
        <w:gridCol w:w="1744"/>
        <w:gridCol w:w="2030"/>
        <w:gridCol w:w="1652"/>
      </w:tblGrid>
      <w:tr>
        <w:tblPrEx>
          <w:tblW w:w="9852" w:type="dxa"/>
          <w:tblInd w:w="457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21"/>
        </w:trPr>
        <w:tc>
          <w:tcPr>
            <w:tcW w:w="1758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2" w:line="237" w:lineRule="auto"/>
              <w:ind w:left="280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账户二级分类</w:t>
            </w:r>
          </w:p>
        </w:tc>
        <w:tc>
          <w:tcPr>
            <w:tcW w:w="2668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4" w:lineRule="auto"/>
              <w:ind w:left="74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华宝账户名称</w:t>
            </w:r>
          </w:p>
        </w:tc>
        <w:tc>
          <w:tcPr>
            <w:tcW w:w="1744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1" w:lineRule="auto"/>
              <w:ind w:left="28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最新规模时点</w:t>
            </w:r>
          </w:p>
        </w:tc>
        <w:tc>
          <w:tcPr>
            <w:tcW w:w="2030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1" w:lineRule="auto"/>
              <w:ind w:left="397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最新规模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-</w:t>
            </w: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亿元</w:t>
            </w:r>
          </w:p>
        </w:tc>
        <w:tc>
          <w:tcPr>
            <w:tcW w:w="1652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2" w:line="232" w:lineRule="auto"/>
              <w:ind w:left="332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投资管理人</w:t>
            </w:r>
          </w:p>
        </w:tc>
      </w:tr>
    </w:tbl>
    <w:p>
      <w:pPr>
        <w:sectPr>
          <w:headerReference w:type="default" r:id="rId17"/>
          <w:pgSz w:w="11906" w:h="16839"/>
          <w:pgMar w:top="400" w:right="1024" w:bottom="0" w:left="568" w:header="0" w:footer="0" w:gutter="0"/>
          <w:pgNumType w:start="10"/>
          <w:cols w:num="1" w:space="708" w:equalWidth="0">
            <w:col w:w="10314" w:space="0"/>
          </w:cols>
        </w:sectPr>
      </w:pPr>
    </w:p>
    <w:tbl>
      <w:tblPr>
        <w:tblStyle w:val="TableNormal3"/>
        <w:tblW w:w="9852" w:type="dxa"/>
        <w:tblInd w:w="457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1758"/>
        <w:gridCol w:w="2668"/>
        <w:gridCol w:w="1744"/>
        <w:gridCol w:w="2030"/>
        <w:gridCol w:w="1652"/>
      </w:tblGrid>
      <w:tr>
        <w:tblPrEx>
          <w:tblW w:w="9852" w:type="dxa"/>
          <w:tblInd w:w="457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12"/>
        </w:trPr>
        <w:tc>
          <w:tcPr>
            <w:tcW w:w="1758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58" w:line="237" w:lineRule="auto"/>
              <w:ind w:left="588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激进型</w:t>
            </w:r>
          </w:p>
        </w:tc>
        <w:tc>
          <w:tcPr>
            <w:tcW w:w="2668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57" w:line="232" w:lineRule="auto"/>
              <w:ind w:left="642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泰康行业配置型</w:t>
            </w:r>
          </w:p>
        </w:tc>
        <w:tc>
          <w:tcPr>
            <w:tcW w:w="1744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24" w:line="271" w:lineRule="exact"/>
              <w:ind w:left="4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2023/6/30</w:t>
            </w:r>
          </w:p>
        </w:tc>
        <w:tc>
          <w:tcPr>
            <w:tcW w:w="2030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5" w:line="204" w:lineRule="auto"/>
              <w:ind w:left="7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227.62</w:t>
            </w:r>
          </w:p>
        </w:tc>
        <w:tc>
          <w:tcPr>
            <w:tcW w:w="1652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57" w:line="232" w:lineRule="auto"/>
              <w:ind w:left="435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泰康人寿</w:t>
            </w:r>
          </w:p>
        </w:tc>
      </w:tr>
      <w:tr>
        <w:tblPrEx>
          <w:tblW w:w="9852" w:type="dxa"/>
          <w:tblInd w:w="457" w:type="dxa"/>
          <w:tblLayout w:type="fixed"/>
        </w:tblPrEx>
        <w:trPr>
          <w:trHeight w:val="314"/>
        </w:trPr>
        <w:tc>
          <w:tcPr>
            <w:tcW w:w="1758" w:type="dxa"/>
            <w:vAlign w:val="top"/>
          </w:tcPr>
          <w:p>
            <w:pPr>
              <w:pStyle w:val="TableText"/>
              <w:spacing w:before="62" w:line="235" w:lineRule="auto"/>
              <w:ind w:left="297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类固定收益型</w:t>
            </w:r>
          </w:p>
        </w:tc>
        <w:tc>
          <w:tcPr>
            <w:tcW w:w="2668" w:type="dxa"/>
            <w:vAlign w:val="top"/>
          </w:tcPr>
          <w:p>
            <w:pPr>
              <w:pStyle w:val="TableText"/>
              <w:spacing w:before="62" w:line="235" w:lineRule="auto"/>
              <w:ind w:left="74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恒大稳赢增值</w:t>
            </w:r>
          </w:p>
        </w:tc>
        <w:tc>
          <w:tcPr>
            <w:tcW w:w="1744" w:type="dxa"/>
            <w:vAlign w:val="top"/>
          </w:tcPr>
          <w:p>
            <w:pPr>
              <w:spacing w:before="28" w:line="272" w:lineRule="exact"/>
              <w:ind w:left="4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2021/6/30</w:t>
            </w:r>
          </w:p>
        </w:tc>
        <w:tc>
          <w:tcPr>
            <w:tcW w:w="2030" w:type="dxa"/>
            <w:vAlign w:val="top"/>
          </w:tcPr>
          <w:p>
            <w:pPr>
              <w:spacing w:before="90" w:line="204" w:lineRule="auto"/>
              <w:ind w:left="7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161.19</w:t>
            </w:r>
          </w:p>
        </w:tc>
        <w:tc>
          <w:tcPr>
            <w:tcW w:w="1652" w:type="dxa"/>
            <w:vAlign w:val="top"/>
          </w:tcPr>
          <w:p>
            <w:pPr>
              <w:pStyle w:val="TableText"/>
              <w:spacing w:before="62" w:line="235" w:lineRule="auto"/>
              <w:ind w:left="638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恒大</w:t>
            </w:r>
          </w:p>
        </w:tc>
      </w:tr>
      <w:tr>
        <w:tblPrEx>
          <w:tblW w:w="9852" w:type="dxa"/>
          <w:tblInd w:w="457" w:type="dxa"/>
          <w:tblLayout w:type="fixed"/>
        </w:tblPrEx>
        <w:trPr>
          <w:trHeight w:val="314"/>
        </w:trPr>
        <w:tc>
          <w:tcPr>
            <w:tcW w:w="1758" w:type="dxa"/>
            <w:shd w:val="clear" w:color="auto" w:fill="F2F2F2"/>
            <w:vAlign w:val="top"/>
          </w:tcPr>
          <w:p>
            <w:pPr>
              <w:pStyle w:val="TableText"/>
              <w:spacing w:before="65" w:line="232" w:lineRule="auto"/>
              <w:ind w:left="396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混合激进型</w:t>
            </w:r>
          </w:p>
        </w:tc>
        <w:tc>
          <w:tcPr>
            <w:tcW w:w="2668" w:type="dxa"/>
            <w:shd w:val="clear" w:color="auto" w:fill="F2F2F2"/>
            <w:vAlign w:val="top"/>
          </w:tcPr>
          <w:p>
            <w:pPr>
              <w:pStyle w:val="TableText"/>
              <w:spacing w:before="65" w:line="232" w:lineRule="auto"/>
              <w:ind w:left="560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中信保诚成长先锋</w:t>
            </w:r>
          </w:p>
        </w:tc>
        <w:tc>
          <w:tcPr>
            <w:tcW w:w="1744" w:type="dxa"/>
            <w:shd w:val="clear" w:color="auto" w:fill="F2F2F2"/>
            <w:vAlign w:val="top"/>
          </w:tcPr>
          <w:p>
            <w:pPr>
              <w:spacing w:before="31" w:line="271" w:lineRule="exact"/>
              <w:ind w:left="4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2023/6/30</w:t>
            </w:r>
          </w:p>
        </w:tc>
        <w:tc>
          <w:tcPr>
            <w:tcW w:w="2030" w:type="dxa"/>
            <w:shd w:val="clear" w:color="auto" w:fill="F2F2F2"/>
            <w:vAlign w:val="top"/>
          </w:tcPr>
          <w:p>
            <w:pPr>
              <w:spacing w:before="92" w:line="204" w:lineRule="auto"/>
              <w:ind w:left="7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90.15</w:t>
            </w:r>
          </w:p>
        </w:tc>
        <w:tc>
          <w:tcPr>
            <w:tcW w:w="1652" w:type="dxa"/>
            <w:shd w:val="clear" w:color="auto" w:fill="F2F2F2"/>
            <w:vAlign w:val="top"/>
          </w:tcPr>
          <w:p>
            <w:pPr>
              <w:pStyle w:val="TableText"/>
              <w:spacing w:before="65" w:line="232" w:lineRule="auto"/>
              <w:ind w:left="454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中信保诚</w:t>
            </w:r>
          </w:p>
        </w:tc>
      </w:tr>
      <w:tr>
        <w:tblPrEx>
          <w:tblW w:w="9852" w:type="dxa"/>
          <w:tblInd w:w="457" w:type="dxa"/>
          <w:tblLayout w:type="fixed"/>
        </w:tblPrEx>
        <w:trPr>
          <w:trHeight w:val="314"/>
        </w:trPr>
        <w:tc>
          <w:tcPr>
            <w:tcW w:w="1758" w:type="dxa"/>
            <w:vAlign w:val="top"/>
          </w:tcPr>
          <w:p>
            <w:pPr>
              <w:pStyle w:val="TableText"/>
              <w:spacing w:before="69" w:line="228" w:lineRule="auto"/>
              <w:ind w:left="396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混合保守型</w:t>
            </w:r>
          </w:p>
        </w:tc>
        <w:tc>
          <w:tcPr>
            <w:tcW w:w="2668" w:type="dxa"/>
            <w:vAlign w:val="top"/>
          </w:tcPr>
          <w:p>
            <w:pPr>
              <w:pStyle w:val="TableText"/>
              <w:spacing w:before="69" w:line="228" w:lineRule="auto"/>
              <w:ind w:left="94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平安发展</w:t>
            </w:r>
          </w:p>
        </w:tc>
        <w:tc>
          <w:tcPr>
            <w:tcW w:w="1744" w:type="dxa"/>
            <w:vAlign w:val="top"/>
          </w:tcPr>
          <w:p>
            <w:pPr>
              <w:spacing w:before="34" w:line="269" w:lineRule="exact"/>
              <w:ind w:left="4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2023/6/30</w:t>
            </w:r>
          </w:p>
        </w:tc>
        <w:tc>
          <w:tcPr>
            <w:tcW w:w="2030" w:type="dxa"/>
            <w:vAlign w:val="top"/>
          </w:tcPr>
          <w:p>
            <w:pPr>
              <w:spacing w:before="95" w:line="204" w:lineRule="auto"/>
              <w:ind w:left="7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83.30</w:t>
            </w:r>
          </w:p>
        </w:tc>
        <w:tc>
          <w:tcPr>
            <w:tcW w:w="1652" w:type="dxa"/>
            <w:vAlign w:val="top"/>
          </w:tcPr>
          <w:p>
            <w:pPr>
              <w:pStyle w:val="TableText"/>
              <w:spacing w:before="69" w:line="228" w:lineRule="auto"/>
              <w:ind w:left="25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中国平安人寿</w:t>
            </w:r>
          </w:p>
        </w:tc>
      </w:tr>
      <w:tr>
        <w:tblPrEx>
          <w:tblW w:w="9852" w:type="dxa"/>
          <w:tblInd w:w="457" w:type="dxa"/>
          <w:tblLayout w:type="fixed"/>
        </w:tblPrEx>
        <w:trPr>
          <w:trHeight w:val="314"/>
        </w:trPr>
        <w:tc>
          <w:tcPr>
            <w:tcW w:w="1758" w:type="dxa"/>
            <w:shd w:val="clear" w:color="auto" w:fill="F2F2F2"/>
            <w:vAlign w:val="top"/>
          </w:tcPr>
          <w:p>
            <w:pPr>
              <w:pStyle w:val="TableText"/>
              <w:spacing w:before="72" w:line="225" w:lineRule="auto"/>
              <w:ind w:left="38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增强债券型</w:t>
            </w:r>
          </w:p>
        </w:tc>
        <w:tc>
          <w:tcPr>
            <w:tcW w:w="2668" w:type="dxa"/>
            <w:shd w:val="clear" w:color="auto" w:fill="F2F2F2"/>
            <w:vAlign w:val="top"/>
          </w:tcPr>
          <w:p>
            <w:pPr>
              <w:pStyle w:val="TableText"/>
              <w:spacing w:before="72" w:line="225" w:lineRule="auto"/>
              <w:ind w:left="560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中信保诚稳健配置</w:t>
            </w:r>
          </w:p>
        </w:tc>
        <w:tc>
          <w:tcPr>
            <w:tcW w:w="1744" w:type="dxa"/>
            <w:shd w:val="clear" w:color="auto" w:fill="F2F2F2"/>
            <w:vAlign w:val="top"/>
          </w:tcPr>
          <w:p>
            <w:pPr>
              <w:spacing w:before="36" w:line="267" w:lineRule="exact"/>
              <w:ind w:left="4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2023/6/30</w:t>
            </w:r>
          </w:p>
        </w:tc>
        <w:tc>
          <w:tcPr>
            <w:tcW w:w="2030" w:type="dxa"/>
            <w:shd w:val="clear" w:color="auto" w:fill="F2F2F2"/>
            <w:vAlign w:val="top"/>
          </w:tcPr>
          <w:p>
            <w:pPr>
              <w:spacing w:before="97" w:line="204" w:lineRule="auto"/>
              <w:ind w:left="7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122.88</w:t>
            </w:r>
          </w:p>
        </w:tc>
        <w:tc>
          <w:tcPr>
            <w:tcW w:w="1652" w:type="dxa"/>
            <w:shd w:val="clear" w:color="auto" w:fill="F2F2F2"/>
            <w:vAlign w:val="top"/>
          </w:tcPr>
          <w:p>
            <w:pPr>
              <w:pStyle w:val="TableText"/>
              <w:spacing w:before="72" w:line="225" w:lineRule="auto"/>
              <w:ind w:left="454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中信保诚</w:t>
            </w:r>
          </w:p>
        </w:tc>
      </w:tr>
      <w:tr>
        <w:tblPrEx>
          <w:tblW w:w="9852" w:type="dxa"/>
          <w:tblInd w:w="457" w:type="dxa"/>
          <w:tblLayout w:type="fixed"/>
        </w:tblPrEx>
        <w:trPr>
          <w:trHeight w:val="351"/>
        </w:trPr>
        <w:tc>
          <w:tcPr>
            <w:tcW w:w="1758" w:type="dxa"/>
            <w:vAlign w:val="top"/>
          </w:tcPr>
          <w:p>
            <w:pPr>
              <w:pStyle w:val="TableText"/>
              <w:spacing w:before="75" w:line="236" w:lineRule="auto"/>
              <w:ind w:left="588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全债型</w:t>
            </w:r>
          </w:p>
        </w:tc>
        <w:tc>
          <w:tcPr>
            <w:tcW w:w="2668" w:type="dxa"/>
            <w:vAlign w:val="top"/>
          </w:tcPr>
          <w:p>
            <w:pPr>
              <w:pStyle w:val="TableText"/>
              <w:spacing w:before="75" w:line="234" w:lineRule="auto"/>
              <w:ind w:left="560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中信保诚优选全债</w:t>
            </w:r>
          </w:p>
        </w:tc>
        <w:tc>
          <w:tcPr>
            <w:tcW w:w="1744" w:type="dxa"/>
            <w:vAlign w:val="top"/>
          </w:tcPr>
          <w:p>
            <w:pPr>
              <w:spacing w:before="39" w:line="271" w:lineRule="exact"/>
              <w:ind w:left="4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2023/6/30</w:t>
            </w:r>
          </w:p>
        </w:tc>
        <w:tc>
          <w:tcPr>
            <w:tcW w:w="2030" w:type="dxa"/>
            <w:vAlign w:val="top"/>
          </w:tcPr>
          <w:p>
            <w:pPr>
              <w:spacing w:before="100" w:line="204" w:lineRule="auto"/>
              <w:ind w:left="7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12.82</w:t>
            </w:r>
          </w:p>
        </w:tc>
        <w:tc>
          <w:tcPr>
            <w:tcW w:w="1652" w:type="dxa"/>
            <w:vAlign w:val="top"/>
          </w:tcPr>
          <w:p>
            <w:pPr>
              <w:pStyle w:val="TableText"/>
              <w:spacing w:before="75" w:line="234" w:lineRule="auto"/>
              <w:ind w:left="454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中信保诚</w:t>
            </w:r>
          </w:p>
        </w:tc>
      </w:tr>
      <w:tr>
        <w:tblPrEx>
          <w:tblW w:w="9852" w:type="dxa"/>
          <w:tblInd w:w="457" w:type="dxa"/>
          <w:tblLayout w:type="fixed"/>
        </w:tblPrEx>
        <w:trPr>
          <w:trHeight w:val="315"/>
        </w:trPr>
        <w:tc>
          <w:tcPr>
            <w:tcW w:w="1758" w:type="dxa"/>
            <w:shd w:val="clear" w:color="auto" w:fill="F2F2F2"/>
            <w:vAlign w:val="top"/>
          </w:tcPr>
          <w:p>
            <w:pPr>
              <w:pStyle w:val="TableText"/>
              <w:spacing w:before="78" w:line="220" w:lineRule="auto"/>
              <w:ind w:left="587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货币型</w:t>
            </w:r>
          </w:p>
        </w:tc>
        <w:tc>
          <w:tcPr>
            <w:tcW w:w="2668" w:type="dxa"/>
            <w:shd w:val="clear" w:color="auto" w:fill="F2F2F2"/>
            <w:vAlign w:val="top"/>
          </w:tcPr>
          <w:p>
            <w:pPr>
              <w:pStyle w:val="TableText"/>
              <w:spacing w:before="78" w:line="220" w:lineRule="auto"/>
              <w:ind w:left="337"/>
              <w:rPr>
                <w:sz w:val="19"/>
                <w:szCs w:val="19"/>
              </w:rPr>
            </w:pPr>
            <w:r>
              <w:rPr>
                <w:spacing w:val="11"/>
                <w:sz w:val="19"/>
                <w:szCs w:val="19"/>
              </w:rPr>
              <w:t>泰康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e </w:t>
            </w:r>
            <w:r>
              <w:rPr>
                <w:spacing w:val="11"/>
                <w:sz w:val="19"/>
                <w:szCs w:val="19"/>
              </w:rPr>
              <w:t>理财货币避险型</w:t>
            </w:r>
          </w:p>
        </w:tc>
        <w:tc>
          <w:tcPr>
            <w:tcW w:w="1744" w:type="dxa"/>
            <w:shd w:val="clear" w:color="auto" w:fill="F2F2F2"/>
            <w:vAlign w:val="top"/>
          </w:tcPr>
          <w:p>
            <w:pPr>
              <w:spacing w:before="43" w:line="262" w:lineRule="exact"/>
              <w:ind w:left="4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position w:val="1"/>
                <w:sz w:val="19"/>
                <w:szCs w:val="19"/>
              </w:rPr>
              <w:t>2023/6/30</w:t>
            </w:r>
          </w:p>
        </w:tc>
        <w:tc>
          <w:tcPr>
            <w:tcW w:w="2030" w:type="dxa"/>
            <w:shd w:val="clear" w:color="auto" w:fill="F2F2F2"/>
            <w:vAlign w:val="top"/>
          </w:tcPr>
          <w:p>
            <w:pPr>
              <w:spacing w:before="104" w:line="204" w:lineRule="auto"/>
              <w:ind w:left="76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21.77</w:t>
            </w:r>
          </w:p>
        </w:tc>
        <w:tc>
          <w:tcPr>
            <w:tcW w:w="1652" w:type="dxa"/>
            <w:shd w:val="clear" w:color="auto" w:fill="F2F2F2"/>
            <w:vAlign w:val="top"/>
          </w:tcPr>
          <w:p>
            <w:pPr>
              <w:pStyle w:val="TableText"/>
              <w:spacing w:before="78" w:line="220" w:lineRule="auto"/>
              <w:ind w:left="435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泰康人寿</w:t>
            </w:r>
          </w:p>
        </w:tc>
      </w:tr>
      <w:tr>
        <w:tblPrEx>
          <w:tblW w:w="9852" w:type="dxa"/>
          <w:tblInd w:w="457" w:type="dxa"/>
          <w:tblLayout w:type="fixed"/>
        </w:tblPrEx>
        <w:trPr>
          <w:trHeight w:val="338"/>
        </w:trPr>
        <w:tc>
          <w:tcPr>
            <w:tcW w:w="175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0" w:line="239" w:lineRule="auto"/>
              <w:ind w:left="588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指数型</w:t>
            </w:r>
          </w:p>
        </w:tc>
        <w:tc>
          <w:tcPr>
            <w:tcW w:w="266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0" w:line="239" w:lineRule="auto"/>
              <w:ind w:left="639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建信指数成长型</w:t>
            </w:r>
          </w:p>
        </w:tc>
        <w:tc>
          <w:tcPr>
            <w:tcW w:w="1744" w:type="dxa"/>
            <w:tcBorders>
              <w:bottom w:val="single" w:sz="10" w:space="0" w:color="000000"/>
            </w:tcBorders>
            <w:vAlign w:val="top"/>
          </w:tcPr>
          <w:p>
            <w:pPr>
              <w:spacing w:before="44" w:line="272" w:lineRule="exact"/>
              <w:ind w:left="3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position w:val="1"/>
                <w:sz w:val="19"/>
                <w:szCs w:val="19"/>
              </w:rPr>
              <w:t>2022/</w:t>
            </w:r>
            <w:r>
              <w:rPr>
                <w:rFonts w:ascii="Arial" w:eastAsia="Arial" w:hAnsi="Arial" w:cs="Arial"/>
                <w:spacing w:val="-32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2"/>
                <w:position w:val="1"/>
                <w:sz w:val="19"/>
                <w:szCs w:val="19"/>
              </w:rPr>
              <w:t>12/31</w:t>
            </w:r>
          </w:p>
        </w:tc>
        <w:tc>
          <w:tcPr>
            <w:tcW w:w="2030" w:type="dxa"/>
            <w:tcBorders>
              <w:bottom w:val="single" w:sz="10" w:space="0" w:color="000000"/>
            </w:tcBorders>
            <w:vAlign w:val="top"/>
          </w:tcPr>
          <w:p>
            <w:pPr>
              <w:spacing w:before="106" w:line="204" w:lineRule="auto"/>
              <w:ind w:left="82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0.81</w:t>
            </w:r>
          </w:p>
        </w:tc>
        <w:tc>
          <w:tcPr>
            <w:tcW w:w="1652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0" w:line="233" w:lineRule="auto"/>
              <w:ind w:left="432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建信人寿</w:t>
            </w:r>
          </w:p>
        </w:tc>
      </w:tr>
    </w:tbl>
    <w:p>
      <w:pPr>
        <w:spacing w:before="66" w:line="220" w:lineRule="auto"/>
        <w:ind w:left="58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资料来源：各保险公司官网，华宝证券研究创新部</w:t>
      </w:r>
    </w:p>
    <w:p>
      <w:pPr>
        <w:spacing w:before="148"/>
      </w:pPr>
    </w:p>
    <w:p>
      <w:pPr>
        <w:sectPr>
          <w:headerReference w:type="default" r:id="rId18"/>
          <w:type w:val="nextPage"/>
          <w:pgSz w:w="11906" w:h="16839"/>
          <w:pgMar w:top="400" w:right="1024" w:bottom="0" w:left="568" w:header="0" w:footer="0" w:gutter="0"/>
          <w:pgNumType w:start="11"/>
          <w:cols w:num="1" w:space="708" w:equalWidth="0">
            <w:col w:w="10314" w:space="0"/>
          </w:cols>
          <w:titlePg w:val="0"/>
        </w:sectPr>
      </w:pPr>
    </w:p>
    <w:p>
      <w:pPr>
        <w:spacing w:before="49" w:line="222" w:lineRule="auto"/>
        <w:ind w:left="57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敬请参阅报告结尾处免责声明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8" w:line="246" w:lineRule="exact"/>
        <w:ind w:left="5615"/>
        <w:rPr>
          <w:sz w:val="18"/>
          <w:szCs w:val="18"/>
        </w:rPr>
      </w:pPr>
      <w:r>
        <w:rPr>
          <w:rFonts w:ascii="KaiTi" w:eastAsia="KaiTi" w:hAnsi="KaiTi" w:cs="KaiTi"/>
          <w:spacing w:val="-2"/>
          <w:position w:val="1"/>
          <w:sz w:val="18"/>
          <w:szCs w:val="18"/>
        </w:rPr>
        <w:t>华宝证券</w:t>
      </w:r>
      <w:r>
        <w:rPr>
          <w:rFonts w:ascii="KaiTi" w:eastAsia="KaiTi" w:hAnsi="KaiTi" w:cs="KaiTi"/>
          <w:spacing w:val="-2"/>
          <w:position w:val="1"/>
          <w:sz w:val="18"/>
          <w:szCs w:val="18"/>
        </w:rPr>
        <w:t xml:space="preserve">    </w:t>
      </w:r>
      <w:r>
        <w:rPr>
          <w:spacing w:val="-2"/>
          <w:position w:val="1"/>
          <w:sz w:val="18"/>
          <w:szCs w:val="18"/>
        </w:rPr>
        <w:t>2/14</w:t>
      </w:r>
    </w:p>
    <w:p>
      <w:pPr>
        <w:spacing w:line="246" w:lineRule="exact"/>
        <w:rPr>
          <w:sz w:val="18"/>
          <w:szCs w:val="18"/>
        </w:rPr>
        <w:sectPr>
          <w:headerReference w:type="default" r:id="rId19"/>
          <w:type w:val="continuous"/>
          <w:pgSz w:w="11906" w:h="16839"/>
          <w:pgMar w:top="400" w:right="1024" w:bottom="0" w:left="568" w:header="0" w:footer="0" w:gutter="0"/>
          <w:pgNumType w:start="12"/>
          <w:cols w:num="2" w:space="708" w:equalWidth="0">
            <w:col w:w="3071" w:space="100"/>
            <w:col w:w="7143" w:space="0"/>
          </w:cols>
        </w:sectPr>
      </w:pPr>
    </w:p>
    <w:p>
      <w:pPr>
        <w:pStyle w:val="BodyText"/>
        <w:spacing w:line="334" w:lineRule="auto"/>
      </w:pPr>
      <w:r>
        <w:pict>
          <v:shape id="_x0000_s1034" style="width:352.1pt;height:0.85pt;margin-top:795.48pt;margin-left:186.96pt;mso-position-horizontal-relative:page;mso-position-vertical-relative:page;position:absolute;z-index:251668480" coordorigin="0,0" coordsize="7042,17" o:allowincell="f" path="m,l7041,l7041,16l,16l,xe" filled="t" fillcolor="#b30924" stroked="f"/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361188</wp:posOffset>
            </wp:positionH>
            <wp:positionV relativeFrom="page">
              <wp:posOffset>330707</wp:posOffset>
            </wp:positionV>
            <wp:extent cx="4638802" cy="399288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8802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98" w:lineRule="exact"/>
        <w:ind w:firstLine="7395"/>
      </w:pPr>
      <w:r>
        <w:rPr>
          <w:position w:val="-7"/>
        </w:rPr>
        <w:pict>
          <v:shape id="_x0000_i1035" type="#_x0000_t202" style="width:106.4pt;height:19.95pt;mso-position-horizontal-relative:char;mso-position-vertical-relative:line" filled="t" fillcolor="#af2135" stroked="f">
            <o:lock v:ext="edit" aspectratio="f"/>
            <v:textbox inset="0,0,0,0">
              <w:txbxContent>
                <w:p>
                  <w:pPr>
                    <w:spacing w:before="107" w:line="223" w:lineRule="auto"/>
                    <w:ind w:left="342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z w:val="18"/>
                      <w:szCs w:val="18"/>
                      <w14:textOutline w14:w="326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金融产品年度报告</w:t>
                  </w:r>
                </w:p>
              </w:txbxContent>
            </v:textbox>
            <w10:wrap type="none"/>
          </v:shape>
        </w:pict>
      </w:r>
    </w:p>
    <w:p>
      <w:pPr>
        <w:spacing w:before="205" w:line="29" w:lineRule="exact"/>
        <w:ind w:firstLine="460"/>
      </w:pPr>
      <w:r>
        <w:pict>
          <v:shape id="_x0000_i1036" style="width:492.4pt;height:1.45pt;mso-position-horizontal-relative:char;mso-position-vertical-relative:line" coordorigin="0,0" coordsize="9847,29" path="m,14l9847,14e" filled="f" strokecolor="#be0000" strokeweight="1.44pt">
            <v:stroke joinstyle="bevel"/>
            <w10:wrap type="none"/>
          </v:shape>
        </w:pict>
      </w:r>
    </w:p>
    <w:p>
      <w:pPr>
        <w:pStyle w:val="BodyText"/>
        <w:spacing w:before="36" w:line="287" w:lineRule="auto"/>
        <w:ind w:left="582" w:right="532" w:firstLine="2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2"/>
          <w:sz w:val="18"/>
          <w:szCs w:val="18"/>
        </w:rPr>
        <w:t>注：统计标的为</w:t>
      </w:r>
      <w:r>
        <w:rPr>
          <w:rFonts w:ascii="KaiTi" w:eastAsia="KaiTi" w:hAnsi="KaiTi" w:cs="KaiTi"/>
          <w:spacing w:val="-2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 xml:space="preserve">2023 </w:t>
      </w:r>
      <w:r>
        <w:rPr>
          <w:rFonts w:ascii="KaiTi" w:eastAsia="KaiTi" w:hAnsi="KaiTi" w:cs="KaiTi"/>
          <w:spacing w:val="-2"/>
          <w:sz w:val="18"/>
          <w:szCs w:val="18"/>
        </w:rPr>
        <w:t>年纳入华宝投连险账户排名的</w:t>
      </w:r>
      <w:r>
        <w:rPr>
          <w:rFonts w:ascii="KaiTi" w:eastAsia="KaiTi" w:hAnsi="KaiTi" w:cs="KaiTi"/>
          <w:spacing w:val="-40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 xml:space="preserve">217 </w:t>
      </w:r>
      <w:r>
        <w:rPr>
          <w:rFonts w:ascii="KaiTi" w:eastAsia="KaiTi" w:hAnsi="KaiTi" w:cs="KaiTi"/>
          <w:spacing w:val="-2"/>
          <w:sz w:val="18"/>
          <w:szCs w:val="18"/>
        </w:rPr>
        <w:t>只投连账户，未公布</w:t>
      </w:r>
      <w:r>
        <w:rPr>
          <w:rFonts w:ascii="KaiTi" w:eastAsia="KaiTi" w:hAnsi="KaiTi" w:cs="KaiTi"/>
          <w:spacing w:val="-3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 xml:space="preserve">2023 </w:t>
      </w:r>
      <w:r>
        <w:rPr>
          <w:rFonts w:ascii="KaiTi" w:eastAsia="KaiTi" w:hAnsi="KaiTi" w:cs="KaiTi"/>
          <w:spacing w:val="-2"/>
          <w:sz w:val="18"/>
          <w:szCs w:val="18"/>
        </w:rPr>
        <w:t>年底规模数据的账户以截至</w:t>
      </w:r>
      <w:r>
        <w:rPr>
          <w:rFonts w:ascii="KaiTi" w:eastAsia="KaiTi" w:hAnsi="KaiTi" w:cs="KaiTi"/>
          <w:spacing w:val="-39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2023/12/31</w:t>
      </w:r>
      <w:r>
        <w:rPr>
          <w:sz w:val="18"/>
          <w:szCs w:val="18"/>
        </w:rPr>
        <w:t xml:space="preserve"> </w:t>
      </w:r>
      <w:r>
        <w:rPr>
          <w:rFonts w:ascii="KaiTi" w:eastAsia="KaiTi" w:hAnsi="KaiTi" w:cs="KaiTi"/>
          <w:sz w:val="18"/>
          <w:szCs w:val="18"/>
        </w:rPr>
        <w:t>可获取的最新披露规模数据替代；华宝账户名称是指在华宝分</w:t>
      </w:r>
      <w:r>
        <w:rPr>
          <w:rFonts w:ascii="KaiTi" w:eastAsia="KaiTi" w:hAnsi="KaiTi" w:cs="KaiTi"/>
          <w:spacing w:val="-1"/>
          <w:sz w:val="18"/>
          <w:szCs w:val="18"/>
        </w:rPr>
        <w:t>类体系下投连险账户的名称（下同）</w:t>
      </w: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pStyle w:val="BodyText"/>
        <w:spacing w:before="97" w:line="789" w:lineRule="exact"/>
        <w:ind w:left="575"/>
        <w:rPr>
          <w:rFonts w:ascii="KaiTi" w:eastAsia="KaiTi" w:hAnsi="KaiTi" w:cs="KaiTi"/>
          <w:sz w:val="30"/>
          <w:szCs w:val="30"/>
        </w:rPr>
      </w:pPr>
      <w:bookmarkStart w:id="12" w:name="bookmark11"/>
      <w:bookmarkEnd w:id="12"/>
      <w:bookmarkStart w:id="13" w:name="bookmark37"/>
      <w:bookmarkEnd w:id="13"/>
      <w:bookmarkStart w:id="14" w:name="bookmark20"/>
      <w:bookmarkEnd w:id="14"/>
      <w:bookmarkStart w:id="15" w:name="bookmark21"/>
      <w:bookmarkEnd w:id="15"/>
      <w:r>
        <w:rPr>
          <w:b/>
          <w:bCs/>
          <w:spacing w:val="-3"/>
          <w:position w:val="37"/>
          <w:sz w:val="30"/>
          <w:szCs w:val="30"/>
        </w:rPr>
        <w:t>3.</w:t>
      </w:r>
      <w:r>
        <w:rPr>
          <w:b/>
          <w:bCs/>
          <w:spacing w:val="-35"/>
          <w:position w:val="37"/>
          <w:sz w:val="30"/>
          <w:szCs w:val="30"/>
        </w:rPr>
        <w:t xml:space="preserve"> </w:t>
      </w:r>
      <w:r>
        <w:rPr>
          <w:rFonts w:ascii="KaiTi" w:eastAsia="KaiTi" w:hAnsi="KaiTi" w:cs="KaiTi"/>
          <w:spacing w:val="-3"/>
          <w:position w:val="37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中国投连险账户收益情况总览</w:t>
      </w:r>
    </w:p>
    <w:p>
      <w:pPr>
        <w:pStyle w:val="BodyText"/>
        <w:spacing w:before="1" w:line="227" w:lineRule="auto"/>
        <w:ind w:left="574"/>
        <w:rPr>
          <w:rFonts w:ascii="KaiTi" w:eastAsia="KaiTi" w:hAnsi="KaiTi" w:cs="KaiTi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3.1.</w:t>
      </w: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市场回顾</w:t>
      </w:r>
    </w:p>
    <w:p>
      <w:pPr>
        <w:pStyle w:val="BodyText"/>
        <w:spacing w:before="308" w:line="263" w:lineRule="auto"/>
        <w:ind w:left="567" w:right="522" w:firstLine="444"/>
        <w:jc w:val="both"/>
        <w:rPr>
          <w:rFonts w:ascii="KaiTi" w:eastAsia="KaiTi" w:hAnsi="KaiTi" w:cs="KaiTi"/>
          <w:sz w:val="22"/>
          <w:szCs w:val="22"/>
        </w:rPr>
      </w:pPr>
      <w:r>
        <w:rPr>
          <w:spacing w:val="1"/>
          <w:sz w:val="22"/>
          <w:szCs w:val="22"/>
        </w:rPr>
        <w:t xml:space="preserve">2023 </w:t>
      </w:r>
      <w:r>
        <w:rPr>
          <w:rFonts w:ascii="KaiTi" w:eastAsia="KaiTi" w:hAnsi="KaiTi" w:cs="KaiTi"/>
          <w:spacing w:val="1"/>
          <w:sz w:val="22"/>
          <w:szCs w:val="22"/>
        </w:rPr>
        <w:t>年，权益市场先扬后抑、全年震荡调整，在存量资金博弈背景下，风格层面演绎出明显的</w:t>
      </w:r>
      <w:r>
        <w:rPr>
          <w:rFonts w:ascii="KaiTi" w:eastAsia="KaiTi" w:hAnsi="KaiTi" w:cs="KaiTi"/>
          <w:spacing w:val="17"/>
          <w:sz w:val="22"/>
          <w:szCs w:val="22"/>
        </w:rPr>
        <w:t xml:space="preserve"> </w:t>
      </w:r>
      <w:r>
        <w:rPr>
          <w:rFonts w:ascii="KaiTi" w:eastAsia="KaiTi" w:hAnsi="KaiTi" w:cs="KaiTi"/>
          <w:spacing w:val="-1"/>
          <w:sz w:val="22"/>
          <w:szCs w:val="22"/>
        </w:rPr>
        <w:t>大盘向下、小盘占优、微盘更强的特征；债券市场全年行情围绕着预期修正和经济修复进程展开，整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5"/>
          <w:sz w:val="22"/>
          <w:szCs w:val="22"/>
        </w:rPr>
        <w:t>体表现较为稳健，债券指数稳步上扬，资产荒逻</w:t>
      </w:r>
      <w:r>
        <w:rPr>
          <w:rFonts w:ascii="KaiTi" w:eastAsia="KaiTi" w:hAnsi="KaiTi" w:cs="KaiTi"/>
          <w:spacing w:val="-6"/>
          <w:sz w:val="22"/>
          <w:szCs w:val="22"/>
        </w:rPr>
        <w:t>辑持续演绎。具体来看，关于权益市场，全年沪深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6"/>
          <w:sz w:val="22"/>
          <w:szCs w:val="22"/>
        </w:rPr>
        <w:t>300</w:t>
      </w:r>
      <w:r>
        <w:rPr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指数下跌</w:t>
      </w:r>
      <w:r>
        <w:rPr>
          <w:rFonts w:ascii="KaiTi" w:eastAsia="KaiTi" w:hAnsi="KaiTi" w:cs="KaiTi"/>
          <w:spacing w:val="-3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11.38%</w:t>
      </w:r>
      <w:r>
        <w:rPr>
          <w:rFonts w:ascii="KaiTi" w:eastAsia="KaiTi" w:hAnsi="KaiTi" w:cs="KaiTi"/>
          <w:spacing w:val="-2"/>
          <w:sz w:val="22"/>
          <w:szCs w:val="22"/>
        </w:rPr>
        <w:t>，中证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500 </w:t>
      </w:r>
      <w:r>
        <w:rPr>
          <w:rFonts w:ascii="KaiTi" w:eastAsia="KaiTi" w:hAnsi="KaiTi" w:cs="KaiTi"/>
          <w:spacing w:val="-2"/>
          <w:sz w:val="22"/>
          <w:szCs w:val="22"/>
        </w:rPr>
        <w:t>指数下跌</w:t>
      </w:r>
      <w:r>
        <w:rPr>
          <w:rFonts w:ascii="KaiTi" w:eastAsia="KaiTi" w:hAnsi="KaiTi" w:cs="KaiTi"/>
          <w:spacing w:val="-44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7.42%</w:t>
      </w:r>
      <w:r>
        <w:rPr>
          <w:spacing w:val="-26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；关于债券市场，全年中债总指数（总值）全价指</w:t>
      </w:r>
      <w:r>
        <w:rPr>
          <w:rFonts w:ascii="KaiTi" w:eastAsia="KaiTi" w:hAnsi="KaiTi" w:cs="KaiTi"/>
          <w:spacing w:val="-3"/>
          <w:sz w:val="22"/>
          <w:szCs w:val="22"/>
        </w:rPr>
        <w:t>数上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涨</w:t>
      </w:r>
      <w:r>
        <w:rPr>
          <w:rFonts w:ascii="KaiTi" w:eastAsia="KaiTi" w:hAnsi="KaiTi" w:cs="KaiTi"/>
          <w:spacing w:val="-31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1.63%</w:t>
      </w:r>
      <w:r>
        <w:rPr>
          <w:rFonts w:ascii="KaiTi" w:eastAsia="KaiTi" w:hAnsi="KaiTi" w:cs="KaiTi"/>
          <w:spacing w:val="-2"/>
          <w:sz w:val="22"/>
          <w:szCs w:val="22"/>
        </w:rPr>
        <w:t>，中债企业债总指数（总值）全价指数上涨</w:t>
      </w:r>
      <w:r>
        <w:rPr>
          <w:rFonts w:ascii="KaiTi" w:eastAsia="KaiTi" w:hAnsi="KaiTi" w:cs="KaiTi"/>
          <w:spacing w:val="-48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2.38%</w:t>
      </w:r>
      <w:r>
        <w:rPr>
          <w:rFonts w:ascii="KaiTi" w:eastAsia="KaiTi" w:hAnsi="KaiTi" w:cs="KaiTi"/>
          <w:spacing w:val="-2"/>
          <w:sz w:val="22"/>
          <w:szCs w:val="22"/>
        </w:rPr>
        <w:t>，中债国债总指数（</w:t>
      </w:r>
      <w:r>
        <w:rPr>
          <w:rFonts w:ascii="KaiTi" w:eastAsia="KaiTi" w:hAnsi="KaiTi" w:cs="KaiTi"/>
          <w:spacing w:val="-3"/>
          <w:sz w:val="22"/>
          <w:szCs w:val="22"/>
        </w:rPr>
        <w:t>总值）全价指数上涨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2.19%</w:t>
      </w:r>
      <w:r>
        <w:rPr>
          <w:rFonts w:ascii="KaiTi" w:eastAsia="KaiTi" w:hAnsi="KaiTi" w:cs="KaiTi"/>
          <w:spacing w:val="-1"/>
          <w:sz w:val="22"/>
          <w:szCs w:val="22"/>
        </w:rPr>
        <w:t>。</w:t>
      </w:r>
    </w:p>
    <w:p>
      <w:pPr>
        <w:pStyle w:val="BodyText"/>
        <w:spacing w:before="160" w:line="234" w:lineRule="auto"/>
        <w:ind w:left="2023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7"/>
          <w:sz w:val="19"/>
          <w:szCs w:val="19"/>
        </w:rPr>
        <w:t>表</w:t>
      </w:r>
      <w:r>
        <w:rPr>
          <w:rFonts w:ascii="KaiTi" w:eastAsia="KaiTi" w:hAnsi="KaiTi" w:cs="KaiTi"/>
          <w:spacing w:val="-3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5   2023</w:t>
      </w:r>
      <w:r>
        <w:rPr>
          <w:spacing w:val="8"/>
          <w:sz w:val="19"/>
          <w:szCs w:val="19"/>
        </w:rPr>
        <w:t xml:space="preserve"> </w:t>
      </w:r>
      <w:r>
        <w:rPr>
          <w:rFonts w:ascii="KaiTi" w:eastAsia="KaiTi" w:hAnsi="KaiTi" w:cs="KaiTi"/>
          <w:spacing w:val="7"/>
          <w:sz w:val="19"/>
          <w:szCs w:val="19"/>
        </w:rPr>
        <w:t>年市场主要指数收益</w:t>
      </w:r>
    </w:p>
    <w:p>
      <w:pPr>
        <w:spacing w:line="14" w:lineRule="exact"/>
      </w:pPr>
    </w:p>
    <w:tbl>
      <w:tblPr>
        <w:tblStyle w:val="TableNormal4"/>
        <w:tblW w:w="6945" w:type="dxa"/>
        <w:tblInd w:w="1910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3830"/>
        <w:gridCol w:w="3115"/>
      </w:tblGrid>
      <w:tr>
        <w:tblPrEx>
          <w:tblW w:w="6945" w:type="dxa"/>
          <w:tblInd w:w="1910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20"/>
        </w:trPr>
        <w:tc>
          <w:tcPr>
            <w:tcW w:w="3830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7" w:lineRule="auto"/>
              <w:ind w:left="1526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重要指数</w:t>
            </w:r>
          </w:p>
        </w:tc>
        <w:tc>
          <w:tcPr>
            <w:tcW w:w="3115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4" w:lineRule="auto"/>
              <w:ind w:left="424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 xml:space="preserve">2023 </w:t>
            </w: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年区间涨跌幅（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%</w:t>
            </w: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</w:tr>
      <w:tr>
        <w:tblPrEx>
          <w:tblW w:w="6945" w:type="dxa"/>
          <w:tblInd w:w="1910" w:type="dxa"/>
          <w:tblLayout w:type="fixed"/>
        </w:tblPrEx>
        <w:trPr>
          <w:trHeight w:val="310"/>
        </w:trPr>
        <w:tc>
          <w:tcPr>
            <w:tcW w:w="3830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0" w:line="233" w:lineRule="auto"/>
              <w:ind w:left="15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z w:val="19"/>
                <w:szCs w:val="19"/>
              </w:rPr>
              <w:t>沪深</w:t>
            </w:r>
            <w:r>
              <w:rPr>
                <w:spacing w:val="-3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300</w:t>
            </w:r>
          </w:p>
        </w:tc>
        <w:tc>
          <w:tcPr>
            <w:tcW w:w="3115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5" w:line="204" w:lineRule="auto"/>
              <w:ind w:left="12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11.38</w:t>
            </w:r>
          </w:p>
        </w:tc>
      </w:tr>
      <w:tr>
        <w:tblPrEx>
          <w:tblW w:w="6945" w:type="dxa"/>
          <w:tblInd w:w="1910" w:type="dxa"/>
          <w:tblLayout w:type="fixed"/>
        </w:tblPrEx>
        <w:trPr>
          <w:trHeight w:val="313"/>
        </w:trPr>
        <w:tc>
          <w:tcPr>
            <w:tcW w:w="3830" w:type="dxa"/>
            <w:vAlign w:val="top"/>
          </w:tcPr>
          <w:p>
            <w:pPr>
              <w:pStyle w:val="TableText"/>
              <w:spacing w:before="66" w:line="230" w:lineRule="auto"/>
              <w:ind w:left="155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中证</w:t>
            </w:r>
            <w:r>
              <w:rPr>
                <w:spacing w:val="-3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500</w:t>
            </w:r>
          </w:p>
        </w:tc>
        <w:tc>
          <w:tcPr>
            <w:tcW w:w="3115" w:type="dxa"/>
            <w:vAlign w:val="top"/>
          </w:tcPr>
          <w:p>
            <w:pPr>
              <w:spacing w:before="92" w:line="204" w:lineRule="auto"/>
              <w:ind w:left="133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-7.42</w:t>
            </w:r>
          </w:p>
        </w:tc>
      </w:tr>
      <w:tr>
        <w:tblPrEx>
          <w:tblW w:w="6945" w:type="dxa"/>
          <w:tblInd w:w="1910" w:type="dxa"/>
          <w:tblLayout w:type="fixed"/>
        </w:tblPrEx>
        <w:trPr>
          <w:trHeight w:val="313"/>
        </w:trPr>
        <w:tc>
          <w:tcPr>
            <w:tcW w:w="3830" w:type="dxa"/>
            <w:shd w:val="clear" w:color="auto" w:fill="F2F2F2"/>
            <w:vAlign w:val="top"/>
          </w:tcPr>
          <w:p>
            <w:pPr>
              <w:pStyle w:val="TableText"/>
              <w:spacing w:before="70" w:line="226" w:lineRule="auto"/>
              <w:ind w:left="64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中债总指数（总值）全价指数</w:t>
            </w:r>
          </w:p>
        </w:tc>
        <w:tc>
          <w:tcPr>
            <w:tcW w:w="3115" w:type="dxa"/>
            <w:shd w:val="clear" w:color="auto" w:fill="F2F2F2"/>
            <w:vAlign w:val="top"/>
          </w:tcPr>
          <w:p>
            <w:pPr>
              <w:spacing w:before="95" w:line="204" w:lineRule="auto"/>
              <w:ind w:left="138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1.63</w:t>
            </w:r>
          </w:p>
        </w:tc>
      </w:tr>
      <w:tr>
        <w:tblPrEx>
          <w:tblW w:w="6945" w:type="dxa"/>
          <w:tblInd w:w="1910" w:type="dxa"/>
          <w:tblLayout w:type="fixed"/>
        </w:tblPrEx>
        <w:trPr>
          <w:trHeight w:val="313"/>
        </w:trPr>
        <w:tc>
          <w:tcPr>
            <w:tcW w:w="3830" w:type="dxa"/>
            <w:vAlign w:val="top"/>
          </w:tcPr>
          <w:p>
            <w:pPr>
              <w:pStyle w:val="TableText"/>
              <w:spacing w:before="73" w:line="223" w:lineRule="auto"/>
              <w:ind w:left="344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中债企业债总指数（总值）全价指数</w:t>
            </w:r>
          </w:p>
        </w:tc>
        <w:tc>
          <w:tcPr>
            <w:tcW w:w="3115" w:type="dxa"/>
            <w:vAlign w:val="top"/>
          </w:tcPr>
          <w:p>
            <w:pPr>
              <w:spacing w:before="99" w:line="204" w:lineRule="auto"/>
              <w:ind w:left="136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2.38</w:t>
            </w:r>
          </w:p>
        </w:tc>
      </w:tr>
      <w:tr>
        <w:tblPrEx>
          <w:tblW w:w="6945" w:type="dxa"/>
          <w:tblInd w:w="1910" w:type="dxa"/>
          <w:tblLayout w:type="fixed"/>
        </w:tblPrEx>
        <w:trPr>
          <w:trHeight w:val="336"/>
        </w:trPr>
        <w:tc>
          <w:tcPr>
            <w:tcW w:w="3830" w:type="dxa"/>
            <w:tcBorders>
              <w:bottom w:val="single" w:sz="10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77" w:line="234" w:lineRule="auto"/>
              <w:ind w:left="445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中债国债总指数（总值）全价指数</w:t>
            </w:r>
          </w:p>
        </w:tc>
        <w:tc>
          <w:tcPr>
            <w:tcW w:w="3115" w:type="dxa"/>
            <w:tcBorders>
              <w:bottom w:val="single" w:sz="10" w:space="0" w:color="000000"/>
            </w:tcBorders>
            <w:shd w:val="clear" w:color="auto" w:fill="F2F2F2"/>
            <w:vAlign w:val="top"/>
          </w:tcPr>
          <w:p>
            <w:pPr>
              <w:spacing w:before="105" w:line="204" w:lineRule="auto"/>
              <w:ind w:left="136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2.19</w:t>
            </w:r>
          </w:p>
        </w:tc>
      </w:tr>
    </w:tbl>
    <w:p>
      <w:pPr>
        <w:spacing w:before="68" w:line="220" w:lineRule="auto"/>
        <w:ind w:left="2035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资料来源：同花顺，华宝证券研究创新部</w:t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pStyle w:val="BodyText"/>
        <w:spacing w:before="92" w:line="226" w:lineRule="auto"/>
        <w:ind w:left="574"/>
        <w:outlineLvl w:val="0"/>
        <w:rPr>
          <w:rFonts w:ascii="KaiTi" w:eastAsia="KaiTi" w:hAnsi="KaiTi" w:cs="KaiTi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3.2.</w:t>
      </w:r>
      <w:r>
        <w:rPr>
          <w:b/>
          <w:bCs/>
          <w:spacing w:val="-25"/>
          <w:sz w:val="28"/>
          <w:szCs w:val="28"/>
        </w:rPr>
        <w:t xml:space="preserve"> </w:t>
      </w:r>
      <w:r>
        <w:rPr>
          <w:rFonts w:ascii="KaiTi" w:eastAsia="KaiTi" w:hAnsi="KaiTi" w:cs="KaiT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中国投连险账户收益情况汇总</w:t>
      </w:r>
    </w:p>
    <w:p>
      <w:pPr>
        <w:pStyle w:val="BodyText"/>
        <w:spacing w:before="272" w:line="262" w:lineRule="auto"/>
        <w:ind w:left="580" w:right="474" w:firstLine="431"/>
        <w:jc w:val="both"/>
        <w:rPr>
          <w:rFonts w:ascii="KaiTi" w:eastAsia="KaiTi" w:hAnsi="KaiTi" w:cs="KaiTi"/>
          <w:sz w:val="22"/>
          <w:szCs w:val="22"/>
        </w:rPr>
      </w:pPr>
      <w:r>
        <w:rPr>
          <w:spacing w:val="-1"/>
          <w:sz w:val="22"/>
          <w:szCs w:val="22"/>
        </w:rPr>
        <w:t xml:space="preserve">2023 </w:t>
      </w:r>
      <w:r>
        <w:rPr>
          <w:rFonts w:ascii="KaiTi" w:eastAsia="KaiTi" w:hAnsi="KaiTi" w:cs="KaiTi"/>
          <w:spacing w:val="-1"/>
          <w:sz w:val="22"/>
          <w:szCs w:val="22"/>
        </w:rPr>
        <w:t>年共有</w:t>
      </w:r>
      <w:r>
        <w:rPr>
          <w:rFonts w:ascii="KaiTi" w:eastAsia="KaiTi" w:hAnsi="KaiTi" w:cs="KaiTi"/>
          <w:spacing w:val="-4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 xml:space="preserve">217 </w:t>
      </w:r>
      <w:r>
        <w:rPr>
          <w:rFonts w:ascii="KaiTi" w:eastAsia="KaiTi" w:hAnsi="KaiTi" w:cs="KaiTi"/>
          <w:spacing w:val="-1"/>
          <w:sz w:val="22"/>
          <w:szCs w:val="22"/>
        </w:rPr>
        <w:t>个投连险分类账户纳入我们的排名体系，全年收益区间为</w:t>
      </w:r>
      <w:r>
        <w:rPr>
          <w:rFonts w:ascii="KaiTi" w:eastAsia="KaiTi" w:hAnsi="KaiTi" w:cs="KaiTi"/>
          <w:spacing w:val="-1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[</w:t>
      </w:r>
      <w:r>
        <w:rPr>
          <w:spacing w:val="-2"/>
          <w:sz w:val="22"/>
          <w:szCs w:val="22"/>
        </w:rPr>
        <w:t>-24.87%</w:t>
      </w:r>
      <w:r>
        <w:rPr>
          <w:rFonts w:ascii="KaiTi" w:eastAsia="KaiTi" w:hAnsi="KaiTi" w:cs="KaiTi"/>
          <w:spacing w:val="-2"/>
          <w:sz w:val="22"/>
          <w:szCs w:val="22"/>
        </w:rPr>
        <w:t>，</w:t>
      </w:r>
      <w:r>
        <w:rPr>
          <w:spacing w:val="-2"/>
          <w:sz w:val="22"/>
          <w:szCs w:val="22"/>
        </w:rPr>
        <w:t>4.87%]</w:t>
      </w:r>
      <w:r>
        <w:rPr>
          <w:rFonts w:ascii="KaiTi" w:eastAsia="KaiTi" w:hAnsi="KaiTi" w:cs="KaiTi"/>
          <w:spacing w:val="-2"/>
          <w:sz w:val="22"/>
          <w:szCs w:val="22"/>
        </w:rPr>
        <w:t>，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收益均值为</w:t>
      </w:r>
      <w:r>
        <w:rPr>
          <w:spacing w:val="-2"/>
          <w:sz w:val="22"/>
          <w:szCs w:val="22"/>
        </w:rPr>
        <w:t>-3.80%</w:t>
      </w:r>
      <w:r>
        <w:rPr>
          <w:rFonts w:ascii="KaiTi" w:eastAsia="KaiTi" w:hAnsi="KaiTi" w:cs="KaiTi"/>
          <w:spacing w:val="-2"/>
          <w:sz w:val="22"/>
          <w:szCs w:val="22"/>
        </w:rPr>
        <w:t>，其中权益仓位相对较低的投连险账户表现相对较优。各账户平均累计年度收益情</w:t>
      </w:r>
      <w:r>
        <w:rPr>
          <w:rFonts w:ascii="KaiTi" w:eastAsia="KaiTi" w:hAnsi="KaiTi" w:cs="KaiTi"/>
          <w:spacing w:val="2"/>
          <w:sz w:val="22"/>
          <w:szCs w:val="22"/>
        </w:rPr>
        <w:t xml:space="preserve"> </w:t>
      </w:r>
      <w:r>
        <w:rPr>
          <w:rFonts w:ascii="KaiTi" w:eastAsia="KaiTi" w:hAnsi="KaiTi" w:cs="KaiTi"/>
          <w:spacing w:val="-3"/>
          <w:sz w:val="22"/>
          <w:szCs w:val="22"/>
        </w:rPr>
        <w:t>况如下表所示。</w:t>
      </w:r>
    </w:p>
    <w:p>
      <w:pPr>
        <w:pStyle w:val="BodyText"/>
        <w:spacing w:before="206" w:line="234" w:lineRule="auto"/>
        <w:ind w:left="151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7"/>
          <w:sz w:val="19"/>
          <w:szCs w:val="19"/>
        </w:rPr>
        <w:t>表</w:t>
      </w:r>
      <w:r>
        <w:rPr>
          <w:rFonts w:ascii="KaiTi" w:eastAsia="KaiTi" w:hAnsi="KaiTi" w:cs="KaiTi"/>
          <w:spacing w:val="-3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 xml:space="preserve">6    2023 </w:t>
      </w:r>
      <w:r>
        <w:rPr>
          <w:rFonts w:ascii="KaiTi" w:eastAsia="KaiTi" w:hAnsi="KaiTi" w:cs="KaiTi"/>
          <w:spacing w:val="7"/>
          <w:sz w:val="19"/>
          <w:szCs w:val="19"/>
        </w:rPr>
        <w:t>年投连险二级账户回报统计</w:t>
      </w:r>
    </w:p>
    <w:tbl>
      <w:tblPr>
        <w:tblStyle w:val="TableNormal4"/>
        <w:tblW w:w="10690" w:type="dxa"/>
        <w:tblInd w:w="3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</w:tblPr>
      <w:tblGrid>
        <w:gridCol w:w="1849"/>
        <w:gridCol w:w="821"/>
        <w:gridCol w:w="821"/>
        <w:gridCol w:w="1219"/>
        <w:gridCol w:w="1274"/>
        <w:gridCol w:w="1275"/>
        <w:gridCol w:w="963"/>
        <w:gridCol w:w="849"/>
        <w:gridCol w:w="801"/>
        <w:gridCol w:w="818"/>
      </w:tblGrid>
      <w:tr>
        <w:tblPrEx>
          <w:tblW w:w="10690" w:type="dxa"/>
          <w:tblInd w:w="38" w:type="dxa"/>
          <w:tblBorders>
            <w:top w:val="dotted" w:sz="4" w:space="0" w:color="000000"/>
            <w:left w:val="dotted" w:sz="4" w:space="0" w:color="000000"/>
            <w:bottom w:val="dotted" w:sz="4" w:space="0" w:color="000000"/>
            <w:right w:val="dotted" w:sz="4" w:space="0" w:color="000000"/>
            <w:insideH w:val="dotted" w:sz="4" w:space="0" w:color="000000"/>
            <w:insideV w:val="dotted" w:sz="4" w:space="0" w:color="000000"/>
          </w:tblBorders>
          <w:tblLayout w:type="fixed"/>
        </w:tblPrEx>
        <w:trPr>
          <w:trHeight w:val="317"/>
        </w:trPr>
        <w:tc>
          <w:tcPr>
            <w:tcW w:w="1849" w:type="dxa"/>
            <w:tcBorders>
              <w:top w:val="single" w:sz="10" w:space="0" w:color="000000"/>
              <w:bottom w:val="dotted" w:sz="2" w:space="0" w:color="000000"/>
              <w:right w:val="dotted" w:sz="2" w:space="0" w:color="000000"/>
            </w:tcBorders>
            <w:vAlign w:val="top"/>
          </w:tcPr>
          <w:p>
            <w:pPr>
              <w:pStyle w:val="TableText"/>
              <w:spacing w:before="61" w:line="239" w:lineRule="auto"/>
              <w:ind w:left="528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一级分类</w:t>
            </w:r>
          </w:p>
        </w:tc>
        <w:tc>
          <w:tcPr>
            <w:tcW w:w="821" w:type="dxa"/>
            <w:vMerge w:val="restart"/>
            <w:tcBorders>
              <w:top w:val="single" w:sz="10" w:space="0" w:color="000000"/>
              <w:left w:val="dotted" w:sz="2" w:space="0" w:color="000000"/>
              <w:bottom w:val="nil"/>
            </w:tcBorders>
            <w:vAlign w:val="top"/>
          </w:tcPr>
          <w:p>
            <w:pPr>
              <w:pStyle w:val="TableText"/>
              <w:spacing w:before="221" w:line="239" w:lineRule="auto"/>
              <w:ind w:left="115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指数型</w:t>
            </w:r>
          </w:p>
        </w:tc>
        <w:tc>
          <w:tcPr>
            <w:tcW w:w="821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222" w:line="251" w:lineRule="exact"/>
              <w:ind w:left="116"/>
              <w:rPr>
                <w:sz w:val="19"/>
                <w:szCs w:val="19"/>
              </w:rPr>
            </w:pPr>
            <w:r>
              <w:rPr>
                <w:spacing w:val="5"/>
                <w:position w:val="1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激进型</w:t>
            </w:r>
          </w:p>
        </w:tc>
        <w:tc>
          <w:tcPr>
            <w:tcW w:w="2493" w:type="dxa"/>
            <w:gridSpan w:val="2"/>
            <w:tcBorders>
              <w:top w:val="single" w:sz="10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before="60" w:line="239" w:lineRule="auto"/>
              <w:ind w:left="96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混合型</w:t>
            </w:r>
          </w:p>
        </w:tc>
        <w:tc>
          <w:tcPr>
            <w:tcW w:w="2238" w:type="dxa"/>
            <w:gridSpan w:val="2"/>
            <w:tcBorders>
              <w:top w:val="single" w:sz="10" w:space="0" w:color="000000"/>
              <w:bottom w:val="dotted" w:sz="2" w:space="0" w:color="000000"/>
            </w:tcBorders>
            <w:vAlign w:val="top"/>
          </w:tcPr>
          <w:p>
            <w:pPr>
              <w:pStyle w:val="TableText"/>
              <w:spacing w:before="61" w:line="234" w:lineRule="auto"/>
              <w:ind w:left="82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债券型</w:t>
            </w:r>
          </w:p>
        </w:tc>
        <w:tc>
          <w:tcPr>
            <w:tcW w:w="849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67" w:line="271" w:lineRule="auto"/>
              <w:ind w:left="136" w:right="117" w:firstLine="6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类固定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收益型</w:t>
            </w:r>
          </w:p>
        </w:tc>
        <w:tc>
          <w:tcPr>
            <w:tcW w:w="801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66" w:line="312" w:lineRule="exact"/>
              <w:ind w:left="210"/>
              <w:rPr>
                <w:sz w:val="19"/>
                <w:szCs w:val="19"/>
              </w:rPr>
            </w:pPr>
            <w:r>
              <w:rPr>
                <w:spacing w:val="4"/>
                <w:position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货币</w:t>
            </w:r>
          </w:p>
          <w:p>
            <w:pPr>
              <w:pStyle w:val="TableText"/>
              <w:spacing w:line="239" w:lineRule="auto"/>
              <w:ind w:left="311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型</w:t>
            </w:r>
          </w:p>
        </w:tc>
        <w:tc>
          <w:tcPr>
            <w:tcW w:w="818" w:type="dxa"/>
            <w:vMerge w:val="restart"/>
            <w:tcBorders>
              <w:top w:val="single" w:sz="10" w:space="0" w:color="000000"/>
              <w:bottom w:val="nil"/>
            </w:tcBorders>
            <w:vAlign w:val="top"/>
          </w:tcPr>
          <w:p>
            <w:pPr>
              <w:pStyle w:val="TableText"/>
              <w:spacing w:before="221" w:line="239" w:lineRule="auto"/>
              <w:ind w:left="224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总计</w:t>
            </w:r>
          </w:p>
        </w:tc>
      </w:tr>
      <w:tr>
        <w:tblPrEx>
          <w:tblW w:w="10690" w:type="dxa"/>
          <w:tblInd w:w="38" w:type="dxa"/>
          <w:tblLayout w:type="fixed"/>
        </w:tblPrEx>
        <w:trPr>
          <w:trHeight w:val="313"/>
        </w:trPr>
        <w:tc>
          <w:tcPr>
            <w:tcW w:w="1849" w:type="dxa"/>
            <w:tcBorders>
              <w:top w:val="dotted" w:sz="2" w:space="0" w:color="000000"/>
              <w:bottom w:val="single" w:sz="2" w:space="0" w:color="000000"/>
              <w:right w:val="dotted" w:sz="2" w:space="0" w:color="000000"/>
            </w:tcBorders>
            <w:vAlign w:val="top"/>
          </w:tcPr>
          <w:p>
            <w:pPr>
              <w:pStyle w:val="TableText"/>
              <w:spacing w:before="61" w:line="235" w:lineRule="auto"/>
              <w:ind w:left="526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二级分类</w:t>
            </w:r>
          </w:p>
        </w:tc>
        <w:tc>
          <w:tcPr>
            <w:tcW w:w="821" w:type="dxa"/>
            <w:vMerge/>
            <w:tcBorders>
              <w:top w:val="nil"/>
              <w:left w:val="dotted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1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tcBorders>
              <w:top w:val="dotted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35" w:lineRule="auto"/>
              <w:ind w:left="122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混合激进型</w:t>
            </w:r>
          </w:p>
        </w:tc>
        <w:tc>
          <w:tcPr>
            <w:tcW w:w="1274" w:type="dxa"/>
            <w:tcBorders>
              <w:top w:val="dotted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32" w:lineRule="auto"/>
              <w:ind w:left="149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混合保守型</w:t>
            </w:r>
          </w:p>
        </w:tc>
        <w:tc>
          <w:tcPr>
            <w:tcW w:w="1275" w:type="dxa"/>
            <w:tcBorders>
              <w:top w:val="dotted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34" w:lineRule="auto"/>
              <w:ind w:left="142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增强债券型</w:t>
            </w:r>
          </w:p>
        </w:tc>
        <w:tc>
          <w:tcPr>
            <w:tcW w:w="963" w:type="dxa"/>
            <w:tcBorders>
              <w:top w:val="dotted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35" w:lineRule="auto"/>
              <w:ind w:left="189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全债型</w:t>
            </w:r>
          </w:p>
        </w:tc>
        <w:tc>
          <w:tcPr>
            <w:tcW w:w="849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1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690" w:type="dxa"/>
          <w:tblInd w:w="38" w:type="dxa"/>
          <w:tblLayout w:type="fixed"/>
        </w:tblPrEx>
        <w:trPr>
          <w:trHeight w:val="315"/>
        </w:trPr>
        <w:tc>
          <w:tcPr>
            <w:tcW w:w="1849" w:type="dxa"/>
            <w:tcBorders>
              <w:top w:val="single" w:sz="2" w:space="0" w:color="000000"/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7" w:line="231" w:lineRule="auto"/>
              <w:ind w:left="521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账户个数</w:t>
            </w:r>
          </w:p>
        </w:tc>
        <w:tc>
          <w:tcPr>
            <w:tcW w:w="821" w:type="dxa"/>
            <w:tcBorders>
              <w:top w:val="single" w:sz="2" w:space="0" w:color="000000"/>
              <w:left w:val="dotted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35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821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29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46</w:t>
            </w:r>
          </w:p>
        </w:tc>
        <w:tc>
          <w:tcPr>
            <w:tcW w:w="1219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49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40</w:t>
            </w:r>
          </w:p>
        </w:tc>
        <w:tc>
          <w:tcPr>
            <w:tcW w:w="1274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5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28</w:t>
            </w:r>
          </w:p>
        </w:tc>
        <w:tc>
          <w:tcPr>
            <w:tcW w:w="1275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5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>16</w:t>
            </w:r>
          </w:p>
        </w:tc>
        <w:tc>
          <w:tcPr>
            <w:tcW w:w="963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6"/>
                <w:sz w:val="19"/>
                <w:szCs w:val="19"/>
              </w:rPr>
              <w:t>15</w:t>
            </w:r>
          </w:p>
        </w:tc>
        <w:tc>
          <w:tcPr>
            <w:tcW w:w="849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26</w:t>
            </w:r>
          </w:p>
        </w:tc>
        <w:tc>
          <w:tcPr>
            <w:tcW w:w="801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2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40</w:t>
            </w:r>
          </w:p>
        </w:tc>
        <w:tc>
          <w:tcPr>
            <w:tcW w:w="818" w:type="dxa"/>
            <w:tcBorders>
              <w:top w:val="single" w:sz="2" w:space="0" w:color="000000"/>
            </w:tcBorders>
            <w:shd w:val="clear" w:color="auto" w:fill="F2F2F2"/>
            <w:vAlign w:val="top"/>
          </w:tcPr>
          <w:p>
            <w:pPr>
              <w:spacing w:before="92" w:line="204" w:lineRule="auto"/>
              <w:ind w:left="2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217</w:t>
            </w:r>
          </w:p>
        </w:tc>
      </w:tr>
      <w:tr>
        <w:tblPrEx>
          <w:tblW w:w="10690" w:type="dxa"/>
          <w:tblInd w:w="38" w:type="dxa"/>
          <w:tblLayout w:type="fixed"/>
        </w:tblPrEx>
        <w:trPr>
          <w:trHeight w:val="313"/>
        </w:trPr>
        <w:tc>
          <w:tcPr>
            <w:tcW w:w="1849" w:type="dxa"/>
            <w:tcBorders>
              <w:right w:val="dotted" w:sz="2" w:space="0" w:color="000000"/>
            </w:tcBorders>
            <w:vAlign w:val="top"/>
          </w:tcPr>
          <w:p>
            <w:pPr>
              <w:pStyle w:val="TableText"/>
              <w:spacing w:before="29" w:line="273" w:lineRule="exact"/>
              <w:ind w:left="1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pacing w:val="6"/>
                <w:position w:val="2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均值</w:t>
            </w:r>
            <w:r>
              <w:rPr>
                <w:rFonts w:ascii="Arial" w:eastAsia="Arial" w:hAnsi="Arial" w:cs="Arial"/>
                <w:b/>
                <w:bCs/>
                <w:spacing w:val="6"/>
                <w:position w:val="2"/>
                <w:sz w:val="19"/>
                <w:szCs w:val="19"/>
              </w:rPr>
              <w:t>(</w:t>
            </w:r>
            <w:r>
              <w:rPr>
                <w:spacing w:val="6"/>
                <w:position w:val="2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简单平均</w:t>
            </w:r>
            <w:r>
              <w:rPr>
                <w:rFonts w:ascii="Arial" w:eastAsia="Arial" w:hAnsi="Arial" w:cs="Arial"/>
                <w:b/>
                <w:bCs/>
                <w:spacing w:val="6"/>
                <w:position w:val="2"/>
                <w:sz w:val="19"/>
                <w:szCs w:val="19"/>
              </w:rPr>
              <w:t>,%)</w:t>
            </w:r>
          </w:p>
        </w:tc>
        <w:tc>
          <w:tcPr>
            <w:tcW w:w="821" w:type="dxa"/>
            <w:tcBorders>
              <w:left w:val="dotted" w:sz="2" w:space="0" w:color="000000"/>
            </w:tcBorders>
            <w:vAlign w:val="top"/>
          </w:tcPr>
          <w:p>
            <w:pPr>
              <w:spacing w:before="93" w:line="204" w:lineRule="auto"/>
              <w:ind w:left="12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10.57</w:t>
            </w:r>
          </w:p>
        </w:tc>
        <w:tc>
          <w:tcPr>
            <w:tcW w:w="821" w:type="dxa"/>
            <w:vAlign w:val="top"/>
          </w:tcPr>
          <w:p>
            <w:pPr>
              <w:spacing w:before="93" w:line="204" w:lineRule="auto"/>
              <w:ind w:left="1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10.19</w:t>
            </w:r>
          </w:p>
        </w:tc>
        <w:tc>
          <w:tcPr>
            <w:tcW w:w="1219" w:type="dxa"/>
            <w:vAlign w:val="top"/>
          </w:tcPr>
          <w:p>
            <w:pPr>
              <w:spacing w:before="93" w:line="204" w:lineRule="auto"/>
              <w:ind w:left="38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-8.36</w:t>
            </w:r>
          </w:p>
        </w:tc>
        <w:tc>
          <w:tcPr>
            <w:tcW w:w="1274" w:type="dxa"/>
            <w:vAlign w:val="top"/>
          </w:tcPr>
          <w:p>
            <w:pPr>
              <w:spacing w:before="93" w:line="204" w:lineRule="auto"/>
              <w:ind w:left="4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-4.60</w:t>
            </w:r>
          </w:p>
        </w:tc>
        <w:tc>
          <w:tcPr>
            <w:tcW w:w="1275" w:type="dxa"/>
            <w:vAlign w:val="top"/>
          </w:tcPr>
          <w:p>
            <w:pPr>
              <w:spacing w:before="93" w:line="204" w:lineRule="auto"/>
              <w:ind w:left="4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1.01</w:t>
            </w:r>
          </w:p>
        </w:tc>
        <w:tc>
          <w:tcPr>
            <w:tcW w:w="963" w:type="dxa"/>
            <w:vAlign w:val="top"/>
          </w:tcPr>
          <w:p>
            <w:pPr>
              <w:spacing w:before="93" w:line="204" w:lineRule="auto"/>
              <w:ind w:left="3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1.41</w:t>
            </w:r>
          </w:p>
        </w:tc>
        <w:tc>
          <w:tcPr>
            <w:tcW w:w="849" w:type="dxa"/>
            <w:vAlign w:val="top"/>
          </w:tcPr>
          <w:p>
            <w:pPr>
              <w:spacing w:before="93" w:line="204" w:lineRule="auto"/>
              <w:ind w:left="23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2.12</w:t>
            </w:r>
          </w:p>
        </w:tc>
        <w:tc>
          <w:tcPr>
            <w:tcW w:w="801" w:type="dxa"/>
            <w:vAlign w:val="top"/>
          </w:tcPr>
          <w:p>
            <w:pPr>
              <w:spacing w:before="93" w:line="204" w:lineRule="auto"/>
              <w:ind w:left="22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1.96</w:t>
            </w:r>
          </w:p>
        </w:tc>
        <w:tc>
          <w:tcPr>
            <w:tcW w:w="818" w:type="dxa"/>
            <w:vAlign w:val="top"/>
          </w:tcPr>
          <w:p>
            <w:pPr>
              <w:spacing w:before="93" w:line="204" w:lineRule="auto"/>
              <w:ind w:left="18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-3.80</w:t>
            </w:r>
          </w:p>
        </w:tc>
      </w:tr>
      <w:tr>
        <w:tblPrEx>
          <w:tblW w:w="10690" w:type="dxa"/>
          <w:tblInd w:w="38" w:type="dxa"/>
          <w:tblLayout w:type="fixed"/>
        </w:tblPrEx>
        <w:trPr>
          <w:trHeight w:val="313"/>
        </w:trPr>
        <w:tc>
          <w:tcPr>
            <w:tcW w:w="1849" w:type="dxa"/>
            <w:tcBorders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32" w:line="270" w:lineRule="exact"/>
              <w:ind w:left="48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pacing w:val="4"/>
                <w:position w:val="3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最小值</w:t>
            </w:r>
            <w:r>
              <w:rPr>
                <w:rFonts w:ascii="Arial" w:eastAsia="Arial" w:hAnsi="Arial" w:cs="Arial"/>
                <w:b/>
                <w:bCs/>
                <w:spacing w:val="4"/>
                <w:position w:val="3"/>
                <w:sz w:val="19"/>
                <w:szCs w:val="19"/>
              </w:rPr>
              <w:t>(%)</w:t>
            </w:r>
          </w:p>
        </w:tc>
        <w:tc>
          <w:tcPr>
            <w:tcW w:w="821" w:type="dxa"/>
            <w:tcBorders>
              <w:left w:val="dotted" w:sz="2" w:space="0" w:color="000000"/>
            </w:tcBorders>
            <w:shd w:val="clear" w:color="auto" w:fill="F2F2F2"/>
            <w:vAlign w:val="top"/>
          </w:tcPr>
          <w:p>
            <w:pPr>
              <w:spacing w:before="97" w:line="204" w:lineRule="auto"/>
              <w:ind w:left="12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19.53</w:t>
            </w:r>
          </w:p>
        </w:tc>
        <w:tc>
          <w:tcPr>
            <w:tcW w:w="821" w:type="dxa"/>
            <w:shd w:val="clear" w:color="auto" w:fill="F2F2F2"/>
            <w:vAlign w:val="top"/>
          </w:tcPr>
          <w:p>
            <w:pPr>
              <w:spacing w:before="97" w:line="204" w:lineRule="auto"/>
              <w:ind w:left="1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-24.87</w:t>
            </w:r>
          </w:p>
        </w:tc>
        <w:tc>
          <w:tcPr>
            <w:tcW w:w="1219" w:type="dxa"/>
            <w:shd w:val="clear" w:color="auto" w:fill="F2F2F2"/>
            <w:vAlign w:val="top"/>
          </w:tcPr>
          <w:p>
            <w:pPr>
              <w:spacing w:before="97" w:line="204" w:lineRule="auto"/>
              <w:ind w:left="32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-21.24</w:t>
            </w:r>
          </w:p>
        </w:tc>
        <w:tc>
          <w:tcPr>
            <w:tcW w:w="1274" w:type="dxa"/>
            <w:shd w:val="clear" w:color="auto" w:fill="F2F2F2"/>
            <w:vAlign w:val="top"/>
          </w:tcPr>
          <w:p>
            <w:pPr>
              <w:spacing w:before="97" w:line="204" w:lineRule="auto"/>
              <w:ind w:left="3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12.72</w:t>
            </w:r>
          </w:p>
        </w:tc>
        <w:tc>
          <w:tcPr>
            <w:tcW w:w="1275" w:type="dxa"/>
            <w:shd w:val="clear" w:color="auto" w:fill="F2F2F2"/>
            <w:vAlign w:val="top"/>
          </w:tcPr>
          <w:p>
            <w:pPr>
              <w:spacing w:before="97" w:line="204" w:lineRule="auto"/>
              <w:ind w:left="4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1.16</w:t>
            </w:r>
          </w:p>
        </w:tc>
        <w:tc>
          <w:tcPr>
            <w:tcW w:w="963" w:type="dxa"/>
            <w:shd w:val="clear" w:color="auto" w:fill="F2F2F2"/>
            <w:vAlign w:val="top"/>
          </w:tcPr>
          <w:p>
            <w:pPr>
              <w:spacing w:before="97" w:line="204" w:lineRule="auto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-0.66</w:t>
            </w:r>
          </w:p>
        </w:tc>
        <w:tc>
          <w:tcPr>
            <w:tcW w:w="849" w:type="dxa"/>
            <w:shd w:val="clear" w:color="auto" w:fill="F2F2F2"/>
            <w:vAlign w:val="top"/>
          </w:tcPr>
          <w:p>
            <w:pPr>
              <w:spacing w:before="97" w:line="204" w:lineRule="auto"/>
              <w:ind w:left="2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-2.57</w:t>
            </w:r>
          </w:p>
        </w:tc>
        <w:tc>
          <w:tcPr>
            <w:tcW w:w="801" w:type="dxa"/>
            <w:shd w:val="clear" w:color="auto" w:fill="F2F2F2"/>
            <w:vAlign w:val="top"/>
          </w:tcPr>
          <w:p>
            <w:pPr>
              <w:spacing w:before="97" w:line="204" w:lineRule="auto"/>
              <w:ind w:left="1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-0.97</w:t>
            </w:r>
          </w:p>
        </w:tc>
        <w:tc>
          <w:tcPr>
            <w:tcW w:w="818" w:type="dxa"/>
            <w:shd w:val="clear" w:color="auto" w:fill="F2F2F2"/>
            <w:vAlign w:val="top"/>
          </w:tcPr>
          <w:p>
            <w:pPr>
              <w:spacing w:before="97" w:line="204" w:lineRule="auto"/>
              <w:ind w:left="12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-24.87</w:t>
            </w:r>
          </w:p>
        </w:tc>
      </w:tr>
    </w:tbl>
    <w:p>
      <w:pPr>
        <w:sectPr>
          <w:headerReference w:type="default" r:id="rId20"/>
          <w:pgSz w:w="11906" w:h="16839"/>
          <w:pgMar w:top="400" w:right="602" w:bottom="0" w:left="568" w:header="0" w:footer="0" w:gutter="0"/>
          <w:pgNumType w:start="13"/>
          <w:cols w:num="1" w:space="708" w:equalWidth="0">
            <w:col w:w="10735" w:space="0"/>
          </w:cols>
        </w:sectPr>
      </w:pPr>
    </w:p>
    <w:tbl>
      <w:tblPr>
        <w:tblStyle w:val="TableNormal5"/>
        <w:tblW w:w="10690" w:type="dxa"/>
        <w:tblInd w:w="3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</w:tblPr>
      <w:tblGrid>
        <w:gridCol w:w="1849"/>
        <w:gridCol w:w="821"/>
        <w:gridCol w:w="821"/>
        <w:gridCol w:w="1219"/>
        <w:gridCol w:w="1274"/>
        <w:gridCol w:w="1275"/>
        <w:gridCol w:w="963"/>
        <w:gridCol w:w="849"/>
        <w:gridCol w:w="801"/>
        <w:gridCol w:w="818"/>
      </w:tblGrid>
      <w:tr>
        <w:tblPrEx>
          <w:tblW w:w="10690" w:type="dxa"/>
          <w:tblInd w:w="38" w:type="dxa"/>
          <w:tblBorders>
            <w:top w:val="dotted" w:sz="4" w:space="0" w:color="000000"/>
            <w:left w:val="dotted" w:sz="4" w:space="0" w:color="000000"/>
            <w:bottom w:val="dotted" w:sz="4" w:space="0" w:color="000000"/>
            <w:right w:val="dotted" w:sz="4" w:space="0" w:color="000000"/>
            <w:insideH w:val="dotted" w:sz="4" w:space="0" w:color="000000"/>
            <w:insideV w:val="dotted" w:sz="4" w:space="0" w:color="000000"/>
          </w:tblBorders>
          <w:tblLayout w:type="fixed"/>
        </w:tblPrEx>
        <w:trPr>
          <w:trHeight w:val="334"/>
        </w:trPr>
        <w:tc>
          <w:tcPr>
            <w:tcW w:w="1849" w:type="dxa"/>
            <w:tcBorders>
              <w:bottom w:val="single" w:sz="10" w:space="0" w:color="000000"/>
              <w:right w:val="dotted" w:sz="2" w:space="0" w:color="000000"/>
            </w:tcBorders>
            <w:vAlign w:val="top"/>
          </w:tcPr>
          <w:p>
            <w:pPr>
              <w:pStyle w:val="TableText"/>
              <w:spacing w:before="36" w:line="285" w:lineRule="exact"/>
              <w:ind w:left="48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pacing w:val="4"/>
                <w:position w:val="3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最大值</w:t>
            </w:r>
            <w:r>
              <w:rPr>
                <w:rFonts w:ascii="Arial" w:eastAsia="Arial" w:hAnsi="Arial" w:cs="Arial"/>
                <w:b/>
                <w:bCs/>
                <w:spacing w:val="4"/>
                <w:position w:val="3"/>
                <w:sz w:val="19"/>
                <w:szCs w:val="19"/>
              </w:rPr>
              <w:t>(%)</w:t>
            </w:r>
          </w:p>
        </w:tc>
        <w:tc>
          <w:tcPr>
            <w:tcW w:w="821" w:type="dxa"/>
            <w:tcBorders>
              <w:left w:val="dotted" w:sz="2" w:space="0" w:color="000000"/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18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-2.87</w:t>
            </w:r>
          </w:p>
        </w:tc>
        <w:tc>
          <w:tcPr>
            <w:tcW w:w="821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21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4.87</w:t>
            </w:r>
          </w:p>
        </w:tc>
        <w:tc>
          <w:tcPr>
            <w:tcW w:w="1219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4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0.43</w:t>
            </w:r>
          </w:p>
        </w:tc>
        <w:tc>
          <w:tcPr>
            <w:tcW w:w="1274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4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1.63</w:t>
            </w:r>
          </w:p>
        </w:tc>
        <w:tc>
          <w:tcPr>
            <w:tcW w:w="1275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44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2.89</w:t>
            </w:r>
          </w:p>
        </w:tc>
        <w:tc>
          <w:tcPr>
            <w:tcW w:w="963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3.86</w:t>
            </w:r>
          </w:p>
        </w:tc>
        <w:tc>
          <w:tcPr>
            <w:tcW w:w="849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2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4.78</w:t>
            </w:r>
          </w:p>
        </w:tc>
        <w:tc>
          <w:tcPr>
            <w:tcW w:w="801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2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4.50</w:t>
            </w:r>
          </w:p>
        </w:tc>
        <w:tc>
          <w:tcPr>
            <w:tcW w:w="818" w:type="dxa"/>
            <w:tcBorders>
              <w:bottom w:val="single" w:sz="10" w:space="0" w:color="000000"/>
            </w:tcBorders>
            <w:vAlign w:val="top"/>
          </w:tcPr>
          <w:p>
            <w:pPr>
              <w:spacing w:before="103" w:line="204" w:lineRule="auto"/>
              <w:ind w:left="2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4.87</w:t>
            </w:r>
          </w:p>
        </w:tc>
      </w:tr>
    </w:tbl>
    <w:p>
      <w:pPr>
        <w:spacing w:before="68" w:line="220" w:lineRule="auto"/>
        <w:ind w:left="16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资料来源：大智慧大数据，华宝证券研究创新部</w:t>
      </w: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before="62" w:line="232" w:lineRule="auto"/>
        <w:ind w:left="1337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7"/>
          <w:sz w:val="19"/>
          <w:szCs w:val="19"/>
        </w:rPr>
        <w:t>表</w:t>
      </w:r>
      <w:r>
        <w:rPr>
          <w:rFonts w:ascii="KaiTi" w:eastAsia="KaiTi" w:hAnsi="KaiTi" w:cs="KaiTi"/>
          <w:spacing w:val="-1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 xml:space="preserve">7    2023 </w:t>
      </w:r>
      <w:r>
        <w:rPr>
          <w:rFonts w:ascii="KaiTi" w:eastAsia="KaiTi" w:hAnsi="KaiTi" w:cs="KaiTi"/>
          <w:spacing w:val="7"/>
          <w:sz w:val="19"/>
          <w:szCs w:val="19"/>
        </w:rPr>
        <w:t>年投连险账户收益及可比指数基金产品收益</w:t>
      </w:r>
    </w:p>
    <w:p>
      <w:pPr>
        <w:spacing w:line="16" w:lineRule="exact"/>
      </w:pPr>
    </w:p>
    <w:tbl>
      <w:tblPr>
        <w:tblStyle w:val="TableNormal5"/>
        <w:tblW w:w="8319" w:type="dxa"/>
        <w:tblInd w:w="1223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1764"/>
        <w:gridCol w:w="2159"/>
        <w:gridCol w:w="2505"/>
        <w:gridCol w:w="1891"/>
      </w:tblGrid>
      <w:tr>
        <w:tblPrEx>
          <w:tblW w:w="8319" w:type="dxa"/>
          <w:tblInd w:w="1223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22"/>
        </w:trPr>
        <w:tc>
          <w:tcPr>
            <w:tcW w:w="1764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7" w:lineRule="auto"/>
              <w:ind w:left="189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投连险账户类型</w:t>
            </w:r>
          </w:p>
        </w:tc>
        <w:tc>
          <w:tcPr>
            <w:tcW w:w="2159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3" w:lineRule="auto"/>
              <w:ind w:left="1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7"/>
                <w:sz w:val="19"/>
                <w:szCs w:val="19"/>
              </w:rPr>
              <w:t xml:space="preserve">2023 </w:t>
            </w: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年平均收益率</w:t>
            </w:r>
            <w:r>
              <w:rPr>
                <w:rFonts w:ascii="Arial" w:eastAsia="Arial" w:hAnsi="Arial" w:cs="Arial"/>
                <w:b/>
                <w:bCs/>
                <w:spacing w:val="7"/>
                <w:sz w:val="19"/>
                <w:szCs w:val="19"/>
              </w:rPr>
              <w:t>%</w:t>
            </w:r>
          </w:p>
        </w:tc>
        <w:tc>
          <w:tcPr>
            <w:tcW w:w="2505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0" w:line="239" w:lineRule="auto"/>
              <w:ind w:left="654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基金指数类型</w:t>
            </w:r>
          </w:p>
        </w:tc>
        <w:tc>
          <w:tcPr>
            <w:tcW w:w="1891" w:type="dxa"/>
            <w:tcBorders>
              <w:top w:val="single" w:sz="10" w:space="0" w:color="BE0000"/>
              <w:bottom w:val="single" w:sz="4" w:space="0" w:color="BE0000"/>
            </w:tcBorders>
            <w:vAlign w:val="top"/>
          </w:tcPr>
          <w:p>
            <w:pPr>
              <w:pStyle w:val="TableText"/>
              <w:spacing w:before="61" w:line="234" w:lineRule="auto"/>
              <w:ind w:left="21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 xml:space="preserve">2023 </w:t>
            </w: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年涨跌幅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%</w:t>
            </w:r>
          </w:p>
        </w:tc>
      </w:tr>
      <w:tr>
        <w:tblPrEx>
          <w:tblW w:w="8319" w:type="dxa"/>
          <w:tblInd w:w="1223" w:type="dxa"/>
          <w:tblLayout w:type="fixed"/>
        </w:tblPrEx>
        <w:trPr>
          <w:trHeight w:val="313"/>
        </w:trPr>
        <w:tc>
          <w:tcPr>
            <w:tcW w:w="1764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58" w:line="238" w:lineRule="auto"/>
              <w:ind w:left="592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指数型</w:t>
            </w:r>
          </w:p>
        </w:tc>
        <w:tc>
          <w:tcPr>
            <w:tcW w:w="2159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3" w:line="204" w:lineRule="auto"/>
              <w:ind w:left="79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10.57</w:t>
            </w:r>
          </w:p>
        </w:tc>
        <w:tc>
          <w:tcPr>
            <w:tcW w:w="2505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58" w:line="232" w:lineRule="auto"/>
              <w:ind w:left="164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万得股票指数型基金指数</w:t>
            </w:r>
          </w:p>
        </w:tc>
        <w:tc>
          <w:tcPr>
            <w:tcW w:w="1891" w:type="dxa"/>
            <w:tcBorders>
              <w:top w:val="single" w:sz="4" w:space="0" w:color="000000"/>
            </w:tcBorders>
            <w:shd w:val="clear" w:color="auto" w:fill="F2F2F2"/>
            <w:vAlign w:val="top"/>
          </w:tcPr>
          <w:p>
            <w:pPr>
              <w:spacing w:before="83" w:line="204" w:lineRule="auto"/>
              <w:ind w:left="7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-8.29</w:t>
            </w:r>
          </w:p>
        </w:tc>
      </w:tr>
      <w:tr>
        <w:tblPrEx>
          <w:tblW w:w="8319" w:type="dxa"/>
          <w:tblInd w:w="1223" w:type="dxa"/>
          <w:tblLayout w:type="fixed"/>
        </w:tblPrEx>
        <w:trPr>
          <w:trHeight w:val="318"/>
        </w:trPr>
        <w:tc>
          <w:tcPr>
            <w:tcW w:w="1764" w:type="dxa"/>
            <w:vAlign w:val="top"/>
          </w:tcPr>
          <w:p>
            <w:pPr>
              <w:pStyle w:val="TableText"/>
              <w:spacing w:before="62" w:line="239" w:lineRule="auto"/>
              <w:ind w:left="593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激进型</w:t>
            </w:r>
          </w:p>
        </w:tc>
        <w:tc>
          <w:tcPr>
            <w:tcW w:w="2159" w:type="dxa"/>
            <w:vAlign w:val="top"/>
          </w:tcPr>
          <w:p>
            <w:pPr>
              <w:spacing w:before="87" w:line="204" w:lineRule="auto"/>
              <w:ind w:left="79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10.19</w:t>
            </w:r>
          </w:p>
        </w:tc>
        <w:tc>
          <w:tcPr>
            <w:tcW w:w="2505" w:type="dxa"/>
            <w:vAlign w:val="top"/>
          </w:tcPr>
          <w:p>
            <w:pPr>
              <w:pStyle w:val="TableText"/>
              <w:spacing w:before="61" w:line="232" w:lineRule="auto"/>
              <w:ind w:left="164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万得普通股票型基金指数</w:t>
            </w:r>
          </w:p>
        </w:tc>
        <w:tc>
          <w:tcPr>
            <w:tcW w:w="1891" w:type="dxa"/>
            <w:vAlign w:val="top"/>
          </w:tcPr>
          <w:p>
            <w:pPr>
              <w:spacing w:before="87" w:line="204" w:lineRule="auto"/>
              <w:ind w:left="6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11.68</w:t>
            </w:r>
          </w:p>
        </w:tc>
      </w:tr>
    </w:tbl>
    <w:p>
      <w:pPr>
        <w:pStyle w:val="BodyText"/>
      </w:pPr>
    </w:p>
    <w:p>
      <w:pPr>
        <w:spacing w:line="138" w:lineRule="exact"/>
      </w:pPr>
    </w:p>
    <w:p>
      <w:pPr>
        <w:spacing w:line="138" w:lineRule="exact"/>
        <w:sectPr>
          <w:headerReference w:type="default" r:id="rId21"/>
          <w:type w:val="nextPage"/>
          <w:pgSz w:w="11906" w:h="16839"/>
          <w:pgMar w:top="400" w:right="602" w:bottom="0" w:left="568" w:header="0" w:footer="0" w:gutter="0"/>
          <w:pgNumType w:start="14"/>
          <w:cols w:num="1" w:space="708" w:equalWidth="0">
            <w:col w:w="10735" w:space="0"/>
          </w:cols>
          <w:titlePg w:val="0"/>
        </w:sectPr>
      </w:pPr>
    </w:p>
    <w:p>
      <w:pPr>
        <w:spacing w:before="48" w:line="222" w:lineRule="auto"/>
        <w:ind w:left="57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敬请参阅报告结尾处免责声明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8" w:line="245" w:lineRule="exact"/>
        <w:ind w:left="5615"/>
        <w:rPr>
          <w:sz w:val="18"/>
          <w:szCs w:val="18"/>
        </w:rPr>
      </w:pPr>
      <w:r>
        <w:rPr>
          <w:rFonts w:ascii="KaiTi" w:eastAsia="KaiTi" w:hAnsi="KaiTi" w:cs="KaiTi"/>
          <w:spacing w:val="-3"/>
          <w:position w:val="1"/>
          <w:sz w:val="18"/>
          <w:szCs w:val="18"/>
        </w:rPr>
        <w:t>华宝证券</w:t>
      </w:r>
      <w:r>
        <w:rPr>
          <w:rFonts w:ascii="KaiTi" w:eastAsia="KaiTi" w:hAnsi="KaiTi" w:cs="KaiTi"/>
          <w:spacing w:val="2"/>
          <w:position w:val="1"/>
          <w:sz w:val="18"/>
          <w:szCs w:val="18"/>
        </w:rPr>
        <w:t xml:space="preserve">    </w:t>
      </w:r>
      <w:r>
        <w:rPr>
          <w:spacing w:val="-3"/>
          <w:position w:val="1"/>
          <w:sz w:val="18"/>
          <w:szCs w:val="18"/>
        </w:rPr>
        <w:t>3/14</w:t>
      </w:r>
    </w:p>
    <w:p>
      <w:pPr>
        <w:spacing w:line="245" w:lineRule="exact"/>
        <w:rPr>
          <w:sz w:val="18"/>
          <w:szCs w:val="18"/>
        </w:rPr>
        <w:sectPr>
          <w:headerReference w:type="default" r:id="rId22"/>
          <w:type w:val="continuous"/>
          <w:pgSz w:w="11906" w:h="16839"/>
          <w:pgMar w:top="400" w:right="602" w:bottom="0" w:left="568" w:header="0" w:footer="0" w:gutter="0"/>
          <w:pgNumType w:start="15"/>
          <w:cols w:num="2" w:space="708" w:equalWidth="0">
            <w:col w:w="3071" w:space="100"/>
            <w:col w:w="7564" w:space="0"/>
          </w:cols>
        </w:sectPr>
      </w:pPr>
    </w:p>
    <w:p>
      <w:pPr>
        <w:pStyle w:val="BodyText"/>
        <w:spacing w:line="334" w:lineRule="auto"/>
      </w:pPr>
      <w:r>
        <w:pict>
          <v:rect id="_x0000_s1037" style="width:428.75pt;height:1.45pt;margin-top:222.25pt;margin-left:83.3pt;mso-position-horizontal-relative:page;mso-position-vertical-relative:page;position:absolute;z-index:251670528" o:allowincell="f" filled="t" fillcolor="#c00" stroked="f"/>
        </w:pict>
      </w:r>
      <w:r>
        <w:pict>
          <v:rect id="_x0000_s1038" style="width:428.75pt;height:1.45pt;margin-top:440.9pt;margin-left:83.3pt;mso-position-horizontal-relative:page;mso-position-vertical-relative:page;position:absolute;z-index:251671552" o:allowincell="f" filled="t" fillcolor="#c00" stroked="f"/>
        </w:pict>
      </w:r>
      <w:r>
        <w:pict>
          <v:shape id="_x0000_s1039" style="width:352.1pt;height:0.85pt;margin-top:795.48pt;margin-left:186.96pt;mso-position-horizontal-relative:page;mso-position-vertical-relative:page;position:absolute;z-index:251672576" coordorigin="0,0" coordsize="7042,17" o:allowincell="f" path="m,l7041,l7041,16l,16l,xe" filled="t" fillcolor="#b30924" stroked="f"/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361188</wp:posOffset>
            </wp:positionH>
            <wp:positionV relativeFrom="page">
              <wp:posOffset>330707</wp:posOffset>
            </wp:positionV>
            <wp:extent cx="4638802" cy="399288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8802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98" w:lineRule="exact"/>
        <w:ind w:firstLine="7395"/>
      </w:pPr>
      <w:r>
        <w:rPr>
          <w:position w:val="-7"/>
        </w:rPr>
        <w:pict>
          <v:shape id="_x0000_i1040" type="#_x0000_t202" style="width:106.4pt;height:19.95pt;mso-position-horizontal-relative:char;mso-position-vertical-relative:line" filled="t" fillcolor="#af2135" stroked="f">
            <o:lock v:ext="edit" aspectratio="f"/>
            <v:textbox inset="0,0,0,0">
              <w:txbxContent>
                <w:p>
                  <w:pPr>
                    <w:spacing w:before="107" w:line="223" w:lineRule="auto"/>
                    <w:ind w:left="342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bookmarkStart w:id="16" w:name="bookmark38"/>
                  <w:bookmarkEnd w:id="16"/>
                  <w:bookmarkStart w:id="17" w:name="bookmark22"/>
                  <w:bookmarkEnd w:id="17"/>
                  <w:bookmarkStart w:id="18" w:name="bookmark23"/>
                  <w:bookmarkEnd w:id="18"/>
                  <w:r>
                    <w:rPr>
                      <w:rFonts w:ascii="KaiTi" w:eastAsia="KaiTi" w:hAnsi="KaiTi" w:cs="KaiTi"/>
                      <w:color w:val="FFFFFF"/>
                      <w:sz w:val="18"/>
                      <w:szCs w:val="18"/>
                      <w14:textOutline w14:w="326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金融产品年度报告</w:t>
                  </w:r>
                </w:p>
              </w:txbxContent>
            </v:textbox>
            <w10:wrap type="none"/>
          </v:shape>
        </w:pict>
      </w:r>
    </w:p>
    <w:p>
      <w:pPr>
        <w:spacing w:line="205" w:lineRule="exact"/>
      </w:pPr>
    </w:p>
    <w:tbl>
      <w:tblPr>
        <w:tblStyle w:val="TableNormal6"/>
        <w:tblW w:w="8319" w:type="dxa"/>
        <w:tblInd w:w="1223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</w:tblPr>
      <w:tblGrid>
        <w:gridCol w:w="1764"/>
        <w:gridCol w:w="2159"/>
        <w:gridCol w:w="2505"/>
        <w:gridCol w:w="1891"/>
      </w:tblGrid>
      <w:tr>
        <w:tblPrEx>
          <w:tblW w:w="8319" w:type="dxa"/>
          <w:tblInd w:w="1223" w:type="dxa"/>
          <w:tblBorders>
            <w:top w:val="dotted" w:sz="2" w:space="0" w:color="000000"/>
            <w:left w:val="dotted" w:sz="2" w:space="0" w:color="000000"/>
            <w:bottom w:val="dotted" w:sz="2" w:space="0" w:color="000000"/>
            <w:right w:val="dotted" w:sz="2" w:space="0" w:color="000000"/>
            <w:insideH w:val="dotted" w:sz="2" w:space="0" w:color="000000"/>
            <w:insideV w:val="dotted" w:sz="2" w:space="0" w:color="000000"/>
          </w:tblBorders>
          <w:tblLayout w:type="fixed"/>
        </w:tblPrEx>
        <w:trPr>
          <w:trHeight w:val="317"/>
        </w:trPr>
        <w:tc>
          <w:tcPr>
            <w:tcW w:w="1764" w:type="dxa"/>
            <w:shd w:val="clear" w:color="auto" w:fill="F2F2F2"/>
            <w:vAlign w:val="top"/>
          </w:tcPr>
          <w:p>
            <w:pPr>
              <w:pStyle w:val="TableText"/>
              <w:spacing w:before="60" w:line="239" w:lineRule="auto"/>
              <w:ind w:left="398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混合激进型</w:t>
            </w:r>
          </w:p>
        </w:tc>
        <w:tc>
          <w:tcPr>
            <w:tcW w:w="2159" w:type="dxa"/>
            <w:shd w:val="clear" w:color="auto" w:fill="F2F2F2"/>
            <w:vAlign w:val="top"/>
          </w:tcPr>
          <w:p>
            <w:pPr>
              <w:spacing w:before="88" w:line="204" w:lineRule="auto"/>
              <w:ind w:left="85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-8.36</w:t>
            </w:r>
          </w:p>
        </w:tc>
        <w:tc>
          <w:tcPr>
            <w:tcW w:w="2505" w:type="dxa"/>
            <w:shd w:val="clear" w:color="auto" w:fill="F2F2F2"/>
            <w:vAlign w:val="top"/>
          </w:tcPr>
          <w:p>
            <w:pPr>
              <w:pStyle w:val="TableText"/>
              <w:spacing w:before="60" w:line="234" w:lineRule="auto"/>
              <w:ind w:left="164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万得偏股混合型基金指数</w:t>
            </w:r>
          </w:p>
        </w:tc>
        <w:tc>
          <w:tcPr>
            <w:tcW w:w="1891" w:type="dxa"/>
            <w:shd w:val="clear" w:color="auto" w:fill="F2F2F2"/>
            <w:vAlign w:val="top"/>
          </w:tcPr>
          <w:p>
            <w:pPr>
              <w:spacing w:before="88" w:line="204" w:lineRule="auto"/>
              <w:ind w:left="66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13.52</w:t>
            </w:r>
          </w:p>
        </w:tc>
      </w:tr>
      <w:tr>
        <w:tblPrEx>
          <w:tblW w:w="8319" w:type="dxa"/>
          <w:tblInd w:w="1223" w:type="dxa"/>
          <w:tblLayout w:type="fixed"/>
        </w:tblPrEx>
        <w:trPr>
          <w:trHeight w:val="313"/>
        </w:trPr>
        <w:tc>
          <w:tcPr>
            <w:tcW w:w="1764" w:type="dxa"/>
            <w:vAlign w:val="top"/>
          </w:tcPr>
          <w:p>
            <w:pPr>
              <w:pStyle w:val="TableText"/>
              <w:spacing w:before="62" w:line="232" w:lineRule="auto"/>
              <w:ind w:left="398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混合保守型</w:t>
            </w:r>
          </w:p>
        </w:tc>
        <w:tc>
          <w:tcPr>
            <w:tcW w:w="2159" w:type="dxa"/>
            <w:vAlign w:val="top"/>
          </w:tcPr>
          <w:p>
            <w:pPr>
              <w:spacing w:before="88" w:line="204" w:lineRule="auto"/>
              <w:ind w:left="85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-4.60</w:t>
            </w:r>
          </w:p>
        </w:tc>
        <w:tc>
          <w:tcPr>
            <w:tcW w:w="2505" w:type="dxa"/>
            <w:vAlign w:val="top"/>
          </w:tcPr>
          <w:p>
            <w:pPr>
              <w:pStyle w:val="TableText"/>
              <w:spacing w:before="63" w:line="233" w:lineRule="auto"/>
              <w:ind w:left="164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万得偏债混合型基金指数</w:t>
            </w:r>
          </w:p>
        </w:tc>
        <w:tc>
          <w:tcPr>
            <w:tcW w:w="1891" w:type="dxa"/>
            <w:vAlign w:val="top"/>
          </w:tcPr>
          <w:p>
            <w:pPr>
              <w:spacing w:before="88" w:line="204" w:lineRule="auto"/>
              <w:ind w:left="7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-0.96</w:t>
            </w:r>
          </w:p>
        </w:tc>
      </w:tr>
      <w:tr>
        <w:tblPrEx>
          <w:tblW w:w="8319" w:type="dxa"/>
          <w:tblInd w:w="1223" w:type="dxa"/>
          <w:tblLayout w:type="fixed"/>
        </w:tblPrEx>
        <w:trPr>
          <w:trHeight w:val="313"/>
        </w:trPr>
        <w:tc>
          <w:tcPr>
            <w:tcW w:w="1764" w:type="dxa"/>
            <w:shd w:val="clear" w:color="auto" w:fill="F2F2F2"/>
            <w:vAlign w:val="top"/>
          </w:tcPr>
          <w:p>
            <w:pPr>
              <w:pStyle w:val="TableText"/>
              <w:spacing w:before="66" w:line="230" w:lineRule="auto"/>
              <w:ind w:left="388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增强债券型</w:t>
            </w:r>
          </w:p>
        </w:tc>
        <w:tc>
          <w:tcPr>
            <w:tcW w:w="2159" w:type="dxa"/>
            <w:shd w:val="clear" w:color="auto" w:fill="F2F2F2"/>
            <w:vAlign w:val="top"/>
          </w:tcPr>
          <w:p>
            <w:pPr>
              <w:spacing w:before="91" w:line="204" w:lineRule="auto"/>
              <w:ind w:left="90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1.01</w:t>
            </w:r>
          </w:p>
        </w:tc>
        <w:tc>
          <w:tcPr>
            <w:tcW w:w="2505" w:type="dxa"/>
            <w:shd w:val="clear" w:color="auto" w:fill="F2F2F2"/>
            <w:vAlign w:val="top"/>
          </w:tcPr>
          <w:p>
            <w:pPr>
              <w:pStyle w:val="TableText"/>
              <w:spacing w:before="66" w:line="230" w:lineRule="auto"/>
              <w:ind w:left="363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万得债券型基金指数</w:t>
            </w:r>
          </w:p>
        </w:tc>
        <w:tc>
          <w:tcPr>
            <w:tcW w:w="1891" w:type="dxa"/>
            <w:shd w:val="clear" w:color="auto" w:fill="F2F2F2"/>
            <w:vAlign w:val="top"/>
          </w:tcPr>
          <w:p>
            <w:pPr>
              <w:spacing w:before="91" w:line="204" w:lineRule="auto"/>
              <w:ind w:left="7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2.87</w:t>
            </w:r>
          </w:p>
        </w:tc>
      </w:tr>
      <w:tr>
        <w:tblPrEx>
          <w:tblW w:w="8319" w:type="dxa"/>
          <w:tblInd w:w="1223" w:type="dxa"/>
          <w:tblLayout w:type="fixed"/>
        </w:tblPrEx>
        <w:trPr>
          <w:trHeight w:val="313"/>
        </w:trPr>
        <w:tc>
          <w:tcPr>
            <w:tcW w:w="1764" w:type="dxa"/>
            <w:vAlign w:val="top"/>
          </w:tcPr>
          <w:p>
            <w:pPr>
              <w:pStyle w:val="TableText"/>
              <w:spacing w:before="70" w:line="226" w:lineRule="auto"/>
              <w:ind w:left="592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全债型</w:t>
            </w:r>
          </w:p>
        </w:tc>
        <w:tc>
          <w:tcPr>
            <w:tcW w:w="2159" w:type="dxa"/>
            <w:vAlign w:val="top"/>
          </w:tcPr>
          <w:p>
            <w:pPr>
              <w:spacing w:before="95" w:line="204" w:lineRule="auto"/>
              <w:ind w:left="90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1.41</w:t>
            </w:r>
          </w:p>
        </w:tc>
        <w:tc>
          <w:tcPr>
            <w:tcW w:w="2505" w:type="dxa"/>
            <w:vAlign w:val="top"/>
          </w:tcPr>
          <w:p>
            <w:pPr>
              <w:pStyle w:val="TableText"/>
              <w:spacing w:before="70" w:line="226" w:lineRule="auto"/>
              <w:ind w:left="363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万得债券型基金指数</w:t>
            </w:r>
          </w:p>
        </w:tc>
        <w:tc>
          <w:tcPr>
            <w:tcW w:w="1891" w:type="dxa"/>
            <w:vAlign w:val="top"/>
          </w:tcPr>
          <w:p>
            <w:pPr>
              <w:spacing w:before="95" w:line="204" w:lineRule="auto"/>
              <w:ind w:left="7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2.87</w:t>
            </w:r>
          </w:p>
        </w:tc>
      </w:tr>
      <w:tr>
        <w:tblPrEx>
          <w:tblW w:w="8319" w:type="dxa"/>
          <w:tblInd w:w="1223" w:type="dxa"/>
          <w:tblLayout w:type="fixed"/>
        </w:tblPrEx>
        <w:trPr>
          <w:trHeight w:val="313"/>
        </w:trPr>
        <w:tc>
          <w:tcPr>
            <w:tcW w:w="1764" w:type="dxa"/>
            <w:shd w:val="clear" w:color="auto" w:fill="F2F2F2"/>
            <w:vAlign w:val="top"/>
          </w:tcPr>
          <w:p>
            <w:pPr>
              <w:pStyle w:val="TableText"/>
              <w:spacing w:before="73" w:line="223" w:lineRule="auto"/>
              <w:ind w:left="301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类固定收益型</w:t>
            </w:r>
          </w:p>
        </w:tc>
        <w:tc>
          <w:tcPr>
            <w:tcW w:w="2159" w:type="dxa"/>
            <w:shd w:val="clear" w:color="auto" w:fill="F2F2F2"/>
            <w:vAlign w:val="top"/>
          </w:tcPr>
          <w:p>
            <w:pPr>
              <w:spacing w:before="101" w:line="204" w:lineRule="auto"/>
              <w:ind w:left="8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2.12</w:t>
            </w:r>
          </w:p>
        </w:tc>
        <w:tc>
          <w:tcPr>
            <w:tcW w:w="2505" w:type="dxa"/>
            <w:shd w:val="clear" w:color="auto" w:fill="F2F2F2"/>
            <w:vAlign w:val="top"/>
          </w:tcPr>
          <w:p>
            <w:pPr>
              <w:pStyle w:val="TableText"/>
              <w:spacing w:before="165" w:line="131" w:lineRule="exact"/>
              <w:ind w:left="1049"/>
              <w:rPr>
                <w:sz w:val="19"/>
                <w:szCs w:val="19"/>
              </w:rPr>
            </w:pPr>
            <w:r>
              <w:rPr>
                <w:spacing w:val="9"/>
                <w:position w:val="-3"/>
                <w:sz w:val="19"/>
                <w:szCs w:val="19"/>
              </w:rPr>
              <w:t>——</w:t>
            </w:r>
          </w:p>
        </w:tc>
        <w:tc>
          <w:tcPr>
            <w:tcW w:w="1891" w:type="dxa"/>
            <w:shd w:val="clear" w:color="auto" w:fill="F2F2F2"/>
            <w:vAlign w:val="top"/>
          </w:tcPr>
          <w:p>
            <w:pPr>
              <w:pStyle w:val="TableText"/>
              <w:spacing w:before="165" w:line="131" w:lineRule="exact"/>
              <w:ind w:left="743"/>
              <w:rPr>
                <w:sz w:val="19"/>
                <w:szCs w:val="19"/>
              </w:rPr>
            </w:pPr>
            <w:r>
              <w:rPr>
                <w:spacing w:val="9"/>
                <w:position w:val="-3"/>
                <w:sz w:val="19"/>
                <w:szCs w:val="19"/>
              </w:rPr>
              <w:t>——</w:t>
            </w:r>
          </w:p>
        </w:tc>
      </w:tr>
      <w:tr>
        <w:tblPrEx>
          <w:tblW w:w="8319" w:type="dxa"/>
          <w:tblInd w:w="1223" w:type="dxa"/>
          <w:tblLayout w:type="fixed"/>
        </w:tblPrEx>
        <w:trPr>
          <w:trHeight w:val="336"/>
        </w:trPr>
        <w:tc>
          <w:tcPr>
            <w:tcW w:w="176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6" w:line="234" w:lineRule="auto"/>
              <w:ind w:left="591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货币型</w:t>
            </w:r>
          </w:p>
        </w:tc>
        <w:tc>
          <w:tcPr>
            <w:tcW w:w="2159" w:type="dxa"/>
            <w:tcBorders>
              <w:bottom w:val="single" w:sz="10" w:space="0" w:color="000000"/>
            </w:tcBorders>
            <w:vAlign w:val="top"/>
          </w:tcPr>
          <w:p>
            <w:pPr>
              <w:spacing w:before="105" w:line="204" w:lineRule="auto"/>
              <w:ind w:left="90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1.96</w:t>
            </w:r>
          </w:p>
        </w:tc>
        <w:tc>
          <w:tcPr>
            <w:tcW w:w="2505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6" w:line="234" w:lineRule="auto"/>
              <w:ind w:left="265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万得货币市场基金指数</w:t>
            </w:r>
          </w:p>
        </w:tc>
        <w:tc>
          <w:tcPr>
            <w:tcW w:w="1891" w:type="dxa"/>
            <w:tcBorders>
              <w:bottom w:val="single" w:sz="10" w:space="0" w:color="000000"/>
            </w:tcBorders>
            <w:vAlign w:val="top"/>
          </w:tcPr>
          <w:p>
            <w:pPr>
              <w:spacing w:before="105" w:line="204" w:lineRule="auto"/>
              <w:ind w:left="76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"/>
                <w:sz w:val="19"/>
                <w:szCs w:val="19"/>
              </w:rPr>
              <w:t>1.91</w:t>
            </w:r>
          </w:p>
        </w:tc>
      </w:tr>
    </w:tbl>
    <w:p>
      <w:pPr>
        <w:pStyle w:val="BodyText"/>
        <w:spacing w:before="35" w:line="245" w:lineRule="exact"/>
        <w:ind w:left="1349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position w:val="1"/>
          <w:sz w:val="18"/>
          <w:szCs w:val="18"/>
        </w:rPr>
        <w:t>资料来源：大智慧大数据，</w:t>
      </w:r>
      <w:r>
        <w:rPr>
          <w:spacing w:val="-1"/>
          <w:position w:val="1"/>
          <w:sz w:val="18"/>
          <w:szCs w:val="18"/>
        </w:rPr>
        <w:t>Wind</w:t>
      </w:r>
      <w:r>
        <w:rPr>
          <w:rFonts w:ascii="KaiTi" w:eastAsia="KaiTi" w:hAnsi="KaiTi" w:cs="KaiTi"/>
          <w:spacing w:val="-1"/>
          <w:position w:val="1"/>
          <w:sz w:val="18"/>
          <w:szCs w:val="18"/>
        </w:rPr>
        <w:t>，华宝证券研究创新部</w:t>
      </w: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before="62" w:line="234" w:lineRule="auto"/>
        <w:ind w:left="1128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4"/>
          <w:sz w:val="19"/>
          <w:szCs w:val="19"/>
        </w:rPr>
        <w:t>图</w:t>
      </w:r>
      <w:r>
        <w:rPr>
          <w:rFonts w:ascii="KaiTi" w:eastAsia="KaiTi" w:hAnsi="KaiTi" w:cs="KaiTi"/>
          <w:spacing w:val="-22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1</w:t>
      </w:r>
      <w:r>
        <w:rPr>
          <w:spacing w:val="17"/>
          <w:w w:val="101"/>
          <w:sz w:val="19"/>
          <w:szCs w:val="19"/>
        </w:rPr>
        <w:t xml:space="preserve">   </w:t>
      </w:r>
      <w:r>
        <w:rPr>
          <w:rFonts w:ascii="KaiTi" w:eastAsia="KaiTi" w:hAnsi="KaiTi" w:cs="KaiTi"/>
          <w:spacing w:val="4"/>
          <w:sz w:val="19"/>
          <w:szCs w:val="19"/>
        </w:rPr>
        <w:t>投连险账户</w:t>
      </w:r>
      <w:r>
        <w:rPr>
          <w:rFonts w:ascii="KaiTi" w:eastAsia="KaiTi" w:hAnsi="KaiTi" w:cs="KaiTi"/>
          <w:spacing w:val="-38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 xml:space="preserve">2023 </w:t>
      </w:r>
      <w:r>
        <w:rPr>
          <w:rFonts w:ascii="KaiTi" w:eastAsia="KaiTi" w:hAnsi="KaiTi" w:cs="KaiTi"/>
          <w:spacing w:val="4"/>
          <w:sz w:val="19"/>
          <w:szCs w:val="19"/>
        </w:rPr>
        <w:t>年收益率情况</w:t>
      </w:r>
    </w:p>
    <w:p>
      <w:pPr>
        <w:spacing w:before="164" w:line="4125" w:lineRule="exact"/>
        <w:ind w:firstLine="1721"/>
      </w:pPr>
      <w:r>
        <w:rPr>
          <w:position w:val="-82"/>
        </w:rPr>
        <w:drawing>
          <wp:inline distT="0" distB="0" distL="0" distR="0">
            <wp:extent cx="4652009" cy="261937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52009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220" w:lineRule="auto"/>
        <w:ind w:left="111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资料来源：大智慧大数据，华宝证券研究创新部</w:t>
      </w:r>
    </w:p>
    <w:p>
      <w:pPr>
        <w:pStyle w:val="BodyText"/>
        <w:spacing w:line="335" w:lineRule="auto"/>
      </w:pPr>
    </w:p>
    <w:p>
      <w:pPr>
        <w:pStyle w:val="BodyText"/>
        <w:spacing w:line="335" w:lineRule="auto"/>
      </w:pPr>
    </w:p>
    <w:p>
      <w:pPr>
        <w:pStyle w:val="BodyText"/>
        <w:spacing w:before="98" w:line="791" w:lineRule="exact"/>
        <w:ind w:left="569"/>
        <w:rPr>
          <w:rFonts w:ascii="KaiTi" w:eastAsia="KaiTi" w:hAnsi="KaiTi" w:cs="KaiTi"/>
          <w:sz w:val="30"/>
          <w:szCs w:val="30"/>
        </w:rPr>
      </w:pPr>
      <w:r>
        <w:rPr>
          <w:b/>
          <w:bCs/>
          <w:spacing w:val="-3"/>
          <w:position w:val="37"/>
          <w:sz w:val="30"/>
          <w:szCs w:val="30"/>
        </w:rPr>
        <w:t>4.</w:t>
      </w:r>
      <w:r>
        <w:rPr>
          <w:b/>
          <w:bCs/>
          <w:spacing w:val="-21"/>
          <w:position w:val="37"/>
          <w:sz w:val="30"/>
          <w:szCs w:val="30"/>
        </w:rPr>
        <w:t xml:space="preserve"> </w:t>
      </w:r>
      <w:r>
        <w:rPr>
          <w:rFonts w:ascii="KaiTi" w:eastAsia="KaiTi" w:hAnsi="KaiTi" w:cs="KaiTi"/>
          <w:spacing w:val="-3"/>
          <w:position w:val="37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中国投连险账户市场表现分类点评</w:t>
      </w:r>
    </w:p>
    <w:p>
      <w:pPr>
        <w:pStyle w:val="BodyText"/>
        <w:spacing w:before="1" w:line="228" w:lineRule="auto"/>
        <w:ind w:left="569"/>
        <w:rPr>
          <w:rFonts w:ascii="KaiTi" w:eastAsia="KaiTi" w:hAnsi="KaiTi" w:cs="KaiTi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4.1.</w:t>
      </w: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指数型账户</w:t>
      </w:r>
    </w:p>
    <w:p>
      <w:pPr>
        <w:pStyle w:val="BodyText"/>
        <w:spacing w:before="306" w:line="253" w:lineRule="auto"/>
        <w:ind w:left="569" w:firstLine="441"/>
        <w:jc w:val="both"/>
        <w:rPr>
          <w:rFonts w:ascii="KaiTi" w:eastAsia="KaiTi" w:hAnsi="KaiTi" w:cs="KaiTi"/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2</w:t>
      </w:r>
      <w:r>
        <w:rPr>
          <w:b/>
          <w:bCs/>
          <w:spacing w:val="-2"/>
          <w:sz w:val="22"/>
          <w:szCs w:val="22"/>
        </w:rPr>
        <w:t xml:space="preserve">023 </w:t>
      </w:r>
      <w:r>
        <w:rPr>
          <w:rFonts w:ascii="KaiTi" w:eastAsia="KaiTi" w:hAnsi="KaiTi" w:cs="KaiTi"/>
          <w:spacing w:val="-2"/>
          <w:sz w:val="22"/>
          <w:szCs w:val="22"/>
          <w14:textOutline w14:w="4013" w14:cap="sq">
            <w14:solidFill>
              <w14:srgbClr w14:val="000000"/>
            </w14:solidFill>
            <w14:prstDash w14:val="solid"/>
            <w14:bevel/>
          </w14:textOutline>
        </w:rPr>
        <w:t>年，指数型账户的平均收益为</w:t>
      </w:r>
      <w:r>
        <w:rPr>
          <w:b/>
          <w:bCs/>
          <w:spacing w:val="-2"/>
          <w:sz w:val="22"/>
          <w:szCs w:val="22"/>
        </w:rPr>
        <w:t>-10.57%</w:t>
      </w:r>
      <w:r>
        <w:rPr>
          <w:rFonts w:ascii="KaiTi" w:eastAsia="KaiTi" w:hAnsi="KaiTi" w:cs="KaiTi"/>
          <w:spacing w:val="-2"/>
          <w:sz w:val="22"/>
          <w:szCs w:val="22"/>
          <w14:textOutline w14:w="4013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KaiTi" w:eastAsia="KaiTi" w:hAnsi="KaiTi" w:cs="KaiTi"/>
          <w:spacing w:val="-2"/>
          <w:sz w:val="22"/>
          <w:szCs w:val="22"/>
        </w:rPr>
        <w:t>根据华宝证券分类</w:t>
      </w:r>
      <w:r>
        <w:rPr>
          <w:rFonts w:ascii="KaiTi" w:eastAsia="KaiTi" w:hAnsi="KaiTi" w:cs="KaiTi"/>
          <w:spacing w:val="-3"/>
          <w:sz w:val="22"/>
          <w:szCs w:val="22"/>
        </w:rPr>
        <w:t>标准，目前共有</w:t>
      </w:r>
      <w:r>
        <w:rPr>
          <w:rFonts w:ascii="KaiTi" w:eastAsia="KaiTi" w:hAnsi="KaiTi" w:cs="KaiTi"/>
          <w:spacing w:val="-46"/>
          <w:sz w:val="22"/>
          <w:szCs w:val="22"/>
        </w:rPr>
        <w:t xml:space="preserve"> </w:t>
      </w:r>
      <w:r>
        <w:rPr>
          <w:spacing w:val="-3"/>
          <w:sz w:val="22"/>
          <w:szCs w:val="22"/>
        </w:rPr>
        <w:t xml:space="preserve">6 </w:t>
      </w:r>
      <w:r>
        <w:rPr>
          <w:rFonts w:ascii="KaiTi" w:eastAsia="KaiTi" w:hAnsi="KaiTi" w:cs="KaiTi"/>
          <w:spacing w:val="-3"/>
          <w:sz w:val="22"/>
          <w:szCs w:val="22"/>
        </w:rPr>
        <w:t>只指数型投</w:t>
      </w:r>
      <w:r>
        <w:rPr>
          <w:rFonts w:ascii="KaiTi" w:eastAsia="KaiTi" w:hAnsi="KaiTi" w:cs="KaiTi"/>
          <w:spacing w:val="-2"/>
          <w:sz w:val="22"/>
          <w:szCs w:val="22"/>
        </w:rPr>
        <w:t>连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z w:val="22"/>
          <w:szCs w:val="22"/>
        </w:rPr>
        <w:t>险账户纳入排名统计，年度平均累计收益率为</w:t>
      </w:r>
      <w:r>
        <w:rPr>
          <w:sz w:val="22"/>
          <w:szCs w:val="22"/>
        </w:rPr>
        <w:t>-</w:t>
      </w:r>
      <w:r>
        <w:rPr>
          <w:spacing w:val="-26"/>
          <w:sz w:val="22"/>
          <w:szCs w:val="22"/>
        </w:rPr>
        <w:t xml:space="preserve"> </w:t>
      </w:r>
      <w:r>
        <w:rPr>
          <w:sz w:val="22"/>
          <w:szCs w:val="22"/>
        </w:rPr>
        <w:t>10.57%</w:t>
      </w:r>
      <w:r>
        <w:rPr>
          <w:spacing w:val="-32"/>
          <w:sz w:val="22"/>
          <w:szCs w:val="22"/>
        </w:rPr>
        <w:t xml:space="preserve"> </w:t>
      </w:r>
      <w:r>
        <w:rPr>
          <w:rFonts w:ascii="KaiTi" w:eastAsia="KaiTi" w:hAnsi="KaiTi" w:cs="KaiTi"/>
          <w:sz w:val="22"/>
          <w:szCs w:val="22"/>
        </w:rPr>
        <w:t>。指数型投连险账户</w:t>
      </w:r>
      <w:r>
        <w:rPr>
          <w:rFonts w:ascii="KaiTi" w:eastAsia="KaiTi" w:hAnsi="KaiTi" w:cs="KaiTi"/>
          <w:spacing w:val="-48"/>
          <w:sz w:val="22"/>
          <w:szCs w:val="22"/>
        </w:rPr>
        <w:t xml:space="preserve"> </w:t>
      </w:r>
      <w:r>
        <w:rPr>
          <w:sz w:val="22"/>
          <w:szCs w:val="22"/>
        </w:rPr>
        <w:t xml:space="preserve">2023 </w:t>
      </w:r>
      <w:r>
        <w:rPr>
          <w:rFonts w:ascii="KaiTi" w:eastAsia="KaiTi" w:hAnsi="KaiTi" w:cs="KaiTi"/>
          <w:sz w:val="22"/>
          <w:szCs w:val="22"/>
        </w:rPr>
        <w:t>年收益位于股票指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z w:val="22"/>
          <w:szCs w:val="22"/>
        </w:rPr>
        <w:t>数型基金收益率排名的</w:t>
      </w:r>
      <w:r>
        <w:rPr>
          <w:sz w:val="22"/>
          <w:szCs w:val="22"/>
        </w:rPr>
        <w:t>[28.34%, 86.37%</w:t>
      </w:r>
      <w:r>
        <w:rPr>
          <w:spacing w:val="-1"/>
          <w:sz w:val="22"/>
          <w:szCs w:val="22"/>
        </w:rPr>
        <w:t>]</w:t>
      </w:r>
      <w:r>
        <w:rPr>
          <w:rFonts w:ascii="KaiTi" w:eastAsia="KaiTi" w:hAnsi="KaiTi" w:cs="KaiTi"/>
          <w:spacing w:val="-1"/>
          <w:sz w:val="22"/>
          <w:szCs w:val="22"/>
        </w:rPr>
        <w:t>分位数区间内。</w:t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  <w:sectPr>
          <w:headerReference w:type="default" r:id="rId24"/>
          <w:pgSz w:w="11906" w:h="16839"/>
          <w:pgMar w:top="400" w:right="1120" w:bottom="0" w:left="568" w:header="0" w:footer="0" w:gutter="0"/>
          <w:pgNumType w:start="16"/>
          <w:cols w:num="1" w:space="708" w:equalWidth="0">
            <w:col w:w="10217" w:space="0"/>
          </w:cols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ectPr>
          <w:headerReference w:type="default" r:id="rId25"/>
          <w:type w:val="nextPage"/>
          <w:pgSz w:w="11906" w:h="16839"/>
          <w:pgMar w:top="400" w:right="1120" w:bottom="0" w:left="568" w:header="0" w:footer="0" w:gutter="0"/>
          <w:pgNumType w:start="17"/>
          <w:cols w:num="1" w:space="708" w:equalWidth="0">
            <w:col w:w="10217" w:space="0"/>
          </w:cols>
          <w:titlePg w:val="0"/>
        </w:sectPr>
      </w:pPr>
    </w:p>
    <w:p>
      <w:pPr>
        <w:spacing w:before="49" w:line="222" w:lineRule="auto"/>
        <w:ind w:left="57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敬请参阅报告结尾处免责声明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48" w:line="246" w:lineRule="exact"/>
        <w:ind w:right="12"/>
        <w:jc w:val="right"/>
        <w:rPr>
          <w:sz w:val="18"/>
          <w:szCs w:val="18"/>
        </w:rPr>
      </w:pPr>
      <w:r>
        <w:rPr>
          <w:rFonts w:ascii="KaiTi" w:eastAsia="KaiTi" w:hAnsi="KaiTi" w:cs="KaiTi"/>
          <w:spacing w:val="-2"/>
          <w:position w:val="1"/>
          <w:sz w:val="18"/>
          <w:szCs w:val="18"/>
        </w:rPr>
        <w:t>华宝证券</w:t>
      </w:r>
      <w:r>
        <w:rPr>
          <w:rFonts w:ascii="KaiTi" w:eastAsia="KaiTi" w:hAnsi="KaiTi" w:cs="KaiTi"/>
          <w:spacing w:val="-2"/>
          <w:position w:val="1"/>
          <w:sz w:val="18"/>
          <w:szCs w:val="18"/>
        </w:rPr>
        <w:t xml:space="preserve">    </w:t>
      </w:r>
      <w:r>
        <w:rPr>
          <w:spacing w:val="-2"/>
          <w:position w:val="1"/>
          <w:sz w:val="18"/>
          <w:szCs w:val="18"/>
        </w:rPr>
        <w:t>4/14</w:t>
      </w:r>
    </w:p>
    <w:p>
      <w:pPr>
        <w:spacing w:line="246" w:lineRule="exact"/>
        <w:rPr>
          <w:sz w:val="18"/>
          <w:szCs w:val="18"/>
        </w:rPr>
        <w:sectPr>
          <w:headerReference w:type="default" r:id="rId26"/>
          <w:type w:val="continuous"/>
          <w:pgSz w:w="11906" w:h="16839"/>
          <w:pgMar w:top="400" w:right="1120" w:bottom="0" w:left="568" w:header="0" w:footer="0" w:gutter="0"/>
          <w:pgNumType w:start="18"/>
          <w:cols w:num="2" w:space="708" w:equalWidth="0">
            <w:col w:w="3071" w:space="100"/>
            <w:col w:w="7047" w:space="0"/>
          </w:cols>
        </w:sectPr>
      </w:pPr>
    </w:p>
    <w:p>
      <w:pPr>
        <w:pStyle w:val="BodyText"/>
        <w:spacing w:line="334" w:lineRule="auto"/>
      </w:pP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568959</wp:posOffset>
            </wp:positionH>
            <wp:positionV relativeFrom="page">
              <wp:posOffset>1060450</wp:posOffset>
            </wp:positionV>
            <wp:extent cx="3002279" cy="217614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02279" cy="2176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4024629</wp:posOffset>
            </wp:positionH>
            <wp:positionV relativeFrom="page">
              <wp:posOffset>1053464</wp:posOffset>
            </wp:positionV>
            <wp:extent cx="3002279" cy="218313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02279" cy="2183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361188</wp:posOffset>
            </wp:positionH>
            <wp:positionV relativeFrom="page">
              <wp:posOffset>330707</wp:posOffset>
            </wp:positionV>
            <wp:extent cx="4638802" cy="399288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38802" cy="399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98" w:lineRule="exact"/>
        <w:ind w:firstLine="7395"/>
      </w:pPr>
      <w:r>
        <w:rPr>
          <w:position w:val="-7"/>
        </w:rPr>
        <w:pict>
          <v:shape id="_x0000_i1041" type="#_x0000_t202" style="width:106.4pt;height:19.95pt;mso-position-horizontal-relative:char;mso-position-vertical-relative:line" filled="t" fillcolor="#af2135" stroked="f">
            <o:lock v:ext="edit" aspectratio="f"/>
            <v:textbox inset="0,0,0,0">
              <w:txbxContent>
                <w:p>
                  <w:pPr>
                    <w:spacing w:before="107" w:line="223" w:lineRule="auto"/>
                    <w:ind w:left="342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bookmarkStart w:id="19" w:name="bookmark39"/>
                  <w:bookmarkEnd w:id="19"/>
                  <w:bookmarkStart w:id="20" w:name="bookmark24"/>
                  <w:bookmarkEnd w:id="20"/>
                  <w:bookmarkStart w:id="21" w:name="bookmark25"/>
                  <w:bookmarkEnd w:id="21"/>
                  <w:r>
                    <w:rPr>
                      <w:rFonts w:ascii="KaiTi" w:eastAsia="KaiTi" w:hAnsi="KaiTi" w:cs="KaiTi"/>
                      <w:color w:val="FFFFFF"/>
                      <w:sz w:val="18"/>
                      <w:szCs w:val="18"/>
                      <w14:textOutline w14:w="3268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金融产品年度报告</w:t>
                  </w:r>
                </w:p>
              </w:txbxContent>
            </v:textbox>
            <w10:wrap type="none"/>
          </v:shape>
        </w:pict>
      </w:r>
    </w:p>
    <w:p>
      <w:pPr>
        <w:spacing w:line="220" w:lineRule="exact"/>
      </w:pPr>
    </w:p>
    <w:p>
      <w:pPr>
        <w:spacing w:line="220" w:lineRule="exact"/>
        <w:sectPr>
          <w:headerReference w:type="default" r:id="rId29"/>
          <w:footerReference w:type="default" r:id="rId30"/>
          <w:pgSz w:w="11906" w:h="16839"/>
          <w:pgMar w:top="400" w:right="646" w:bottom="807" w:left="568" w:header="0" w:footer="530" w:gutter="0"/>
          <w:pgNumType w:start="19"/>
          <w:cols w:num="1" w:space="708" w:equalWidth="0">
            <w:col w:w="10691" w:space="0"/>
          </w:cols>
        </w:sectPr>
      </w:pPr>
    </w:p>
    <w:p>
      <w:pPr>
        <w:pStyle w:val="BodyText"/>
        <w:spacing w:before="41" w:line="232" w:lineRule="auto"/>
        <w:ind w:left="111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8"/>
          <w:sz w:val="19"/>
          <w:szCs w:val="19"/>
        </w:rPr>
        <w:t>图</w:t>
      </w:r>
      <w:r>
        <w:rPr>
          <w:rFonts w:ascii="KaiTi" w:eastAsia="KaiTi" w:hAnsi="KaiTi" w:cs="KaiTi"/>
          <w:spacing w:val="-4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 xml:space="preserve">2   2023 </w:t>
      </w:r>
      <w:r>
        <w:rPr>
          <w:rFonts w:ascii="KaiTi" w:eastAsia="KaiTi" w:hAnsi="KaiTi" w:cs="KaiTi"/>
          <w:spacing w:val="8"/>
          <w:sz w:val="19"/>
          <w:szCs w:val="19"/>
        </w:rPr>
        <w:t>年指数型投连险账户与</w:t>
      </w:r>
      <w:r>
        <w:rPr>
          <w:rFonts w:ascii="KaiTi" w:eastAsia="KaiTi" w:hAnsi="KaiTi" w:cs="KaiTi"/>
          <w:spacing w:val="7"/>
          <w:sz w:val="19"/>
          <w:szCs w:val="19"/>
        </w:rPr>
        <w:t>股票指数型基金收益对比</w:t>
      </w:r>
    </w:p>
    <w:p>
      <w:pPr>
        <w:spacing w:before="2" w:line="3560" w:lineRule="exact"/>
        <w:ind w:firstLine="78"/>
      </w:pPr>
      <w:r>
        <w:rPr>
          <w:position w:val="-71"/>
        </w:rPr>
        <w:pict>
          <v:group id="_x0000_i1042" style="width:261.95pt;height:178.05pt;mso-position-horizontal-relative:char;mso-position-vertical-relative:line" coordorigin="0,0" coordsize="5239,3561" filled="f" stroked="f">
            <v:rect id="_x0000_s1043" style="width:5239;height:29;position:absolute;top:3531" filled="t" fillcolor="#c00" stroked="f"/>
            <v:rect id="_x0000_s1044" style="width:5239;height:29;position:absolute" filled="t" fillcolor="#c00" stroked="f"/>
            <w10:wrap type="none"/>
          </v:group>
        </w:pict>
      </w:r>
    </w:p>
    <w:p>
      <w:pPr>
        <w:pStyle w:val="BodyText"/>
        <w:spacing w:before="35" w:line="245" w:lineRule="exact"/>
        <w:ind w:left="9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position w:val="1"/>
          <w:sz w:val="18"/>
          <w:szCs w:val="18"/>
        </w:rPr>
        <w:t>资料来源：大智慧大数据，</w:t>
      </w:r>
      <w:r>
        <w:rPr>
          <w:spacing w:val="-1"/>
          <w:position w:val="1"/>
          <w:sz w:val="18"/>
          <w:szCs w:val="18"/>
        </w:rPr>
        <w:t>Wind</w:t>
      </w:r>
      <w:r>
        <w:rPr>
          <w:rFonts w:ascii="KaiTi" w:eastAsia="KaiTi" w:hAnsi="KaiTi" w:cs="KaiTi"/>
          <w:spacing w:val="-1"/>
          <w:position w:val="1"/>
          <w:sz w:val="18"/>
          <w:szCs w:val="18"/>
        </w:rPr>
        <w:t>，华宝证券研究创新部</w:t>
      </w:r>
    </w:p>
    <w:p>
      <w:pPr>
        <w:pStyle w:val="BodyText"/>
        <w:spacing w:before="66" w:line="273" w:lineRule="auto"/>
        <w:ind w:left="87" w:right="167" w:firstLine="7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1"/>
          <w:sz w:val="18"/>
          <w:szCs w:val="18"/>
        </w:rPr>
        <w:t>注：股票指数型基金是指</w:t>
      </w:r>
      <w:r>
        <w:rPr>
          <w:rFonts w:ascii="KaiTi" w:eastAsia="KaiTi" w:hAnsi="KaiTi" w:cs="KaiTi"/>
          <w:spacing w:val="-33"/>
          <w:sz w:val="18"/>
          <w:szCs w:val="18"/>
        </w:rPr>
        <w:t xml:space="preserve"> </w:t>
      </w:r>
      <w:r>
        <w:rPr>
          <w:sz w:val="18"/>
          <w:szCs w:val="18"/>
        </w:rPr>
        <w:t>Wind</w:t>
      </w:r>
      <w:r>
        <w:rPr>
          <w:spacing w:val="1"/>
          <w:sz w:val="18"/>
          <w:szCs w:val="18"/>
        </w:rPr>
        <w:t xml:space="preserve"> </w:t>
      </w:r>
      <w:r>
        <w:rPr>
          <w:rFonts w:ascii="KaiTi" w:eastAsia="KaiTi" w:hAnsi="KaiTi" w:cs="KaiTi"/>
          <w:spacing w:val="1"/>
          <w:sz w:val="18"/>
          <w:szCs w:val="18"/>
        </w:rPr>
        <w:t>二级分类为被动指数型股票基金和</w:t>
      </w:r>
      <w:r>
        <w:rPr>
          <w:rFonts w:ascii="KaiTi" w:eastAsia="KaiTi" w:hAnsi="KaiTi" w:cs="KaiTi"/>
          <w:sz w:val="18"/>
          <w:szCs w:val="18"/>
        </w:rPr>
        <w:t xml:space="preserve"> </w:t>
      </w:r>
      <w:r>
        <w:rPr>
          <w:rFonts w:ascii="KaiTi" w:eastAsia="KaiTi" w:hAnsi="KaiTi" w:cs="KaiTi"/>
          <w:spacing w:val="-1"/>
          <w:sz w:val="18"/>
          <w:szCs w:val="18"/>
        </w:rPr>
        <w:t>增强指数型股票基金的基金产品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0" w:line="234" w:lineRule="auto"/>
        <w:ind w:left="30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6"/>
          <w:sz w:val="19"/>
          <w:szCs w:val="19"/>
        </w:rPr>
        <w:t>图</w:t>
      </w:r>
      <w:r>
        <w:rPr>
          <w:rFonts w:ascii="KaiTi" w:eastAsia="KaiTi" w:hAnsi="KaiTi" w:cs="KaiTi"/>
          <w:spacing w:val="-3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3</w:t>
      </w:r>
      <w:r>
        <w:rPr>
          <w:spacing w:val="15"/>
          <w:w w:val="101"/>
          <w:sz w:val="19"/>
          <w:szCs w:val="19"/>
        </w:rPr>
        <w:t xml:space="preserve">   </w:t>
      </w:r>
      <w:r>
        <w:rPr>
          <w:spacing w:val="6"/>
          <w:sz w:val="19"/>
          <w:szCs w:val="19"/>
        </w:rPr>
        <w:t xml:space="preserve">2023 </w:t>
      </w:r>
      <w:r>
        <w:rPr>
          <w:rFonts w:ascii="KaiTi" w:eastAsia="KaiTi" w:hAnsi="KaiTi" w:cs="KaiTi"/>
          <w:spacing w:val="6"/>
          <w:sz w:val="19"/>
          <w:szCs w:val="19"/>
        </w:rPr>
        <w:t>年指数型投连险账户月度收益情况</w:t>
      </w:r>
    </w:p>
    <w:p>
      <w:pPr>
        <w:spacing w:line="3560" w:lineRule="exact"/>
      </w:pPr>
      <w:r>
        <w:rPr>
          <w:position w:val="-71"/>
        </w:rPr>
        <w:pict>
          <v:group id="_x0000_i1045" style="width:255.15pt;height:178.05pt;mso-position-horizontal-relative:char;mso-position-vertical-relative:line" coordorigin="0,0" coordsize="5102,3561" filled="f" stroked="f">
            <v:rect id="_x0000_s1046" style="width:5102;height:29;position:absolute;top:3531" filled="t" fillcolor="#c00" stroked="f"/>
            <v:rect id="_x0000_s1047" style="width:5102;height:29;position:absolute" filled="t" fillcolor="#c00" stroked="f"/>
            <w10:wrap type="none"/>
          </v:group>
        </w:pict>
      </w:r>
    </w:p>
    <w:p>
      <w:pPr>
        <w:pStyle w:val="BodyText"/>
        <w:spacing w:before="34" w:line="246" w:lineRule="exact"/>
        <w:ind w:left="1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position w:val="1"/>
          <w:sz w:val="18"/>
          <w:szCs w:val="18"/>
        </w:rPr>
        <w:t>资料来源：大智慧大数据，</w:t>
      </w:r>
      <w:r>
        <w:rPr>
          <w:spacing w:val="-1"/>
          <w:position w:val="1"/>
          <w:sz w:val="18"/>
          <w:szCs w:val="18"/>
        </w:rPr>
        <w:t>Wind</w:t>
      </w:r>
      <w:r>
        <w:rPr>
          <w:rFonts w:ascii="KaiTi" w:eastAsia="KaiTi" w:hAnsi="KaiTi" w:cs="KaiTi"/>
          <w:spacing w:val="-1"/>
          <w:position w:val="1"/>
          <w:sz w:val="18"/>
          <w:szCs w:val="18"/>
        </w:rPr>
        <w:t>，华宝证券研究创新部</w:t>
      </w:r>
    </w:p>
    <w:p>
      <w:pPr>
        <w:spacing w:line="246" w:lineRule="exact"/>
        <w:rPr>
          <w:rFonts w:ascii="KaiTi" w:eastAsia="KaiTi" w:hAnsi="KaiTi" w:cs="KaiTi"/>
          <w:sz w:val="18"/>
          <w:szCs w:val="18"/>
        </w:rPr>
        <w:sectPr>
          <w:headerReference w:type="default" r:id="rId31"/>
          <w:footerReference w:type="default" r:id="rId32"/>
          <w:type w:val="continuous"/>
          <w:pgSz w:w="11906" w:h="16839"/>
          <w:pgMar w:top="400" w:right="646" w:bottom="807" w:left="568" w:header="0" w:footer="530" w:gutter="0"/>
          <w:pgNumType w:start="20"/>
          <w:cols w:num="2" w:space="708" w:equalWidth="0">
            <w:col w:w="5489" w:space="100"/>
            <w:col w:w="5103" w:space="0"/>
          </w:cols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before="63" w:line="234" w:lineRule="auto"/>
        <w:ind w:left="307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7"/>
          <w:sz w:val="19"/>
          <w:szCs w:val="19"/>
        </w:rPr>
        <w:t>表</w:t>
      </w:r>
      <w:r>
        <w:rPr>
          <w:rFonts w:ascii="KaiTi" w:eastAsia="KaiTi" w:hAnsi="KaiTi" w:cs="KaiTi"/>
          <w:spacing w:val="-3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 xml:space="preserve">8    </w:t>
      </w:r>
      <w:r>
        <w:rPr>
          <w:rFonts w:ascii="KaiTi" w:eastAsia="KaiTi" w:hAnsi="KaiTi" w:cs="KaiTi"/>
          <w:spacing w:val="7"/>
          <w:sz w:val="19"/>
          <w:szCs w:val="19"/>
        </w:rPr>
        <w:t>指数型投连险账户</w:t>
      </w:r>
      <w:r>
        <w:rPr>
          <w:rFonts w:ascii="KaiTi" w:eastAsia="KaiTi" w:hAnsi="KaiTi" w:cs="KaiTi"/>
          <w:spacing w:val="-3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 xml:space="preserve">2023 </w:t>
      </w:r>
      <w:r>
        <w:rPr>
          <w:rFonts w:ascii="KaiTi" w:eastAsia="KaiTi" w:hAnsi="KaiTi" w:cs="KaiTi"/>
          <w:spacing w:val="7"/>
          <w:sz w:val="19"/>
          <w:szCs w:val="19"/>
        </w:rPr>
        <w:t>年累计收益率表现</w:t>
      </w:r>
    </w:p>
    <w:p>
      <w:pPr>
        <w:spacing w:line="14" w:lineRule="exact"/>
      </w:pPr>
    </w:p>
    <w:tbl>
      <w:tblPr>
        <w:tblStyle w:val="TableNormal7"/>
        <w:tblW w:w="10375" w:type="dxa"/>
        <w:tblInd w:w="196" w:type="dxa"/>
        <w:tblBorders>
          <w:top w:val="dotted" w:sz="2" w:space="0" w:color="808080"/>
          <w:left w:val="dotted" w:sz="2" w:space="0" w:color="808080"/>
          <w:bottom w:val="dotted" w:sz="2" w:space="0" w:color="808080"/>
          <w:right w:val="dotted" w:sz="2" w:space="0" w:color="808080"/>
          <w:insideH w:val="dotted" w:sz="2" w:space="0" w:color="808080"/>
          <w:insideV w:val="dotted" w:sz="2" w:space="0" w:color="808080"/>
        </w:tblBorders>
        <w:tblLayout w:type="fixed"/>
      </w:tblPr>
      <w:tblGrid>
        <w:gridCol w:w="3088"/>
        <w:gridCol w:w="1080"/>
        <w:gridCol w:w="851"/>
        <w:gridCol w:w="1107"/>
        <w:gridCol w:w="710"/>
        <w:gridCol w:w="1041"/>
        <w:gridCol w:w="708"/>
        <w:gridCol w:w="1790"/>
      </w:tblGrid>
      <w:tr>
        <w:tblPrEx>
          <w:tblW w:w="10375" w:type="dxa"/>
          <w:tblInd w:w="196" w:type="dxa"/>
          <w:tblBorders>
            <w:top w:val="dotted" w:sz="2" w:space="0" w:color="808080"/>
            <w:left w:val="dotted" w:sz="2" w:space="0" w:color="808080"/>
            <w:bottom w:val="dotted" w:sz="2" w:space="0" w:color="808080"/>
            <w:right w:val="dotted" w:sz="2" w:space="0" w:color="808080"/>
            <w:insideH w:val="dotted" w:sz="2" w:space="0" w:color="808080"/>
            <w:insideV w:val="dotted" w:sz="2" w:space="0" w:color="808080"/>
          </w:tblBorders>
          <w:tblLayout w:type="fixed"/>
        </w:tblPrEx>
        <w:trPr>
          <w:trHeight w:val="316"/>
        </w:trPr>
        <w:tc>
          <w:tcPr>
            <w:tcW w:w="3088" w:type="dxa"/>
            <w:vMerge w:val="restart"/>
            <w:tcBorders>
              <w:top w:val="single" w:sz="10" w:space="0" w:color="C00000"/>
              <w:left w:val="dotted" w:sz="2" w:space="0" w:color="C00000"/>
              <w:bottom w:val="nil"/>
              <w:right w:val="dotted" w:sz="2" w:space="0" w:color="C00000"/>
            </w:tcBorders>
            <w:vAlign w:val="top"/>
          </w:tcPr>
          <w:p>
            <w:pPr>
              <w:pStyle w:val="TableText"/>
              <w:spacing w:before="65" w:line="268" w:lineRule="auto"/>
              <w:ind w:left="956" w:right="339" w:hanging="610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数据截止日期：</w:t>
            </w:r>
            <w:r>
              <w:rPr>
                <w:rFonts w:ascii="Arial" w:eastAsia="Arial" w:hAnsi="Arial" w:cs="Arial"/>
                <w:b/>
                <w:bCs/>
                <w:spacing w:val="6"/>
                <w:sz w:val="19"/>
                <w:szCs w:val="19"/>
              </w:rPr>
              <w:t>2023/12/29</w:t>
            </w:r>
            <w:r>
              <w:rPr>
                <w:rFonts w:ascii="Arial" w:eastAsia="Arial" w:hAnsi="Arial" w:cs="Arial"/>
                <w:b/>
                <w:bCs/>
                <w:spacing w:val="13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华宝账户名称</w:t>
            </w:r>
          </w:p>
        </w:tc>
        <w:tc>
          <w:tcPr>
            <w:tcW w:w="1931" w:type="dxa"/>
            <w:gridSpan w:val="2"/>
            <w:tcBorders>
              <w:top w:val="single" w:sz="10" w:space="0" w:color="808080"/>
            </w:tcBorders>
            <w:vAlign w:val="top"/>
          </w:tcPr>
          <w:p>
            <w:pPr>
              <w:pStyle w:val="TableText"/>
              <w:spacing w:before="62" w:line="234" w:lineRule="auto"/>
              <w:ind w:left="620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spacing w:val="2"/>
                <w:sz w:val="19"/>
                <w:szCs w:val="19"/>
              </w:rPr>
              <w:t>2023</w:t>
            </w:r>
            <w:r>
              <w:rPr>
                <w:rFonts w:ascii="Arial" w:eastAsia="Arial" w:hAnsi="Arial" w:cs="Arial"/>
                <w:b/>
                <w:bCs/>
                <w:spacing w:val="11"/>
                <w:sz w:val="19"/>
                <w:szCs w:val="19"/>
              </w:rPr>
              <w:t xml:space="preserve"> </w:t>
            </w:r>
            <w:r>
              <w:rPr>
                <w:spacing w:val="2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817" w:type="dxa"/>
            <w:gridSpan w:val="2"/>
            <w:tcBorders>
              <w:top w:val="single" w:sz="10" w:space="0" w:color="808080"/>
            </w:tcBorders>
            <w:vAlign w:val="top"/>
          </w:tcPr>
          <w:p>
            <w:pPr>
              <w:pStyle w:val="TableText"/>
              <w:spacing w:before="62" w:line="231" w:lineRule="auto"/>
              <w:ind w:left="519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最近</w:t>
            </w:r>
            <w:r>
              <w:rPr>
                <w:spacing w:val="-4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b/>
                <w:bCs/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749" w:type="dxa"/>
            <w:gridSpan w:val="2"/>
            <w:tcBorders>
              <w:top w:val="single" w:sz="10" w:space="0" w:color="808080"/>
            </w:tcBorders>
            <w:vAlign w:val="top"/>
          </w:tcPr>
          <w:p>
            <w:pPr>
              <w:pStyle w:val="TableText"/>
              <w:spacing w:before="62" w:line="231" w:lineRule="auto"/>
              <w:ind w:left="485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最近</w:t>
            </w:r>
            <w:r>
              <w:rPr>
                <w:spacing w:val="-3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19"/>
                <w:szCs w:val="19"/>
              </w:rPr>
              <w:t xml:space="preserve">3 </w:t>
            </w:r>
            <w:r>
              <w:rPr>
                <w:spacing w:val="1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</w:p>
        </w:tc>
        <w:tc>
          <w:tcPr>
            <w:tcW w:w="1790" w:type="dxa"/>
            <w:vMerge w:val="restart"/>
            <w:tcBorders>
              <w:top w:val="single" w:sz="10" w:space="0" w:color="C00000"/>
              <w:bottom w:val="nil"/>
            </w:tcBorders>
            <w:vAlign w:val="top"/>
          </w:tcPr>
          <w:p>
            <w:pPr>
              <w:pStyle w:val="TableText"/>
              <w:spacing w:before="221" w:line="236" w:lineRule="auto"/>
              <w:ind w:left="695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公司</w:t>
            </w:r>
          </w:p>
        </w:tc>
      </w:tr>
      <w:tr>
        <w:tblPrEx>
          <w:tblW w:w="10375" w:type="dxa"/>
          <w:tblInd w:w="196" w:type="dxa"/>
          <w:tblLayout w:type="fixed"/>
        </w:tblPrEx>
        <w:trPr>
          <w:trHeight w:val="313"/>
        </w:trPr>
        <w:tc>
          <w:tcPr>
            <w:tcW w:w="3088" w:type="dxa"/>
            <w:vMerge/>
            <w:tcBorders>
              <w:top w:val="nil"/>
              <w:left w:val="dotted" w:sz="2" w:space="0" w:color="C00000"/>
              <w:bottom w:val="single" w:sz="4" w:space="0" w:color="C00000"/>
              <w:right w:val="dotted" w:sz="2" w:space="0" w:color="C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tcBorders>
              <w:bottom w:val="single" w:sz="4" w:space="0" w:color="808080"/>
            </w:tcBorders>
            <w:vAlign w:val="top"/>
          </w:tcPr>
          <w:p>
            <w:pPr>
              <w:pStyle w:val="TableText"/>
              <w:spacing w:before="58" w:line="238" w:lineRule="auto"/>
              <w:ind w:right="15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回报（</w:t>
            </w: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%</w:t>
            </w:r>
            <w:r>
              <w:rPr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851" w:type="dxa"/>
            <w:tcBorders>
              <w:bottom w:val="single" w:sz="4" w:space="0" w:color="808080"/>
            </w:tcBorders>
            <w:vAlign w:val="top"/>
          </w:tcPr>
          <w:p>
            <w:pPr>
              <w:pStyle w:val="TableText"/>
              <w:spacing w:before="58" w:line="232" w:lineRule="auto"/>
              <w:ind w:left="225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排名</w:t>
            </w:r>
          </w:p>
        </w:tc>
        <w:tc>
          <w:tcPr>
            <w:tcW w:w="1107" w:type="dxa"/>
            <w:tcBorders>
              <w:bottom w:val="single" w:sz="4" w:space="0" w:color="808080"/>
            </w:tcBorders>
            <w:vAlign w:val="top"/>
          </w:tcPr>
          <w:p>
            <w:pPr>
              <w:pStyle w:val="TableText"/>
              <w:spacing w:before="58" w:line="238" w:lineRule="auto"/>
              <w:ind w:left="13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回报（</w:t>
            </w:r>
            <w:r>
              <w:rPr>
                <w:rFonts w:ascii="Arial" w:eastAsia="Arial" w:hAnsi="Arial" w:cs="Arial"/>
                <w:b/>
                <w:bCs/>
                <w:spacing w:val="3"/>
                <w:sz w:val="19"/>
                <w:szCs w:val="19"/>
              </w:rPr>
              <w:t>%</w:t>
            </w:r>
            <w:r>
              <w:rPr>
                <w:spacing w:val="3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710" w:type="dxa"/>
            <w:tcBorders>
              <w:bottom w:val="single" w:sz="4" w:space="0" w:color="808080"/>
            </w:tcBorders>
            <w:vAlign w:val="top"/>
          </w:tcPr>
          <w:p>
            <w:pPr>
              <w:pStyle w:val="TableText"/>
              <w:spacing w:before="58" w:line="232" w:lineRule="auto"/>
              <w:ind w:left="156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排名</w:t>
            </w:r>
          </w:p>
        </w:tc>
        <w:tc>
          <w:tcPr>
            <w:tcW w:w="1041" w:type="dxa"/>
            <w:tcBorders>
              <w:bottom w:val="single" w:sz="4" w:space="0" w:color="808080"/>
            </w:tcBorders>
            <w:vAlign w:val="top"/>
          </w:tcPr>
          <w:p>
            <w:pPr>
              <w:pStyle w:val="TableText"/>
              <w:spacing w:before="58" w:line="238" w:lineRule="auto"/>
              <w:ind w:right="14"/>
              <w:jc w:val="right"/>
              <w:rPr>
                <w:sz w:val="19"/>
                <w:szCs w:val="19"/>
              </w:rPr>
            </w:pPr>
            <w:r>
              <w:rPr>
                <w:spacing w:val="-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回报（</w:t>
            </w:r>
            <w:r>
              <w:rPr>
                <w:rFonts w:ascii="Arial" w:eastAsia="Arial" w:hAnsi="Arial" w:cs="Arial"/>
                <w:b/>
                <w:bCs/>
                <w:spacing w:val="-8"/>
                <w:sz w:val="19"/>
                <w:szCs w:val="19"/>
              </w:rPr>
              <w:t>%</w:t>
            </w:r>
            <w:r>
              <w:rPr>
                <w:spacing w:val="-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</w:tc>
        <w:tc>
          <w:tcPr>
            <w:tcW w:w="708" w:type="dxa"/>
            <w:tcBorders>
              <w:bottom w:val="single" w:sz="4" w:space="0" w:color="808080"/>
            </w:tcBorders>
            <w:vAlign w:val="top"/>
          </w:tcPr>
          <w:p>
            <w:pPr>
              <w:pStyle w:val="TableText"/>
              <w:spacing w:before="58" w:line="232" w:lineRule="auto"/>
              <w:ind w:left="157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排名</w:t>
            </w:r>
          </w:p>
        </w:tc>
        <w:tc>
          <w:tcPr>
            <w:tcW w:w="1790" w:type="dxa"/>
            <w:vMerge/>
            <w:tcBorders>
              <w:top w:val="nil"/>
              <w:bottom w:val="single" w:sz="4" w:space="0" w:color="C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75" w:type="dxa"/>
          <w:tblInd w:w="196" w:type="dxa"/>
          <w:tblLayout w:type="fixed"/>
        </w:tblPrEx>
        <w:trPr>
          <w:trHeight w:val="314"/>
        </w:trPr>
        <w:tc>
          <w:tcPr>
            <w:tcW w:w="3088" w:type="dxa"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1" w:line="232" w:lineRule="auto"/>
              <w:ind w:left="671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同方全球指数加强型</w:t>
            </w:r>
          </w:p>
        </w:tc>
        <w:tc>
          <w:tcPr>
            <w:tcW w:w="1080" w:type="dxa"/>
            <w:tcBorders>
              <w:top w:val="single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spacing w:before="87" w:line="204" w:lineRule="auto"/>
              <w:ind w:left="3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-2.87</w:t>
            </w:r>
          </w:p>
        </w:tc>
        <w:tc>
          <w:tcPr>
            <w:tcW w:w="851" w:type="dxa"/>
            <w:tcBorders>
              <w:top w:val="single" w:sz="4" w:space="0" w:color="808080"/>
              <w:bottom w:val="dotted" w:sz="4" w:space="0" w:color="808080"/>
            </w:tcBorders>
            <w:shd w:val="clear" w:color="auto" w:fill="F2F2F2"/>
            <w:vAlign w:val="top"/>
          </w:tcPr>
          <w:p>
            <w:pPr>
              <w:spacing w:before="26" w:line="271" w:lineRule="exact"/>
              <w:ind w:left="3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1"/>
                <w:sz w:val="19"/>
                <w:szCs w:val="19"/>
              </w:rPr>
              <w:t>1/6</w:t>
            </w:r>
          </w:p>
        </w:tc>
        <w:tc>
          <w:tcPr>
            <w:tcW w:w="1107" w:type="dxa"/>
            <w:tcBorders>
              <w:top w:val="single" w:sz="4" w:space="0" w:color="808080"/>
              <w:bottom w:val="dotted" w:sz="4" w:space="0" w:color="808080"/>
            </w:tcBorders>
            <w:shd w:val="clear" w:color="auto" w:fill="F2F2F2"/>
            <w:vAlign w:val="top"/>
          </w:tcPr>
          <w:p>
            <w:pPr>
              <w:spacing w:before="87" w:line="204" w:lineRule="auto"/>
              <w:ind w:left="2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14.26</w:t>
            </w:r>
          </w:p>
        </w:tc>
        <w:tc>
          <w:tcPr>
            <w:tcW w:w="710" w:type="dxa"/>
            <w:tcBorders>
              <w:top w:val="single" w:sz="4" w:space="0" w:color="808080"/>
              <w:bottom w:val="dotted" w:sz="4" w:space="0" w:color="808080"/>
            </w:tcBorders>
            <w:shd w:val="clear" w:color="auto" w:fill="F2F2F2"/>
            <w:vAlign w:val="top"/>
          </w:tcPr>
          <w:p>
            <w:pPr>
              <w:spacing w:before="26" w:line="271" w:lineRule="exact"/>
              <w:ind w:left="2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1"/>
                <w:sz w:val="19"/>
                <w:szCs w:val="19"/>
              </w:rPr>
              <w:t>1/6</w:t>
            </w:r>
          </w:p>
        </w:tc>
        <w:tc>
          <w:tcPr>
            <w:tcW w:w="1041" w:type="dxa"/>
            <w:tcBorders>
              <w:top w:val="single" w:sz="4" w:space="0" w:color="808080"/>
              <w:bottom w:val="dotted" w:sz="4" w:space="0" w:color="808080"/>
            </w:tcBorders>
            <w:shd w:val="clear" w:color="auto" w:fill="F2F2F2"/>
            <w:vAlign w:val="top"/>
          </w:tcPr>
          <w:p>
            <w:pPr>
              <w:spacing w:before="87" w:line="204" w:lineRule="auto"/>
              <w:ind w:left="2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15.33</w:t>
            </w:r>
          </w:p>
        </w:tc>
        <w:tc>
          <w:tcPr>
            <w:tcW w:w="708" w:type="dxa"/>
            <w:tcBorders>
              <w:top w:val="single" w:sz="4" w:space="0" w:color="808080"/>
              <w:bottom w:val="dotted" w:sz="4" w:space="0" w:color="808080"/>
            </w:tcBorders>
            <w:shd w:val="clear" w:color="auto" w:fill="F2F2F2"/>
            <w:vAlign w:val="top"/>
          </w:tcPr>
          <w:p>
            <w:pPr>
              <w:spacing w:before="26" w:line="271" w:lineRule="exact"/>
              <w:ind w:left="2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1"/>
                <w:sz w:val="19"/>
                <w:szCs w:val="19"/>
              </w:rPr>
              <w:t>1/6</w:t>
            </w:r>
          </w:p>
        </w:tc>
        <w:tc>
          <w:tcPr>
            <w:tcW w:w="1790" w:type="dxa"/>
            <w:tcBorders>
              <w:top w:val="single" w:sz="4" w:space="0" w:color="808080"/>
              <w:bottom w:val="dotted" w:sz="4" w:space="0" w:color="808080"/>
            </w:tcBorders>
            <w:shd w:val="clear" w:color="auto" w:fill="F2F2F2"/>
            <w:vAlign w:val="top"/>
          </w:tcPr>
          <w:p>
            <w:pPr>
              <w:pStyle w:val="TableText"/>
              <w:spacing w:before="61" w:line="232" w:lineRule="auto"/>
              <w:ind w:left="522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同方全球</w:t>
            </w:r>
          </w:p>
        </w:tc>
      </w:tr>
      <w:tr>
        <w:tblPrEx>
          <w:tblW w:w="10375" w:type="dxa"/>
          <w:tblInd w:w="196" w:type="dxa"/>
          <w:tblLayout w:type="fixed"/>
        </w:tblPrEx>
        <w:trPr>
          <w:trHeight w:val="314"/>
        </w:trPr>
        <w:tc>
          <w:tcPr>
            <w:tcW w:w="3088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vAlign w:val="top"/>
          </w:tcPr>
          <w:p>
            <w:pPr>
              <w:pStyle w:val="TableText"/>
              <w:spacing w:before="64" w:line="233" w:lineRule="auto"/>
              <w:ind w:left="107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中英指数型</w:t>
            </w:r>
          </w:p>
        </w:tc>
        <w:tc>
          <w:tcPr>
            <w:tcW w:w="1080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vAlign w:val="top"/>
          </w:tcPr>
          <w:p>
            <w:pPr>
              <w:spacing w:before="92" w:line="204" w:lineRule="auto"/>
              <w:ind w:left="3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-5.30</w:t>
            </w:r>
          </w:p>
        </w:tc>
        <w:tc>
          <w:tcPr>
            <w:tcW w:w="851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30" w:line="272" w:lineRule="exact"/>
              <w:ind w:left="2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position w:val="1"/>
                <w:sz w:val="19"/>
                <w:szCs w:val="19"/>
              </w:rPr>
              <w:t>2/6</w:t>
            </w:r>
          </w:p>
        </w:tc>
        <w:tc>
          <w:tcPr>
            <w:tcW w:w="1107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92" w:line="204" w:lineRule="auto"/>
              <w:ind w:left="2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-20.64</w:t>
            </w:r>
          </w:p>
        </w:tc>
        <w:tc>
          <w:tcPr>
            <w:tcW w:w="710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30" w:line="272" w:lineRule="exact"/>
              <w:ind w:left="2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position w:val="1"/>
                <w:sz w:val="19"/>
                <w:szCs w:val="19"/>
              </w:rPr>
              <w:t>2/6</w:t>
            </w:r>
          </w:p>
        </w:tc>
        <w:tc>
          <w:tcPr>
            <w:tcW w:w="1041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92" w:line="204" w:lineRule="auto"/>
              <w:ind w:left="2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-21.96</w:t>
            </w:r>
          </w:p>
        </w:tc>
        <w:tc>
          <w:tcPr>
            <w:tcW w:w="708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30" w:line="272" w:lineRule="exact"/>
              <w:ind w:left="2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position w:val="1"/>
                <w:sz w:val="19"/>
                <w:szCs w:val="19"/>
              </w:rPr>
              <w:t>2/6</w:t>
            </w:r>
          </w:p>
        </w:tc>
        <w:tc>
          <w:tcPr>
            <w:tcW w:w="1790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pStyle w:val="TableText"/>
              <w:spacing w:before="64" w:line="233" w:lineRule="auto"/>
              <w:ind w:left="724"/>
              <w:rPr>
                <w:sz w:val="19"/>
                <w:szCs w:val="19"/>
              </w:rPr>
            </w:pPr>
            <w:r>
              <w:rPr>
                <w:spacing w:val="-7"/>
                <w:sz w:val="19"/>
                <w:szCs w:val="19"/>
              </w:rPr>
              <w:t>中英</w:t>
            </w:r>
          </w:p>
        </w:tc>
      </w:tr>
      <w:tr>
        <w:tblPrEx>
          <w:tblW w:w="10375" w:type="dxa"/>
          <w:tblInd w:w="196" w:type="dxa"/>
          <w:tblLayout w:type="fixed"/>
        </w:tblPrEx>
        <w:trPr>
          <w:trHeight w:val="314"/>
        </w:trPr>
        <w:tc>
          <w:tcPr>
            <w:tcW w:w="3088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9" w:line="228" w:lineRule="auto"/>
              <w:ind w:left="871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中英指数增强型</w:t>
            </w:r>
          </w:p>
        </w:tc>
        <w:tc>
          <w:tcPr>
            <w:tcW w:w="1080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spacing w:before="94" w:line="204" w:lineRule="auto"/>
              <w:ind w:left="3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-8.23</w:t>
            </w:r>
          </w:p>
        </w:tc>
        <w:tc>
          <w:tcPr>
            <w:tcW w:w="851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33" w:line="271" w:lineRule="exact"/>
              <w:ind w:left="2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3/6</w:t>
            </w:r>
          </w:p>
        </w:tc>
        <w:tc>
          <w:tcPr>
            <w:tcW w:w="1107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94" w:line="204" w:lineRule="auto"/>
              <w:ind w:left="2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-24.66</w:t>
            </w:r>
          </w:p>
        </w:tc>
        <w:tc>
          <w:tcPr>
            <w:tcW w:w="710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33" w:line="271" w:lineRule="exact"/>
              <w:ind w:left="2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3/6</w:t>
            </w:r>
          </w:p>
        </w:tc>
        <w:tc>
          <w:tcPr>
            <w:tcW w:w="1041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94" w:line="204" w:lineRule="auto"/>
              <w:ind w:left="2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-26.57</w:t>
            </w:r>
          </w:p>
        </w:tc>
        <w:tc>
          <w:tcPr>
            <w:tcW w:w="708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33" w:line="271" w:lineRule="exact"/>
              <w:ind w:left="22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3/6</w:t>
            </w:r>
          </w:p>
        </w:tc>
        <w:tc>
          <w:tcPr>
            <w:tcW w:w="1790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69" w:line="228" w:lineRule="auto"/>
              <w:ind w:left="724"/>
              <w:rPr>
                <w:sz w:val="19"/>
                <w:szCs w:val="19"/>
              </w:rPr>
            </w:pPr>
            <w:r>
              <w:rPr>
                <w:spacing w:val="-7"/>
                <w:sz w:val="19"/>
                <w:szCs w:val="19"/>
              </w:rPr>
              <w:t>中英</w:t>
            </w:r>
          </w:p>
        </w:tc>
      </w:tr>
      <w:tr>
        <w:tblPrEx>
          <w:tblW w:w="10375" w:type="dxa"/>
          <w:tblInd w:w="196" w:type="dxa"/>
          <w:tblLayout w:type="fixed"/>
        </w:tblPrEx>
        <w:trPr>
          <w:trHeight w:val="314"/>
        </w:trPr>
        <w:tc>
          <w:tcPr>
            <w:tcW w:w="3088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vAlign w:val="top"/>
          </w:tcPr>
          <w:p>
            <w:pPr>
              <w:pStyle w:val="TableText"/>
              <w:spacing w:before="71" w:line="226" w:lineRule="auto"/>
              <w:ind w:left="672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中德安联指数优势型</w:t>
            </w:r>
          </w:p>
        </w:tc>
        <w:tc>
          <w:tcPr>
            <w:tcW w:w="1080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vAlign w:val="top"/>
          </w:tcPr>
          <w:p>
            <w:pPr>
              <w:spacing w:before="96" w:line="204" w:lineRule="auto"/>
              <w:ind w:left="3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>-9.81</w:t>
            </w:r>
          </w:p>
        </w:tc>
        <w:tc>
          <w:tcPr>
            <w:tcW w:w="851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35" w:line="269" w:lineRule="exact"/>
              <w:ind w:left="2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position w:val="1"/>
                <w:sz w:val="19"/>
                <w:szCs w:val="19"/>
              </w:rPr>
              <w:t>4/6</w:t>
            </w:r>
          </w:p>
        </w:tc>
        <w:tc>
          <w:tcPr>
            <w:tcW w:w="1107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96" w:line="204" w:lineRule="auto"/>
              <w:ind w:left="2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-26.98</w:t>
            </w:r>
          </w:p>
        </w:tc>
        <w:tc>
          <w:tcPr>
            <w:tcW w:w="710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35" w:line="269" w:lineRule="exact"/>
              <w:ind w:left="2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position w:val="1"/>
                <w:sz w:val="19"/>
                <w:szCs w:val="19"/>
              </w:rPr>
              <w:t>4/6</w:t>
            </w:r>
          </w:p>
        </w:tc>
        <w:tc>
          <w:tcPr>
            <w:tcW w:w="1041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96" w:line="204" w:lineRule="auto"/>
              <w:ind w:left="2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-32.04</w:t>
            </w:r>
          </w:p>
        </w:tc>
        <w:tc>
          <w:tcPr>
            <w:tcW w:w="708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spacing w:before="35" w:line="269" w:lineRule="exact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position w:val="1"/>
                <w:sz w:val="19"/>
                <w:szCs w:val="19"/>
              </w:rPr>
              <w:t>4/6</w:t>
            </w:r>
          </w:p>
        </w:tc>
        <w:tc>
          <w:tcPr>
            <w:tcW w:w="1790" w:type="dxa"/>
            <w:tcBorders>
              <w:top w:val="dotted" w:sz="4" w:space="0" w:color="000000"/>
              <w:bottom w:val="dotted" w:sz="4" w:space="0" w:color="000000"/>
            </w:tcBorders>
            <w:vAlign w:val="top"/>
          </w:tcPr>
          <w:p>
            <w:pPr>
              <w:pStyle w:val="TableText"/>
              <w:spacing w:before="71" w:line="226" w:lineRule="auto"/>
              <w:ind w:left="523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中德安联</w:t>
            </w:r>
          </w:p>
        </w:tc>
      </w:tr>
      <w:tr>
        <w:tblPrEx>
          <w:tblW w:w="10375" w:type="dxa"/>
          <w:tblInd w:w="196" w:type="dxa"/>
          <w:tblLayout w:type="fixed"/>
        </w:tblPrEx>
        <w:trPr>
          <w:trHeight w:val="314"/>
        </w:trPr>
        <w:tc>
          <w:tcPr>
            <w:tcW w:w="3088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73" w:line="224" w:lineRule="auto"/>
              <w:ind w:left="849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建信指数成长型</w:t>
            </w:r>
          </w:p>
        </w:tc>
        <w:tc>
          <w:tcPr>
            <w:tcW w:w="1080" w:type="dxa"/>
            <w:tcBorders>
              <w:top w:val="dotted" w:sz="4" w:space="0" w:color="000000"/>
              <w:left w:val="dotted" w:sz="2" w:space="0" w:color="000000"/>
              <w:bottom w:val="dotted" w:sz="4" w:space="0" w:color="000000"/>
              <w:right w:val="dotted" w:sz="2" w:space="0" w:color="000000"/>
            </w:tcBorders>
            <w:shd w:val="clear" w:color="auto" w:fill="F2F2F2"/>
            <w:vAlign w:val="top"/>
          </w:tcPr>
          <w:p>
            <w:pPr>
              <w:spacing w:before="99" w:line="204" w:lineRule="auto"/>
              <w:ind w:left="2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17.67</w:t>
            </w:r>
          </w:p>
        </w:tc>
        <w:tc>
          <w:tcPr>
            <w:tcW w:w="851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38" w:line="266" w:lineRule="exact"/>
              <w:ind w:left="2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5/6</w:t>
            </w:r>
          </w:p>
        </w:tc>
        <w:tc>
          <w:tcPr>
            <w:tcW w:w="1107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99" w:line="204" w:lineRule="auto"/>
              <w:ind w:left="2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-38.51</w:t>
            </w:r>
          </w:p>
        </w:tc>
        <w:tc>
          <w:tcPr>
            <w:tcW w:w="710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38" w:line="266" w:lineRule="exact"/>
              <w:ind w:left="22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5/6</w:t>
            </w:r>
          </w:p>
        </w:tc>
        <w:tc>
          <w:tcPr>
            <w:tcW w:w="1041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99" w:line="204" w:lineRule="auto"/>
              <w:ind w:left="2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-36.41</w:t>
            </w:r>
          </w:p>
        </w:tc>
        <w:tc>
          <w:tcPr>
            <w:tcW w:w="708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spacing w:before="38" w:line="266" w:lineRule="exact"/>
              <w:ind w:left="22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5/6</w:t>
            </w:r>
          </w:p>
        </w:tc>
        <w:tc>
          <w:tcPr>
            <w:tcW w:w="1790" w:type="dxa"/>
            <w:tcBorders>
              <w:top w:val="dotted" w:sz="4" w:space="0" w:color="000000"/>
              <w:bottom w:val="dotted" w:sz="4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73" w:line="224" w:lineRule="auto"/>
              <w:ind w:left="50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建信人寿</w:t>
            </w:r>
          </w:p>
        </w:tc>
      </w:tr>
      <w:tr>
        <w:tblPrEx>
          <w:tblW w:w="10375" w:type="dxa"/>
          <w:tblInd w:w="196" w:type="dxa"/>
          <w:tblLayout w:type="fixed"/>
        </w:tblPrEx>
        <w:trPr>
          <w:trHeight w:val="335"/>
        </w:trPr>
        <w:tc>
          <w:tcPr>
            <w:tcW w:w="3088" w:type="dxa"/>
            <w:tcBorders>
              <w:top w:val="dotted" w:sz="4" w:space="0" w:color="000000"/>
              <w:left w:val="dotted" w:sz="2" w:space="0" w:color="000000"/>
              <w:bottom w:val="single" w:sz="10" w:space="0" w:color="000000"/>
              <w:right w:val="dotted" w:sz="2" w:space="0" w:color="000000"/>
            </w:tcBorders>
            <w:vAlign w:val="top"/>
          </w:tcPr>
          <w:p>
            <w:pPr>
              <w:pStyle w:val="TableText"/>
              <w:spacing w:before="75" w:line="236" w:lineRule="auto"/>
              <w:ind w:left="849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光大永明指数型</w:t>
            </w:r>
          </w:p>
        </w:tc>
        <w:tc>
          <w:tcPr>
            <w:tcW w:w="1080" w:type="dxa"/>
            <w:tcBorders>
              <w:top w:val="dotted" w:sz="4" w:space="0" w:color="000000"/>
              <w:left w:val="dotted" w:sz="2" w:space="0" w:color="000000"/>
              <w:bottom w:val="single" w:sz="10" w:space="0" w:color="000000"/>
              <w:right w:val="dotted" w:sz="2" w:space="0" w:color="000000"/>
            </w:tcBorders>
            <w:vAlign w:val="top"/>
          </w:tcPr>
          <w:p>
            <w:pPr>
              <w:spacing w:before="104" w:line="204" w:lineRule="auto"/>
              <w:ind w:left="2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19.53</w:t>
            </w:r>
          </w:p>
        </w:tc>
        <w:tc>
          <w:tcPr>
            <w:tcW w:w="851" w:type="dxa"/>
            <w:tcBorders>
              <w:top w:val="dotted" w:sz="4" w:space="0" w:color="808080"/>
              <w:bottom w:val="single" w:sz="10" w:space="0" w:color="808080"/>
            </w:tcBorders>
            <w:vAlign w:val="top"/>
          </w:tcPr>
          <w:p>
            <w:pPr>
              <w:spacing w:before="42" w:line="272" w:lineRule="exact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6/6</w:t>
            </w:r>
          </w:p>
        </w:tc>
        <w:tc>
          <w:tcPr>
            <w:tcW w:w="1107" w:type="dxa"/>
            <w:tcBorders>
              <w:top w:val="dotted" w:sz="4" w:space="0" w:color="808080"/>
              <w:bottom w:val="single" w:sz="10" w:space="0" w:color="808080"/>
            </w:tcBorders>
            <w:vAlign w:val="top"/>
          </w:tcPr>
          <w:p>
            <w:pPr>
              <w:spacing w:before="104" w:line="204" w:lineRule="auto"/>
              <w:ind w:left="2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-45.83</w:t>
            </w:r>
          </w:p>
        </w:tc>
        <w:tc>
          <w:tcPr>
            <w:tcW w:w="710" w:type="dxa"/>
            <w:tcBorders>
              <w:top w:val="dotted" w:sz="4" w:space="0" w:color="808080"/>
              <w:bottom w:val="single" w:sz="10" w:space="0" w:color="808080"/>
            </w:tcBorders>
            <w:vAlign w:val="top"/>
          </w:tcPr>
          <w:p>
            <w:pPr>
              <w:spacing w:before="42" w:line="272" w:lineRule="exact"/>
              <w:ind w:left="22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6/6</w:t>
            </w:r>
          </w:p>
        </w:tc>
        <w:tc>
          <w:tcPr>
            <w:tcW w:w="1041" w:type="dxa"/>
            <w:tcBorders>
              <w:top w:val="dotted" w:sz="4" w:space="0" w:color="808080"/>
              <w:bottom w:val="single" w:sz="10" w:space="0" w:color="808080"/>
            </w:tcBorders>
            <w:vAlign w:val="top"/>
          </w:tcPr>
          <w:p>
            <w:pPr>
              <w:spacing w:before="104" w:line="204" w:lineRule="auto"/>
              <w:ind w:left="2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-48.46</w:t>
            </w:r>
          </w:p>
        </w:tc>
        <w:tc>
          <w:tcPr>
            <w:tcW w:w="708" w:type="dxa"/>
            <w:tcBorders>
              <w:top w:val="dotted" w:sz="4" w:space="0" w:color="808080"/>
              <w:bottom w:val="single" w:sz="10" w:space="0" w:color="808080"/>
            </w:tcBorders>
            <w:vAlign w:val="top"/>
          </w:tcPr>
          <w:p>
            <w:pPr>
              <w:spacing w:before="42" w:line="272" w:lineRule="exact"/>
              <w:ind w:left="22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1"/>
                <w:sz w:val="19"/>
                <w:szCs w:val="19"/>
              </w:rPr>
              <w:t>6/6</w:t>
            </w:r>
          </w:p>
        </w:tc>
        <w:tc>
          <w:tcPr>
            <w:tcW w:w="1790" w:type="dxa"/>
            <w:tcBorders>
              <w:top w:val="dotted" w:sz="4" w:space="0" w:color="808080"/>
              <w:bottom w:val="single" w:sz="10" w:space="0" w:color="808080"/>
            </w:tcBorders>
            <w:vAlign w:val="top"/>
          </w:tcPr>
          <w:p>
            <w:pPr>
              <w:pStyle w:val="TableText"/>
              <w:spacing w:before="75" w:line="236" w:lineRule="auto"/>
              <w:ind w:left="50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光大永明</w:t>
            </w:r>
          </w:p>
        </w:tc>
      </w:tr>
    </w:tbl>
    <w:p>
      <w:pPr>
        <w:spacing w:before="68" w:line="220" w:lineRule="auto"/>
        <w:ind w:left="319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pacing w:val="-1"/>
          <w:sz w:val="18"/>
          <w:szCs w:val="18"/>
        </w:rPr>
        <w:t>资料来源：大智慧大数据，华宝证券研究创新部</w:t>
      </w:r>
    </w:p>
    <w:p>
      <w:pPr>
        <w:spacing w:before="98" w:line="220" w:lineRule="auto"/>
        <w:ind w:left="32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sz w:val="18"/>
          <w:szCs w:val="18"/>
        </w:rPr>
        <w:t>注：受数据可得性影响，收益率排序可能不</w:t>
      </w:r>
      <w:r>
        <w:rPr>
          <w:rFonts w:ascii="KaiTi" w:eastAsia="KaiTi" w:hAnsi="KaiTi" w:cs="KaiTi"/>
          <w:spacing w:val="-1"/>
          <w:sz w:val="18"/>
          <w:szCs w:val="18"/>
        </w:rPr>
        <w:t>客观，仅展示使用，不作为评价依据</w:t>
      </w: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pStyle w:val="BodyText"/>
        <w:spacing w:before="91" w:line="229" w:lineRule="auto"/>
        <w:ind w:left="569"/>
        <w:outlineLvl w:val="0"/>
        <w:rPr>
          <w:rFonts w:ascii="KaiTi" w:eastAsia="KaiTi" w:hAnsi="KaiTi" w:cs="KaiTi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4.2.</w:t>
      </w:r>
      <w:r>
        <w:rPr>
          <w:rFonts w:ascii="KaiTi" w:eastAsia="KaiTi" w:hAnsi="KaiTi" w:cs="KaiTi"/>
          <w:spacing w:val="-1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激进型账户</w:t>
      </w:r>
    </w:p>
    <w:p>
      <w:pPr>
        <w:pStyle w:val="BodyText"/>
        <w:spacing w:before="309" w:line="253" w:lineRule="auto"/>
        <w:ind w:left="574" w:right="468" w:firstLine="436"/>
        <w:jc w:val="both"/>
        <w:rPr>
          <w:rFonts w:ascii="KaiTi" w:eastAsia="KaiTi" w:hAnsi="KaiTi" w:cs="KaiTi"/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 xml:space="preserve">2023 </w:t>
      </w:r>
      <w:r>
        <w:rPr>
          <w:rFonts w:ascii="KaiTi" w:eastAsia="KaiTi" w:hAnsi="KaiTi" w:cs="KaiTi"/>
          <w:spacing w:val="-2"/>
          <w:sz w:val="22"/>
          <w:szCs w:val="22"/>
          <w14:textOutline w14:w="4013" w14:cap="sq">
            <w14:solidFill>
              <w14:srgbClr w14:val="000000"/>
            </w14:solidFill>
            <w14:prstDash w14:val="solid"/>
            <w14:bevel/>
          </w14:textOutline>
        </w:rPr>
        <w:t>年，激进型账户的平均收益为</w:t>
      </w:r>
      <w:r>
        <w:rPr>
          <w:b/>
          <w:bCs/>
          <w:spacing w:val="-2"/>
          <w:sz w:val="22"/>
          <w:szCs w:val="22"/>
        </w:rPr>
        <w:t>-10.19%</w:t>
      </w:r>
      <w:r>
        <w:rPr>
          <w:b/>
          <w:bCs/>
          <w:spacing w:val="-20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  <w14:textOutline w14:w="4013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KaiTi" w:eastAsia="KaiTi" w:hAnsi="KaiTi" w:cs="KaiTi"/>
          <w:spacing w:val="-2"/>
          <w:sz w:val="22"/>
          <w:szCs w:val="22"/>
        </w:rPr>
        <w:t>根据华宝证券的分类标准，</w:t>
      </w:r>
      <w:r>
        <w:rPr>
          <w:rFonts w:ascii="KaiTi" w:eastAsia="KaiTi" w:hAnsi="KaiTi" w:cs="KaiTi"/>
          <w:spacing w:val="-58"/>
          <w:sz w:val="22"/>
          <w:szCs w:val="22"/>
        </w:rPr>
        <w:t xml:space="preserve"> </w:t>
      </w:r>
      <w:r>
        <w:rPr>
          <w:rFonts w:ascii="KaiTi" w:eastAsia="KaiTi" w:hAnsi="KaiTi" w:cs="KaiTi"/>
          <w:spacing w:val="-2"/>
          <w:sz w:val="22"/>
          <w:szCs w:val="22"/>
        </w:rPr>
        <w:t>目前共有</w:t>
      </w:r>
      <w:r>
        <w:rPr>
          <w:rFonts w:ascii="KaiTi" w:eastAsia="KaiTi" w:hAnsi="KaiTi" w:cs="KaiTi"/>
          <w:spacing w:val="-52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 xml:space="preserve">46 </w:t>
      </w:r>
      <w:r>
        <w:rPr>
          <w:rFonts w:ascii="KaiTi" w:eastAsia="KaiTi" w:hAnsi="KaiTi" w:cs="KaiTi"/>
          <w:spacing w:val="-2"/>
          <w:sz w:val="22"/>
          <w:szCs w:val="22"/>
        </w:rPr>
        <w:t>只激进型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z w:val="22"/>
          <w:szCs w:val="22"/>
        </w:rPr>
        <w:t>投连险账户纳入统计，平均年度累计收益为</w:t>
      </w:r>
      <w:r>
        <w:rPr>
          <w:sz w:val="22"/>
          <w:szCs w:val="22"/>
        </w:rPr>
        <w:t>-</w:t>
      </w:r>
      <w:r>
        <w:rPr>
          <w:spacing w:val="-32"/>
          <w:sz w:val="22"/>
          <w:szCs w:val="22"/>
        </w:rPr>
        <w:t xml:space="preserve"> </w:t>
      </w:r>
      <w:r>
        <w:rPr>
          <w:sz w:val="22"/>
          <w:szCs w:val="22"/>
        </w:rPr>
        <w:t>10.19%</w:t>
      </w:r>
      <w:r>
        <w:rPr>
          <w:spacing w:val="-30"/>
          <w:sz w:val="22"/>
          <w:szCs w:val="22"/>
        </w:rPr>
        <w:t xml:space="preserve"> </w:t>
      </w:r>
      <w:r>
        <w:rPr>
          <w:rFonts w:ascii="KaiTi" w:eastAsia="KaiTi" w:hAnsi="KaiTi" w:cs="KaiTi"/>
          <w:sz w:val="22"/>
          <w:szCs w:val="22"/>
        </w:rPr>
        <w:t>。激进型投连险账户</w:t>
      </w:r>
      <w:r>
        <w:rPr>
          <w:rFonts w:ascii="KaiTi" w:eastAsia="KaiTi" w:hAnsi="KaiTi" w:cs="KaiTi"/>
          <w:spacing w:val="-49"/>
          <w:sz w:val="22"/>
          <w:szCs w:val="22"/>
        </w:rPr>
        <w:t xml:space="preserve"> </w:t>
      </w:r>
      <w:r>
        <w:rPr>
          <w:sz w:val="22"/>
          <w:szCs w:val="22"/>
        </w:rPr>
        <w:t xml:space="preserve">2023 </w:t>
      </w:r>
      <w:r>
        <w:rPr>
          <w:rFonts w:ascii="KaiTi" w:eastAsia="KaiTi" w:hAnsi="KaiTi" w:cs="KaiTi"/>
          <w:sz w:val="22"/>
          <w:szCs w:val="22"/>
        </w:rPr>
        <w:t>年收益位于普通股票</w:t>
      </w:r>
      <w:r>
        <w:rPr>
          <w:rFonts w:ascii="KaiTi" w:eastAsia="KaiTi" w:hAnsi="KaiTi" w:cs="KaiTi"/>
          <w:sz w:val="22"/>
          <w:szCs w:val="22"/>
        </w:rPr>
        <w:t xml:space="preserve"> </w:t>
      </w:r>
      <w:r>
        <w:rPr>
          <w:rFonts w:ascii="KaiTi" w:eastAsia="KaiTi" w:hAnsi="KaiTi" w:cs="KaiTi"/>
          <w:sz w:val="22"/>
          <w:szCs w:val="22"/>
        </w:rPr>
        <w:t>型基金收益率排名的</w:t>
      </w:r>
      <w:r>
        <w:rPr>
          <w:sz w:val="22"/>
          <w:szCs w:val="22"/>
        </w:rPr>
        <w:t>[5.33%, 91.</w:t>
      </w:r>
      <w:r>
        <w:rPr>
          <w:spacing w:val="-1"/>
          <w:sz w:val="22"/>
          <w:szCs w:val="22"/>
        </w:rPr>
        <w:t>71%]</w:t>
      </w:r>
      <w:r>
        <w:rPr>
          <w:rFonts w:ascii="KaiTi" w:eastAsia="KaiTi" w:hAnsi="KaiTi" w:cs="KaiTi"/>
          <w:spacing w:val="-1"/>
          <w:sz w:val="22"/>
          <w:szCs w:val="22"/>
        </w:rPr>
        <w:t>分位数区间内。</w:t>
      </w:r>
      <w:r>
        <w:rPr>
          <w:rFonts w:ascii="KaiTi" w:eastAsia="KaiTi" w:hAnsi="KaiTi" w:cs="KaiTi"/>
          <w:sz w:val="22"/>
          <w:szCs w:val="22"/>
        </w:rPr>
        <w:br/>
      </w:r>
      <w:r>
        <w:rPr>
          <w:rFonts w:ascii="KaiTi" w:eastAsia="KaiTi" w:hAnsi="KaiTi" w:cs="KaiTi"/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https://d.book118.com/688004063107006042</w:t>
        </w:r>
      </w:hyperlink>
    </w:p>
    <w:p>
      <w:pPr>
        <w:pStyle w:val="BodyText"/>
        <w:spacing w:before="309" w:line="253" w:lineRule="auto"/>
        <w:ind w:left="574" w:right="468" w:firstLine="436"/>
        <w:jc w:val="both"/>
        <w:rPr>
          <w:rFonts w:ascii="KaiTi" w:eastAsia="KaiTi" w:hAnsi="KaiTi" w:cs="KaiTi"/>
          <w:sz w:val="22"/>
          <w:szCs w:val="22"/>
        </w:rPr>
      </w:pPr>
    </w:p>
    <w:sectPr>
      <w:headerReference w:type="default" r:id="rId34"/>
      <w:footerReference w:type="default" r:id="rId35"/>
      <w:type w:val="continuous"/>
      <w:pgSz w:w="11906" w:h="16839"/>
      <w:pgMar w:top="400" w:right="646" w:bottom="807" w:left="568" w:header="0" w:footer="530" w:gutter="0"/>
      <w:pgNumType w:start="21"/>
      <w:cols w:num="1" w:space="708" w:equalWidth="0">
        <w:col w:w="10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6" w:lineRule="exact"/>
      <w:ind w:left="8786"/>
      <w:rPr>
        <w:sz w:val="18"/>
        <w:szCs w:val="18"/>
      </w:rPr>
    </w:pPr>
    <w:r>
      <w:rPr>
        <w:rFonts w:ascii="KaiTi" w:eastAsia="KaiTi" w:hAnsi="KaiTi" w:cs="KaiTi"/>
        <w:spacing w:val="-3"/>
        <w:position w:val="2"/>
        <w:sz w:val="18"/>
        <w:szCs w:val="18"/>
      </w:rPr>
      <w:t>华宝证券</w:t>
    </w:r>
    <w:r>
      <w:rPr>
        <w:rFonts w:ascii="KaiTi" w:eastAsia="KaiTi" w:hAnsi="KaiTi" w:cs="KaiTi"/>
        <w:spacing w:val="2"/>
        <w:position w:val="2"/>
        <w:sz w:val="18"/>
        <w:szCs w:val="18"/>
      </w:rPr>
      <w:t xml:space="preserve">    </w:t>
    </w:r>
    <w:r>
      <w:rPr>
        <w:spacing w:val="-3"/>
        <w:position w:val="2"/>
        <w:sz w:val="18"/>
        <w:szCs w:val="18"/>
      </w:rPr>
      <w:t>5/14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6" w:lineRule="exact"/>
      <w:ind w:left="8786"/>
      <w:rPr>
        <w:sz w:val="18"/>
        <w:szCs w:val="18"/>
      </w:rPr>
    </w:pPr>
    <w:r>
      <w:rPr>
        <w:rFonts w:ascii="KaiTi" w:eastAsia="KaiTi" w:hAnsi="KaiTi" w:cs="KaiTi"/>
        <w:spacing w:val="-3"/>
        <w:position w:val="2"/>
        <w:sz w:val="18"/>
        <w:szCs w:val="18"/>
      </w:rPr>
      <w:t>华宝证券</w:t>
    </w:r>
    <w:r>
      <w:rPr>
        <w:rFonts w:ascii="KaiTi" w:eastAsia="KaiTi" w:hAnsi="KaiTi" w:cs="KaiTi"/>
        <w:spacing w:val="2"/>
        <w:position w:val="2"/>
        <w:sz w:val="18"/>
        <w:szCs w:val="18"/>
      </w:rPr>
      <w:t xml:space="preserve">    </w:t>
    </w:r>
    <w:r>
      <w:rPr>
        <w:spacing w:val="-3"/>
        <w:position w:val="2"/>
        <w:sz w:val="18"/>
        <w:szCs w:val="18"/>
      </w:rPr>
      <w:t>5/14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66" w:lineRule="exact"/>
      <w:ind w:left="8786"/>
      <w:rPr>
        <w:sz w:val="18"/>
        <w:szCs w:val="18"/>
      </w:rPr>
    </w:pPr>
    <w:r>
      <w:rPr>
        <w:rFonts w:ascii="KaiTi" w:eastAsia="KaiTi" w:hAnsi="KaiTi" w:cs="KaiTi"/>
        <w:spacing w:val="-3"/>
        <w:position w:val="2"/>
        <w:sz w:val="18"/>
        <w:szCs w:val="18"/>
      </w:rPr>
      <w:t>华宝证券</w:t>
    </w:r>
    <w:r>
      <w:rPr>
        <w:rFonts w:ascii="KaiTi" w:eastAsia="KaiTi" w:hAnsi="KaiTi" w:cs="KaiTi"/>
        <w:spacing w:val="2"/>
        <w:position w:val="2"/>
        <w:sz w:val="18"/>
        <w:szCs w:val="18"/>
      </w:rPr>
      <w:t xml:space="preserve">    </w:t>
    </w:r>
    <w:r>
      <w:rPr>
        <w:spacing w:val="-3"/>
        <w:position w:val="2"/>
        <w:sz w:val="18"/>
        <w:szCs w:val="18"/>
      </w:rPr>
      <w:t>5/14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6.png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header" Target="header13.xml" /><Relationship Id="rId23" Type="http://schemas.openxmlformats.org/officeDocument/2006/relationships/image" Target="media/image7.jpeg" /><Relationship Id="rId24" Type="http://schemas.openxmlformats.org/officeDocument/2006/relationships/header" Target="header14.xml" /><Relationship Id="rId25" Type="http://schemas.openxmlformats.org/officeDocument/2006/relationships/header" Target="header15.xml" /><Relationship Id="rId26" Type="http://schemas.openxmlformats.org/officeDocument/2006/relationships/header" Target="header16.xml" /><Relationship Id="rId27" Type="http://schemas.openxmlformats.org/officeDocument/2006/relationships/image" Target="media/image8.jpeg" /><Relationship Id="rId28" Type="http://schemas.openxmlformats.org/officeDocument/2006/relationships/image" Target="media/image9.jpeg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footer" Target="footer1.xml" /><Relationship Id="rId31" Type="http://schemas.openxmlformats.org/officeDocument/2006/relationships/header" Target="header18.xml" /><Relationship Id="rId32" Type="http://schemas.openxmlformats.org/officeDocument/2006/relationships/footer" Target="footer2.xml" /><Relationship Id="rId33" Type="http://schemas.openxmlformats.org/officeDocument/2006/relationships/hyperlink" Target="https://d.book118.com/688004063107006042" TargetMode="External" /><Relationship Id="rId34" Type="http://schemas.openxmlformats.org/officeDocument/2006/relationships/header" Target="header19.xml" /><Relationship Id="rId35" Type="http://schemas.openxmlformats.org/officeDocument/2006/relationships/footer" Target="footer3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2024-03-05T19:32:23Z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2024-03-05T19:41:10Z</vt:filetime>
  </property>
  <property fmtid="{D5CDD505-2E9C-101B-9397-08002B2CF9AE}" pid="3" name="CRO">
    <vt:lpwstr>wqlLaW5nc29mdCBQREYgdG8gV1BTIDkw</vt:lpwstr>
  </property>
</Properties>
</file>