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1FA0">
      <w:pPr>
        <w:widowControl/>
        <w:jc w:val="left"/>
        <w:rPr>
          <w:rFonts w:ascii="仿宋" w:eastAsia="仿宋" w:hAnsi="仿宋"/>
          <w:b/>
          <w:sz w:val="40"/>
        </w:rPr>
      </w:pPr>
      <w:bookmarkStart w:id="0" w:name="_GoBack"/>
      <w:bookmarkEnd w:id="0"/>
    </w:p>
    <w:p w:rsidR="002F1FA0">
      <w:pPr>
        <w:widowControl/>
        <w:jc w:val="left"/>
        <w:rPr>
          <w:rFonts w:ascii="仿宋" w:eastAsia="仿宋" w:hAnsi="仿宋"/>
          <w:b/>
          <w:sz w:val="40"/>
        </w:rPr>
      </w:pPr>
    </w:p>
    <w:p w:rsidR="002F1FA0">
      <w:pPr>
        <w:widowControl/>
        <w:jc w:val="left"/>
        <w:rPr>
          <w:rFonts w:ascii="仿宋" w:eastAsia="仿宋" w:hAnsi="仿宋"/>
          <w:b/>
          <w:sz w:val="40"/>
        </w:rPr>
      </w:pPr>
    </w:p>
    <w:p w:rsidR="002F1FA0" w:rsidRPr="002F1FA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1FA0">
        <w:rPr>
          <w:rFonts w:ascii="宋体" w:eastAsia="宋体" w:hAnsi="宋体" w:hint="eastAsia"/>
          <w:b/>
          <w:sz w:val="60"/>
        </w:rPr>
        <w:t>微球载体材料投资回报分析报告</w:t>
      </w:r>
    </w:p>
    <w:p w:rsidR="002F1FA0" w:rsidP="002F1FA0">
      <w:pPr>
        <w:widowControl/>
        <w:jc w:val="center"/>
        <w:rPr>
          <w:rFonts w:ascii="仿宋" w:eastAsia="仿宋" w:hAnsi="仿宋" w:hint="eastAsia"/>
          <w:b/>
          <w:sz w:val="40"/>
        </w:rPr>
      </w:pPr>
      <w:r w:rsidRPr="002F1FA0">
        <w:rPr>
          <w:rFonts w:ascii="仿宋" w:eastAsia="仿宋" w:hAnsi="仿宋" w:hint="eastAsia"/>
          <w:b/>
          <w:sz w:val="40"/>
        </w:rPr>
        <w:t>目录</w:t>
      </w:r>
    </w:p>
    <w:p w:rsidR="002F1FA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_Toc160527107 \h </w:instrText>
      </w:r>
      <w:r>
        <w:rPr>
          <w:noProof/>
        </w:rPr>
        <w:fldChar w:fldCharType="separate"/>
      </w:r>
      <w:r>
        <w:rPr>
          <w:noProof/>
        </w:rPr>
        <w:t>3</w:t>
      </w:r>
      <w:r>
        <w:rPr>
          <w:noProof/>
        </w:rPr>
        <w:fldChar w:fldCharType="end"/>
      </w:r>
    </w:p>
    <w:p w:rsidR="002F1FA0">
      <w:pPr>
        <w:pStyle w:val="TOC1"/>
        <w:tabs>
          <w:tab w:val="right" w:leader="dot" w:pos="8296"/>
        </w:tabs>
        <w:rPr>
          <w:noProof/>
        </w:rPr>
      </w:pPr>
      <w:r>
        <w:rPr>
          <w:rFonts w:hint="eastAsia"/>
          <w:noProof/>
        </w:rPr>
        <w:t>一、微球载体材料项目人力资源管理方案</w:t>
      </w:r>
      <w:r>
        <w:rPr>
          <w:noProof/>
        </w:rPr>
        <w:tab/>
      </w:r>
      <w:r>
        <w:rPr>
          <w:noProof/>
        </w:rPr>
        <w:fldChar w:fldCharType="begin"/>
      </w:r>
      <w:r>
        <w:rPr>
          <w:noProof/>
        </w:rPr>
        <w:instrText xml:space="preserve"> PAGEREF _Toc160527108 \h </w:instrText>
      </w:r>
      <w:r>
        <w:rPr>
          <w:noProof/>
        </w:rPr>
        <w:fldChar w:fldCharType="separate"/>
      </w:r>
      <w:r>
        <w:rPr>
          <w:noProof/>
        </w:rPr>
        <w:t>3</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_Toc160527109 \h </w:instrText>
      </w:r>
      <w:r>
        <w:rPr>
          <w:noProof/>
        </w:rPr>
        <w:fldChar w:fldCharType="separate"/>
      </w:r>
      <w:r>
        <w:rPr>
          <w:noProof/>
        </w:rPr>
        <w:t>3</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_Toc160527110 \h </w:instrText>
      </w:r>
      <w:r>
        <w:rPr>
          <w:noProof/>
        </w:rPr>
        <w:fldChar w:fldCharType="separate"/>
      </w:r>
      <w:r>
        <w:rPr>
          <w:noProof/>
        </w:rPr>
        <w:t>6</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_Toc160527111 \h </w:instrText>
      </w:r>
      <w:r>
        <w:rPr>
          <w:noProof/>
        </w:rPr>
        <w:fldChar w:fldCharType="separate"/>
      </w:r>
      <w:r>
        <w:rPr>
          <w:noProof/>
        </w:rPr>
        <w:t>8</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_Toc160527112 \h </w:instrText>
      </w:r>
      <w:r>
        <w:rPr>
          <w:noProof/>
        </w:rPr>
        <w:fldChar w:fldCharType="separate"/>
      </w:r>
      <w:r>
        <w:rPr>
          <w:noProof/>
        </w:rPr>
        <w:t>9</w:t>
      </w:r>
      <w:r>
        <w:rPr>
          <w:noProof/>
        </w:rPr>
        <w:fldChar w:fldCharType="end"/>
      </w:r>
    </w:p>
    <w:p w:rsidR="002F1FA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_Toc160527113 \h </w:instrText>
      </w:r>
      <w:r>
        <w:rPr>
          <w:noProof/>
        </w:rPr>
        <w:fldChar w:fldCharType="separate"/>
      </w:r>
      <w:r>
        <w:rPr>
          <w:noProof/>
        </w:rPr>
        <w:t>13</w:t>
      </w:r>
      <w:r>
        <w:rPr>
          <w:noProof/>
        </w:rPr>
        <w:fldChar w:fldCharType="end"/>
      </w:r>
    </w:p>
    <w:p w:rsidR="002F1FA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_Toc160527114 \h </w:instrText>
      </w:r>
      <w:r>
        <w:rPr>
          <w:noProof/>
        </w:rPr>
        <w:fldChar w:fldCharType="separate"/>
      </w:r>
      <w:r>
        <w:rPr>
          <w:noProof/>
        </w:rPr>
        <w:t>15</w:t>
      </w:r>
      <w:r>
        <w:rPr>
          <w:noProof/>
        </w:rPr>
        <w:fldChar w:fldCharType="end"/>
      </w:r>
    </w:p>
    <w:p w:rsidR="002F1FA0">
      <w:pPr>
        <w:pStyle w:val="TOC1"/>
        <w:tabs>
          <w:tab w:val="right" w:leader="dot" w:pos="8296"/>
        </w:tabs>
        <w:rPr>
          <w:noProof/>
        </w:rPr>
      </w:pPr>
      <w:r>
        <w:rPr>
          <w:rFonts w:hint="eastAsia"/>
          <w:noProof/>
        </w:rPr>
        <w:t>二、微球载体材料项目风险管理方案</w:t>
      </w:r>
      <w:r>
        <w:rPr>
          <w:noProof/>
        </w:rPr>
        <w:tab/>
      </w:r>
      <w:r>
        <w:rPr>
          <w:noProof/>
        </w:rPr>
        <w:fldChar w:fldCharType="begin"/>
      </w:r>
      <w:r>
        <w:rPr>
          <w:noProof/>
        </w:rPr>
        <w:instrText xml:space="preserve"> PAGEREF _Toc160527115 \h </w:instrText>
      </w:r>
      <w:r>
        <w:rPr>
          <w:noProof/>
        </w:rPr>
        <w:fldChar w:fldCharType="separate"/>
      </w:r>
      <w:r>
        <w:rPr>
          <w:noProof/>
        </w:rPr>
        <w:t>17</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_Toc160527116 \h </w:instrText>
      </w:r>
      <w:r>
        <w:rPr>
          <w:noProof/>
        </w:rPr>
        <w:fldChar w:fldCharType="separate"/>
      </w:r>
      <w:r>
        <w:rPr>
          <w:noProof/>
        </w:rPr>
        <w:t>17</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_Toc160527117 \h </w:instrText>
      </w:r>
      <w:r>
        <w:rPr>
          <w:noProof/>
        </w:rPr>
        <w:fldChar w:fldCharType="separate"/>
      </w:r>
      <w:r>
        <w:rPr>
          <w:noProof/>
        </w:rPr>
        <w:t>19</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_Toc160527118 \h </w:instrText>
      </w:r>
      <w:r>
        <w:rPr>
          <w:noProof/>
        </w:rPr>
        <w:fldChar w:fldCharType="separate"/>
      </w:r>
      <w:r>
        <w:rPr>
          <w:noProof/>
        </w:rPr>
        <w:t>21</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_Toc160527119 \h </w:instrText>
      </w:r>
      <w:r>
        <w:rPr>
          <w:noProof/>
        </w:rPr>
        <w:fldChar w:fldCharType="separate"/>
      </w:r>
      <w:r>
        <w:rPr>
          <w:noProof/>
        </w:rPr>
        <w:t>23</w:t>
      </w:r>
      <w:r>
        <w:rPr>
          <w:noProof/>
        </w:rPr>
        <w:fldChar w:fldCharType="end"/>
      </w:r>
    </w:p>
    <w:p w:rsidR="002F1FA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_Toc160527120 \h </w:instrText>
      </w:r>
      <w:r>
        <w:rPr>
          <w:noProof/>
        </w:rPr>
        <w:fldChar w:fldCharType="separate"/>
      </w:r>
      <w:r>
        <w:rPr>
          <w:noProof/>
        </w:rPr>
        <w:t>25</w:t>
      </w:r>
      <w:r>
        <w:rPr>
          <w:noProof/>
        </w:rPr>
        <w:fldChar w:fldCharType="end"/>
      </w:r>
    </w:p>
    <w:p w:rsidR="002F1FA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_Toc160527121 \h </w:instrText>
      </w:r>
      <w:r>
        <w:rPr>
          <w:noProof/>
        </w:rPr>
        <w:fldChar w:fldCharType="separate"/>
      </w:r>
      <w:r>
        <w:rPr>
          <w:noProof/>
        </w:rPr>
        <w:t>28</w:t>
      </w:r>
      <w:r>
        <w:rPr>
          <w:noProof/>
        </w:rPr>
        <w:fldChar w:fldCharType="end"/>
      </w:r>
    </w:p>
    <w:p w:rsidR="002F1FA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_Toc160527122 \h </w:instrText>
      </w:r>
      <w:r>
        <w:rPr>
          <w:noProof/>
        </w:rPr>
        <w:fldChar w:fldCharType="separate"/>
      </w:r>
      <w:r>
        <w:rPr>
          <w:noProof/>
        </w:rPr>
        <w:t>30</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_Toc160527123 \h </w:instrText>
      </w:r>
      <w:r>
        <w:rPr>
          <w:noProof/>
        </w:rPr>
        <w:fldChar w:fldCharType="separate"/>
      </w:r>
      <w:r>
        <w:rPr>
          <w:noProof/>
        </w:rPr>
        <w:t>30</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_Toc160527124 \h </w:instrText>
      </w:r>
      <w:r>
        <w:rPr>
          <w:noProof/>
        </w:rPr>
        <w:fldChar w:fldCharType="separate"/>
      </w:r>
      <w:r>
        <w:rPr>
          <w:noProof/>
        </w:rPr>
        <w:t>31</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_Toc160527125 \h </w:instrText>
      </w:r>
      <w:r>
        <w:rPr>
          <w:noProof/>
        </w:rPr>
        <w:fldChar w:fldCharType="separate"/>
      </w:r>
      <w:r>
        <w:rPr>
          <w:noProof/>
        </w:rPr>
        <w:t>33</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_Toc160527126 \h </w:instrText>
      </w:r>
      <w:r>
        <w:rPr>
          <w:noProof/>
        </w:rPr>
        <w:fldChar w:fldCharType="separate"/>
      </w:r>
      <w:r>
        <w:rPr>
          <w:noProof/>
        </w:rPr>
        <w:t>34</w:t>
      </w:r>
      <w:r>
        <w:rPr>
          <w:noProof/>
        </w:rPr>
        <w:fldChar w:fldCharType="end"/>
      </w:r>
    </w:p>
    <w:p w:rsidR="002F1FA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_Toc160527127 \h </w:instrText>
      </w:r>
      <w:r>
        <w:rPr>
          <w:noProof/>
        </w:rPr>
        <w:fldChar w:fldCharType="separate"/>
      </w:r>
      <w:r>
        <w:rPr>
          <w:noProof/>
        </w:rPr>
        <w:t>36</w:t>
      </w:r>
      <w:r>
        <w:rPr>
          <w:noProof/>
        </w:rPr>
        <w:fldChar w:fldCharType="end"/>
      </w:r>
    </w:p>
    <w:p w:rsidR="002F1FA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_Toc160527128 \h </w:instrText>
      </w:r>
      <w:r>
        <w:rPr>
          <w:noProof/>
        </w:rPr>
        <w:fldChar w:fldCharType="separate"/>
      </w:r>
      <w:r>
        <w:rPr>
          <w:noProof/>
        </w:rPr>
        <w:t>37</w:t>
      </w:r>
      <w:r>
        <w:rPr>
          <w:noProof/>
        </w:rPr>
        <w:fldChar w:fldCharType="end"/>
      </w:r>
    </w:p>
    <w:p w:rsidR="002F1FA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_Toc160527129 \h </w:instrText>
      </w:r>
      <w:r>
        <w:rPr>
          <w:noProof/>
        </w:rPr>
        <w:fldChar w:fldCharType="separate"/>
      </w:r>
      <w:r>
        <w:rPr>
          <w:noProof/>
        </w:rPr>
        <w:t>38</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_Toc160527130 \h </w:instrText>
      </w:r>
      <w:r>
        <w:rPr>
          <w:noProof/>
        </w:rPr>
        <w:fldChar w:fldCharType="separate"/>
      </w:r>
      <w:r>
        <w:rPr>
          <w:noProof/>
        </w:rPr>
        <w:t>38</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_Toc160527131 \h </w:instrText>
      </w:r>
      <w:r>
        <w:rPr>
          <w:noProof/>
        </w:rPr>
        <w:fldChar w:fldCharType="separate"/>
      </w:r>
      <w:r>
        <w:rPr>
          <w:noProof/>
        </w:rPr>
        <w:t>41</w:t>
      </w:r>
      <w:r>
        <w:rPr>
          <w:noProof/>
        </w:rPr>
        <w:fldChar w:fldCharType="end"/>
      </w:r>
    </w:p>
    <w:p w:rsidR="002F1FA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_Toc160527132 \h </w:instrText>
      </w:r>
      <w:r>
        <w:rPr>
          <w:noProof/>
        </w:rPr>
        <w:fldChar w:fldCharType="separate"/>
      </w:r>
      <w:r>
        <w:rPr>
          <w:noProof/>
        </w:rPr>
        <w:t>43</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_Toc160527133 \h </w:instrText>
      </w:r>
      <w:r>
        <w:rPr>
          <w:noProof/>
        </w:rPr>
        <w:fldChar w:fldCharType="separate"/>
      </w:r>
      <w:r>
        <w:rPr>
          <w:noProof/>
        </w:rPr>
        <w:t>43</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_Toc160527134 \h </w:instrText>
      </w:r>
      <w:r>
        <w:rPr>
          <w:noProof/>
        </w:rPr>
        <w:fldChar w:fldCharType="separate"/>
      </w:r>
      <w:r>
        <w:rPr>
          <w:noProof/>
        </w:rPr>
        <w:t>45</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、微球载体材料项目工艺技术设计方案</w:t>
      </w:r>
      <w:r>
        <w:rPr>
          <w:noProof/>
        </w:rPr>
        <w:tab/>
      </w:r>
      <w:r>
        <w:rPr>
          <w:noProof/>
        </w:rPr>
        <w:fldChar w:fldCharType="begin"/>
      </w:r>
      <w:r>
        <w:rPr>
          <w:noProof/>
        </w:rPr>
        <w:instrText xml:space="preserve"> PAGEREF _Toc160527135 \h </w:instrText>
      </w:r>
      <w:r>
        <w:rPr>
          <w:noProof/>
        </w:rPr>
        <w:fldChar w:fldCharType="separate"/>
      </w:r>
      <w:r>
        <w:rPr>
          <w:noProof/>
        </w:rPr>
        <w:t>46</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_Toc160527136 \h </w:instrText>
      </w:r>
      <w:r>
        <w:rPr>
          <w:noProof/>
        </w:rPr>
        <w:fldChar w:fldCharType="separate"/>
      </w:r>
      <w:r>
        <w:rPr>
          <w:noProof/>
        </w:rPr>
        <w:t>47</w:t>
      </w:r>
      <w:r>
        <w:rPr>
          <w:noProof/>
        </w:rPr>
        <w:fldChar w:fldCharType="end"/>
      </w:r>
    </w:p>
    <w:p w:rsidR="002F1FA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_Toc160527137 \h </w:instrText>
      </w:r>
      <w:r>
        <w:rPr>
          <w:noProof/>
        </w:rPr>
        <w:fldChar w:fldCharType="separate"/>
      </w:r>
      <w:r>
        <w:rPr>
          <w:noProof/>
        </w:rPr>
        <w:t>48</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_Toc160527138 \h </w:instrText>
      </w:r>
      <w:r>
        <w:rPr>
          <w:noProof/>
        </w:rPr>
        <w:fldChar w:fldCharType="separate"/>
      </w:r>
      <w:r>
        <w:rPr>
          <w:noProof/>
        </w:rPr>
        <w:t>48</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_Toc160527139 \h </w:instrText>
      </w:r>
      <w:r>
        <w:rPr>
          <w:noProof/>
        </w:rPr>
        <w:fldChar w:fldCharType="separate"/>
      </w:r>
      <w:r>
        <w:rPr>
          <w:noProof/>
        </w:rPr>
        <w:t>49</w:t>
      </w:r>
      <w:r>
        <w:rPr>
          <w:noProof/>
        </w:rPr>
        <w:fldChar w:fldCharType="end"/>
      </w:r>
    </w:p>
    <w:p w:rsidR="002F1FA0">
      <w:pPr>
        <w:pStyle w:val="TOC1"/>
        <w:tabs>
          <w:tab w:val="right" w:leader="dot" w:pos="8296"/>
        </w:tabs>
        <w:rPr>
          <w:noProof/>
        </w:rPr>
      </w:pPr>
      <w:r>
        <w:rPr>
          <w:rFonts w:hint="eastAsia"/>
          <w:noProof/>
        </w:rPr>
        <w:t>七、微球载体材料项目概要与评估</w:t>
      </w:r>
      <w:r>
        <w:rPr>
          <w:noProof/>
        </w:rPr>
        <w:tab/>
      </w:r>
      <w:r>
        <w:rPr>
          <w:noProof/>
        </w:rPr>
        <w:fldChar w:fldCharType="begin"/>
      </w:r>
      <w:r>
        <w:rPr>
          <w:noProof/>
        </w:rPr>
        <w:instrText xml:space="preserve"> PAGEREF _Toc160527140 \h </w:instrText>
      </w:r>
      <w:r>
        <w:rPr>
          <w:noProof/>
        </w:rPr>
        <w:fldChar w:fldCharType="separate"/>
      </w:r>
      <w:r>
        <w:rPr>
          <w:noProof/>
        </w:rPr>
        <w:t>50</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、微球载体材料项目主办方综述</w:t>
      </w:r>
      <w:r>
        <w:rPr>
          <w:noProof/>
        </w:rPr>
        <w:tab/>
      </w:r>
      <w:r>
        <w:rPr>
          <w:noProof/>
        </w:rPr>
        <w:fldChar w:fldCharType="begin"/>
      </w:r>
      <w:r>
        <w:rPr>
          <w:noProof/>
        </w:rPr>
        <w:instrText xml:space="preserve"> PAGEREF _Toc160527141 \h </w:instrText>
      </w:r>
      <w:r>
        <w:rPr>
          <w:noProof/>
        </w:rPr>
        <w:fldChar w:fldCharType="separate"/>
      </w:r>
      <w:r>
        <w:rPr>
          <w:noProof/>
        </w:rPr>
        <w:t>50</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、微球载体材料项目整体情况概述</w:t>
      </w:r>
      <w:r>
        <w:rPr>
          <w:noProof/>
        </w:rPr>
        <w:tab/>
      </w:r>
      <w:r>
        <w:rPr>
          <w:noProof/>
        </w:rPr>
        <w:fldChar w:fldCharType="begin"/>
      </w:r>
      <w:r>
        <w:rPr>
          <w:noProof/>
        </w:rPr>
        <w:instrText xml:space="preserve"> PAGEREF _Toc160527142 \h </w:instrText>
      </w:r>
      <w:r>
        <w:rPr>
          <w:noProof/>
        </w:rPr>
        <w:fldChar w:fldCharType="separate"/>
      </w:r>
      <w:r>
        <w:rPr>
          <w:noProof/>
        </w:rPr>
        <w:t>52</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、微球载体材料项目评估及展望</w:t>
      </w:r>
      <w:r>
        <w:rPr>
          <w:noProof/>
        </w:rPr>
        <w:tab/>
      </w:r>
      <w:r>
        <w:rPr>
          <w:noProof/>
        </w:rPr>
        <w:fldChar w:fldCharType="begin"/>
      </w:r>
      <w:r>
        <w:rPr>
          <w:noProof/>
        </w:rPr>
        <w:instrText xml:space="preserve"> PAGEREF _Toc160527143 \h </w:instrText>
      </w:r>
      <w:r>
        <w:rPr>
          <w:noProof/>
        </w:rPr>
        <w:fldChar w:fldCharType="separate"/>
      </w:r>
      <w:r>
        <w:rPr>
          <w:noProof/>
        </w:rPr>
        <w:t>55</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_Toc160527144 \h </w:instrText>
      </w:r>
      <w:r>
        <w:rPr>
          <w:noProof/>
        </w:rPr>
        <w:fldChar w:fldCharType="separate"/>
      </w:r>
      <w:r>
        <w:rPr>
          <w:noProof/>
        </w:rPr>
        <w:t>57</w:t>
      </w:r>
      <w:r>
        <w:rPr>
          <w:noProof/>
        </w:rPr>
        <w:fldChar w:fldCharType="end"/>
      </w:r>
    </w:p>
    <w:p w:rsidR="002F1FA0">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_Toc160527145 \h </w:instrText>
      </w:r>
      <w:r>
        <w:rPr>
          <w:noProof/>
        </w:rPr>
        <w:fldChar w:fldCharType="separate"/>
      </w:r>
      <w:r>
        <w:rPr>
          <w:noProof/>
        </w:rPr>
        <w:t>58</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、微球载体材料项目选址原则</w:t>
      </w:r>
      <w:r>
        <w:rPr>
          <w:noProof/>
        </w:rPr>
        <w:tab/>
      </w:r>
      <w:r>
        <w:rPr>
          <w:noProof/>
        </w:rPr>
        <w:fldChar w:fldCharType="begin"/>
      </w:r>
      <w:r>
        <w:rPr>
          <w:noProof/>
        </w:rPr>
        <w:instrText xml:space="preserve"> PAGEREF _Toc160527146 \h </w:instrText>
      </w:r>
      <w:r>
        <w:rPr>
          <w:noProof/>
        </w:rPr>
        <w:fldChar w:fldCharType="separate"/>
      </w:r>
      <w:r>
        <w:rPr>
          <w:noProof/>
        </w:rPr>
        <w:t>58</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、微球载体材料项目选址</w:t>
      </w:r>
      <w:r>
        <w:rPr>
          <w:noProof/>
        </w:rPr>
        <w:tab/>
      </w:r>
      <w:r>
        <w:rPr>
          <w:noProof/>
        </w:rPr>
        <w:fldChar w:fldCharType="begin"/>
      </w:r>
      <w:r>
        <w:rPr>
          <w:noProof/>
        </w:rPr>
        <w:instrText xml:space="preserve"> PAGEREF _Toc160527147 \h </w:instrText>
      </w:r>
      <w:r>
        <w:rPr>
          <w:noProof/>
        </w:rPr>
        <w:fldChar w:fldCharType="separate"/>
      </w:r>
      <w:r>
        <w:rPr>
          <w:noProof/>
        </w:rPr>
        <w:t>60</w:t>
      </w:r>
      <w:r>
        <w:rPr>
          <w:noProof/>
        </w:rPr>
        <w:fldChar w:fldCharType="end"/>
      </w:r>
    </w:p>
    <w:p w:rsidR="002F1FA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_Toc160527148 \h </w:instrText>
      </w:r>
      <w:r>
        <w:rPr>
          <w:noProof/>
        </w:rPr>
        <w:fldChar w:fldCharType="separate"/>
      </w:r>
      <w:r>
        <w:rPr>
          <w:noProof/>
        </w:rPr>
        <w:t>61</w:t>
      </w:r>
      <w:r>
        <w:rPr>
          <w:noProof/>
        </w:rPr>
        <w:fldChar w:fldCharType="end"/>
      </w:r>
    </w:p>
    <w:p w:rsidR="002F1FA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_Toc160527149 \h </w:instrText>
      </w:r>
      <w:r>
        <w:rPr>
          <w:noProof/>
        </w:rPr>
        <w:fldChar w:fldCharType="separate"/>
      </w:r>
      <w:r>
        <w:rPr>
          <w:noProof/>
        </w:rPr>
        <w:t>63</w:t>
      </w:r>
      <w:r>
        <w:rPr>
          <w:noProof/>
        </w:rPr>
        <w:fldChar w:fldCharType="end"/>
      </w:r>
    </w:p>
    <w:p w:rsidR="002F1FA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_Toc160527150 \h </w:instrText>
      </w:r>
      <w:r>
        <w:rPr>
          <w:noProof/>
        </w:rPr>
        <w:fldChar w:fldCharType="separate"/>
      </w:r>
      <w:r>
        <w:rPr>
          <w:noProof/>
        </w:rPr>
        <w:t>64</w:t>
      </w:r>
      <w:r>
        <w:rPr>
          <w:noProof/>
        </w:rPr>
        <w:fldChar w:fldCharType="end"/>
      </w:r>
    </w:p>
    <w:p w:rsidR="002F1FA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_Toc160527151 \h </w:instrText>
      </w:r>
      <w:r>
        <w:rPr>
          <w:noProof/>
        </w:rPr>
        <w:fldChar w:fldCharType="separate"/>
      </w:r>
      <w:r>
        <w:rPr>
          <w:noProof/>
        </w:rPr>
        <w:t>65</w:t>
      </w:r>
      <w:r>
        <w:rPr>
          <w:noProof/>
        </w:rPr>
        <w:fldChar w:fldCharType="end"/>
      </w:r>
    </w:p>
    <w:p w:rsidR="002F1FA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_Toc160527152 \h </w:instrText>
      </w:r>
      <w:r>
        <w:rPr>
          <w:noProof/>
        </w:rPr>
        <w:fldChar w:fldCharType="separate"/>
      </w:r>
      <w:r>
        <w:rPr>
          <w:noProof/>
        </w:rPr>
        <w:t>67</w:t>
      </w:r>
      <w:r>
        <w:rPr>
          <w:noProof/>
        </w:rPr>
        <w:fldChar w:fldCharType="end"/>
      </w:r>
    </w:p>
    <w:p w:rsidR="002F1FA0">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_Toc160527153 \h </w:instrText>
      </w:r>
      <w:r>
        <w:rPr>
          <w:noProof/>
        </w:rPr>
        <w:fldChar w:fldCharType="separate"/>
      </w:r>
      <w:r>
        <w:rPr>
          <w:noProof/>
        </w:rPr>
        <w:t>69</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_Toc160527154 \h </w:instrText>
      </w:r>
      <w:r>
        <w:rPr>
          <w:noProof/>
        </w:rPr>
        <w:fldChar w:fldCharType="separate"/>
      </w:r>
      <w:r>
        <w:rPr>
          <w:noProof/>
        </w:rPr>
        <w:t>69</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_Toc160527155 \h </w:instrText>
      </w:r>
      <w:r>
        <w:rPr>
          <w:noProof/>
        </w:rPr>
        <w:fldChar w:fldCharType="separate"/>
      </w:r>
      <w:r>
        <w:rPr>
          <w:noProof/>
        </w:rPr>
        <w:t>70</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_Toc160527156 \h </w:instrText>
      </w:r>
      <w:r>
        <w:rPr>
          <w:noProof/>
        </w:rPr>
        <w:fldChar w:fldCharType="separate"/>
      </w:r>
      <w:r>
        <w:rPr>
          <w:noProof/>
        </w:rPr>
        <w:t>72</w:t>
      </w:r>
      <w:r>
        <w:rPr>
          <w:noProof/>
        </w:rPr>
        <w:fldChar w:fldCharType="end"/>
      </w:r>
    </w:p>
    <w:p w:rsidR="002F1FA0">
      <w:pPr>
        <w:pStyle w:val="TOC1"/>
        <w:tabs>
          <w:tab w:val="right" w:leader="dot" w:pos="8296"/>
        </w:tabs>
        <w:rPr>
          <w:noProof/>
        </w:rPr>
      </w:pPr>
      <w:r>
        <w:rPr>
          <w:rFonts w:hint="eastAsia"/>
          <w:noProof/>
        </w:rPr>
        <w:t>十、微球载体材料项目执行风险与应对策略</w:t>
      </w:r>
      <w:r>
        <w:rPr>
          <w:noProof/>
        </w:rPr>
        <w:tab/>
      </w:r>
      <w:r>
        <w:rPr>
          <w:noProof/>
        </w:rPr>
        <w:fldChar w:fldCharType="begin"/>
      </w:r>
      <w:r>
        <w:rPr>
          <w:noProof/>
        </w:rPr>
        <w:instrText xml:space="preserve"> PAGEREF _Toc160527157 \h </w:instrText>
      </w:r>
      <w:r>
        <w:rPr>
          <w:noProof/>
        </w:rPr>
        <w:fldChar w:fldCharType="separate"/>
      </w:r>
      <w:r>
        <w:rPr>
          <w:noProof/>
        </w:rPr>
        <w:t>73</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、微球载体材料项目执行风险识别</w:t>
      </w:r>
      <w:r>
        <w:rPr>
          <w:noProof/>
        </w:rPr>
        <w:tab/>
      </w:r>
      <w:r>
        <w:rPr>
          <w:noProof/>
        </w:rPr>
        <w:fldChar w:fldCharType="begin"/>
      </w:r>
      <w:r>
        <w:rPr>
          <w:noProof/>
        </w:rPr>
        <w:instrText xml:space="preserve"> PAGEREF _Toc160527158 \h </w:instrText>
      </w:r>
      <w:r>
        <w:rPr>
          <w:noProof/>
        </w:rPr>
        <w:fldChar w:fldCharType="separate"/>
      </w:r>
      <w:r>
        <w:rPr>
          <w:noProof/>
        </w:rPr>
        <w:t>73</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_Toc160527159 \h </w:instrText>
      </w:r>
      <w:r>
        <w:rPr>
          <w:noProof/>
        </w:rPr>
        <w:fldChar w:fldCharType="separate"/>
      </w:r>
      <w:r>
        <w:rPr>
          <w:noProof/>
        </w:rPr>
        <w:t>75</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_Toc160527160 \h </w:instrText>
      </w:r>
      <w:r>
        <w:rPr>
          <w:noProof/>
        </w:rPr>
        <w:fldChar w:fldCharType="separate"/>
      </w:r>
      <w:r>
        <w:rPr>
          <w:noProof/>
        </w:rPr>
        <w:t>76</w:t>
      </w:r>
      <w:r>
        <w:rPr>
          <w:noProof/>
        </w:rPr>
        <w:fldChar w:fldCharType="end"/>
      </w:r>
    </w:p>
    <w:p w:rsidR="002F1FA0">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_Toc160527161 \h </w:instrText>
      </w:r>
      <w:r>
        <w:rPr>
          <w:noProof/>
        </w:rPr>
        <w:fldChar w:fldCharType="separate"/>
      </w:r>
      <w:r>
        <w:rPr>
          <w:noProof/>
        </w:rPr>
        <w:t>77</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_Toc160527162 \h </w:instrText>
      </w:r>
      <w:r>
        <w:rPr>
          <w:noProof/>
        </w:rPr>
        <w:fldChar w:fldCharType="separate"/>
      </w:r>
      <w:r>
        <w:rPr>
          <w:noProof/>
        </w:rPr>
        <w:t>77</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_Toc160527163 \h </w:instrText>
      </w:r>
      <w:r>
        <w:rPr>
          <w:noProof/>
        </w:rPr>
        <w:fldChar w:fldCharType="separate"/>
      </w:r>
      <w:r>
        <w:rPr>
          <w:noProof/>
        </w:rPr>
        <w:t>79</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_Toc160527164 \h </w:instrText>
      </w:r>
      <w:r>
        <w:rPr>
          <w:noProof/>
        </w:rPr>
        <w:fldChar w:fldCharType="separate"/>
      </w:r>
      <w:r>
        <w:rPr>
          <w:noProof/>
        </w:rPr>
        <w:t>80</w:t>
      </w:r>
      <w:r>
        <w:rPr>
          <w:noProof/>
        </w:rPr>
        <w:fldChar w:fldCharType="end"/>
      </w:r>
    </w:p>
    <w:p w:rsidR="002F1FA0">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_Toc160527165 \h </w:instrText>
      </w:r>
      <w:r>
        <w:rPr>
          <w:noProof/>
        </w:rPr>
        <w:fldChar w:fldCharType="separate"/>
      </w:r>
      <w:r>
        <w:rPr>
          <w:noProof/>
        </w:rPr>
        <w:t>81</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_Toc160527166 \h </w:instrText>
      </w:r>
      <w:r>
        <w:rPr>
          <w:noProof/>
        </w:rPr>
        <w:fldChar w:fldCharType="separate"/>
      </w:r>
      <w:r>
        <w:rPr>
          <w:noProof/>
        </w:rPr>
        <w:t>81</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_Toc160527167 \h </w:instrText>
      </w:r>
      <w:r>
        <w:rPr>
          <w:noProof/>
        </w:rPr>
        <w:fldChar w:fldCharType="separate"/>
      </w:r>
      <w:r>
        <w:rPr>
          <w:noProof/>
        </w:rPr>
        <w:t>84</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_Toc160527168 \h </w:instrText>
      </w:r>
      <w:r>
        <w:rPr>
          <w:noProof/>
        </w:rPr>
        <w:fldChar w:fldCharType="separate"/>
      </w:r>
      <w:r>
        <w:rPr>
          <w:noProof/>
        </w:rPr>
        <w:t>86</w:t>
      </w:r>
      <w:r>
        <w:rPr>
          <w:noProof/>
        </w:rPr>
        <w:fldChar w:fldCharType="end"/>
      </w:r>
    </w:p>
    <w:p w:rsidR="002F1FA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_Toc160527169 \h </w:instrText>
      </w:r>
      <w:r>
        <w:rPr>
          <w:noProof/>
        </w:rPr>
        <w:fldChar w:fldCharType="separate"/>
      </w:r>
      <w:r>
        <w:rPr>
          <w:noProof/>
        </w:rPr>
        <w:t>88</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_Toc160527170 \h </w:instrText>
      </w:r>
      <w:r>
        <w:rPr>
          <w:noProof/>
        </w:rPr>
        <w:fldChar w:fldCharType="separate"/>
      </w:r>
      <w:r>
        <w:rPr>
          <w:noProof/>
        </w:rPr>
        <w:t>88</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、微球载体材料项目合规性评估</w:t>
      </w:r>
      <w:r>
        <w:rPr>
          <w:noProof/>
        </w:rPr>
        <w:tab/>
      </w:r>
      <w:r>
        <w:rPr>
          <w:noProof/>
        </w:rPr>
        <w:fldChar w:fldCharType="begin"/>
      </w:r>
      <w:r>
        <w:rPr>
          <w:noProof/>
        </w:rPr>
        <w:instrText xml:space="preserve"> PAGEREF _Toc160527171 \h </w:instrText>
      </w:r>
      <w:r>
        <w:rPr>
          <w:noProof/>
        </w:rPr>
        <w:fldChar w:fldCharType="separate"/>
      </w:r>
      <w:r>
        <w:rPr>
          <w:noProof/>
        </w:rPr>
        <w:t>89</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_Toc160527172 \h </w:instrText>
      </w:r>
      <w:r>
        <w:rPr>
          <w:noProof/>
        </w:rPr>
        <w:fldChar w:fldCharType="separate"/>
      </w:r>
      <w:r>
        <w:rPr>
          <w:noProof/>
        </w:rPr>
        <w:t>90</w:t>
      </w:r>
      <w:r>
        <w:rPr>
          <w:noProof/>
        </w:rPr>
        <w:fldChar w:fldCharType="end"/>
      </w:r>
    </w:p>
    <w:p w:rsidR="002F1FA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_Toc160527173 \h </w:instrText>
      </w:r>
      <w:r>
        <w:rPr>
          <w:noProof/>
        </w:rPr>
        <w:fldChar w:fldCharType="separate"/>
      </w:r>
      <w:r>
        <w:rPr>
          <w:noProof/>
        </w:rPr>
        <w:t>92</w:t>
      </w:r>
      <w:r>
        <w:rPr>
          <w:noProof/>
        </w:rPr>
        <w:fldChar w:fldCharType="end"/>
      </w:r>
    </w:p>
    <w:p w:rsidR="002F1FA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_Toc160527174 \h </w:instrText>
      </w:r>
      <w:r>
        <w:rPr>
          <w:noProof/>
        </w:rPr>
        <w:fldChar w:fldCharType="separate"/>
      </w:r>
      <w:r>
        <w:rPr>
          <w:noProof/>
        </w:rPr>
        <w:t>92</w:t>
      </w:r>
      <w:r>
        <w:rPr>
          <w:noProof/>
        </w:rPr>
        <w:fldChar w:fldCharType="end"/>
      </w:r>
    </w:p>
    <w:p w:rsidR="002F1FA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_Toc160527175 \h </w:instrText>
      </w:r>
      <w:r>
        <w:rPr>
          <w:noProof/>
        </w:rPr>
        <w:fldChar w:fldCharType="separate"/>
      </w:r>
      <w:r>
        <w:rPr>
          <w:noProof/>
        </w:rPr>
        <w:t>93</w:t>
      </w:r>
      <w:r>
        <w:rPr>
          <w:noProof/>
        </w:rPr>
        <w:fldChar w:fldCharType="end"/>
      </w:r>
    </w:p>
    <w:p w:rsidR="002F1FA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_Toc160527176 \h </w:instrText>
      </w:r>
      <w:r>
        <w:rPr>
          <w:noProof/>
        </w:rPr>
        <w:fldChar w:fldCharType="separate"/>
      </w:r>
      <w:r>
        <w:rPr>
          <w:noProof/>
        </w:rPr>
        <w:t>94</w:t>
      </w:r>
      <w:r>
        <w:rPr>
          <w:noProof/>
        </w:rPr>
        <w:fldChar w:fldCharType="end"/>
      </w:r>
    </w:p>
    <w:p w:rsidR="002F1FA0" w:rsidP="002F1FA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F1FA0" w:rsidP="002F1FA0">
      <w:pPr>
        <w:pStyle w:val="Heading1"/>
        <w:jc w:val="center"/>
        <w:rPr>
          <w:rFonts w:hint="eastAsia"/>
        </w:rPr>
      </w:pPr>
      <w:bookmarkStart w:id="1" w:name="_Toc160527107"/>
      <w:r w:rsidRPr="002F1FA0">
        <w:rPr>
          <w:rFonts w:hint="eastAsia"/>
        </w:rPr>
        <w:t>前言</w:t>
      </w:r>
      <w:bookmarkEnd w:id="1"/>
    </w:p>
    <w:p w:rsidR="002F1FA0" w:rsidP="002F1FA0">
      <w:pPr>
        <w:ind w:firstLine="560" w:firstLineChars="200"/>
        <w:rPr>
          <w:rFonts w:ascii="仿宋" w:eastAsia="仿宋" w:hAnsi="仿宋" w:hint="eastAsia"/>
          <w:sz w:val="28"/>
        </w:rPr>
      </w:pPr>
      <w:r w:rsidRPr="002F1FA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F1FA0" w:rsidP="002F1FA0">
      <w:pPr>
        <w:pStyle w:val="Heading1"/>
        <w:rPr>
          <w:rFonts w:hint="eastAsia"/>
        </w:rPr>
      </w:pPr>
      <w:bookmarkStart w:id="2" w:name="_Toc160527108"/>
      <w:r w:rsidRPr="002F1FA0">
        <w:rPr>
          <w:rFonts w:hint="eastAsia"/>
        </w:rPr>
        <w:t>一、微球载体材料项目人力资源管理方案</w:t>
      </w:r>
      <w:bookmarkEnd w:id="2"/>
    </w:p>
    <w:p w:rsidR="002F1FA0" w:rsidP="002F1FA0">
      <w:pPr>
        <w:pStyle w:val="Heading2"/>
        <w:rPr>
          <w:rFonts w:hint="eastAsia"/>
        </w:rPr>
      </w:pPr>
      <w:bookmarkStart w:id="3" w:name="_Toc160527109"/>
      <w:r w:rsidRPr="002F1FA0">
        <w:rPr>
          <w:rFonts w:hint="eastAsia"/>
        </w:rPr>
        <w:t>(</w:t>
      </w:r>
      <w:r w:rsidRPr="002F1FA0">
        <w:rPr>
          <w:rFonts w:hint="eastAsia"/>
        </w:rPr>
        <w:t>一</w:t>
      </w:r>
      <w:r w:rsidRPr="002F1FA0">
        <w:rPr>
          <w:rFonts w:hint="eastAsia"/>
        </w:rPr>
        <w:t>)</w:t>
      </w:r>
      <w:r w:rsidRPr="002F1FA0">
        <w:rPr>
          <w:rFonts w:hint="eastAsia"/>
        </w:rPr>
        <w:t>、人力资源战略规划</w:t>
      </w:r>
      <w:bookmarkEnd w:id="3"/>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人力资源战略规划占据着极为重要的位置，需要深入考虑组织整体的发展方向和目标设定，以及通过合理配置和有效管理人力资源来实现这些目标。在微球载体材料项目背景下，人力资源战略规划的制定必须全面考虑行业特征、市场需求、技术趋势等多方面因素，以确保企业拥有足够数量、具备相应技能的人才，并通过科学的管理和培训提高员工的绩效，从而保障微球载体材料项目的成功实施和顺利进行。</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(一)人力资源需求分析</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1、根据微球载体材料项目规模确定人力资源规模</w:t>
      </w:r>
    </w:p>
    <w:p w:rsidR="002F1FA0" w:rsidRPr="002F1FA0" w:rsidP="002F1FA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F1FA0">
        <w:rPr>
          <w:rFonts w:ascii="仿宋" w:eastAsia="仿宋" w:hAnsi="仿宋" w:hint="eastAsia"/>
          <w:sz w:val="28"/>
        </w:rPr>
        <w:t>微球载体材料项目规模、生产能力以及市场需求等是决定所需人力资源规模的关键因素。在微球载体材料项目中，需要对各个环节进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行深入分析，包括生产、质量控制、采购、销售、研发等，以明确各部门或岗位的人力资源需求。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2、分析人力资源结构和能力要求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3、预测未来人才需求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结合微球载体材料项目发展趋势、行业发展和技术变革，预测未来可能出现的新岗位和新需求，为未来人才的储备和培养提前做好准备。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(二)人才招聘与选拔</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1、制定招聘计划和渠道</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2、建立科学的选拔机制</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3、引进和留住优秀人才</w:t>
      </w:r>
    </w:p>
    <w:p w:rsidR="002F1FA0" w:rsidRPr="002F1FA0" w:rsidP="002F1FA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1FA0">
        <w:rPr>
          <w:rFonts w:ascii="仿宋" w:eastAsia="仿宋" w:hAnsi="仿宋" w:hint="eastAsia"/>
          <w:sz w:val="28"/>
        </w:rPr>
        <w:t>对于核心岗位和关键岗位，制定有效的引进和留用政策，例如提供具有竞争力的薪酬福利、晋升机制、培训发展等，以留住优秀人才。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(三)人才培训与发展</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1、制定培训计划</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根据员工的岗位需求和个人发展需求，制定全面的培训计划，包括岗前培训、岗中培训和岗后培训，确保员工具备所需的技能和知识。</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2、激励员工学习</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建立学习型组织文化，激励员工不断学习和提升，鼓励参与各类技能培训、岗位轮岗、跨部门学习等活动，提高员工的综合素质和能力。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3、发展通道和规划</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为员工搭建职业发展通道，制定个人发展规划，帮助员工明确自己的职业目标，提供晋升机会和发展空间，激发员工的工作动力和归属感。</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(四)绩效管理与激励机制</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1、建立科学的绩效评估体系</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制定明确的绩效评估标准和流程，定期对员工的工作表现进行评估和反馈，及时发现问题并采取改进措施。</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2、激励机制设计</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设计合理的薪酬激励机制和非物质激励机制，如奖金、晋升、表彰奖励等，激发员工的工作热情和创造力。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3、关怀员工福祉</w:t>
      </w:r>
    </w:p>
    <w:p w:rsidR="002F1FA0" w:rsidRPr="002F1FA0" w:rsidP="002F1FA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1FA0">
        <w:rPr>
          <w:rFonts w:ascii="仿宋" w:eastAsia="仿宋" w:hAnsi="仿宋" w:hint="eastAsia"/>
          <w:sz w:val="28"/>
        </w:rPr>
        <w:t>注重员工的工作生活平衡，提供良好的工作环境和福利待遇，满足员工的物质和精神需求，增强员工对企业的归属感和忠诚度。</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(五)人才流动与留存管理</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1、建立灵活的人才流动机制</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鼓励员工之间的岗位交流和轮岗，帮助员工增加经验，为企业内部人才提供更多的发展机会。</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2、留存关键人才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对于关键岗位和关键人才，采取多种措施，如个性化发展规划、职业规划咨询、特殊激励机制等，提高关键人才的留存率。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3、离职员工管理</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对离职员工进行调查和反馈，了解员工离职原因和对企业的意见和建议，为改善企业管理和留住人才提供有益信息。</w:t>
      </w:r>
    </w:p>
    <w:p w:rsidR="002F1FA0" w:rsidP="002F1FA0">
      <w:pPr>
        <w:pStyle w:val="Heading2"/>
      </w:pPr>
      <w:bookmarkStart w:id="4" w:name="_Toc160527110"/>
      <w:r w:rsidRPr="002F1FA0">
        <w:t>(</w:t>
      </w:r>
      <w:r w:rsidRPr="002F1FA0">
        <w:t>二</w:t>
      </w:r>
      <w:r w:rsidRPr="002F1FA0">
        <w:t>)</w:t>
      </w:r>
      <w:r w:rsidRPr="002F1FA0">
        <w:t>、薪酬管理</w:t>
      </w:r>
      <w:bookmarkEnd w:id="4"/>
    </w:p>
    <w:p w:rsidR="002F1FA0" w:rsidRPr="002F1FA0" w:rsidP="002F1FA0">
      <w:pPr>
        <w:ind w:firstLine="560" w:firstLineChars="200"/>
        <w:rPr>
          <w:rFonts w:ascii="仿宋" w:eastAsia="仿宋" w:hAnsi="仿宋"/>
          <w:sz w:val="28"/>
        </w:rPr>
      </w:pP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 薪酬管理的背景与重要性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背景</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随着微球载体材料项目的不断发展，人才成为限制企业前进的一个关键因素。薪酬，作为企业对员工付出的回报，直接影响着员工的积极性、创造力和忠诚度，从而对企业的生产效率和竞争力造成深刻的影响。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重要性</w:t>
      </w:r>
    </w:p>
    <w:p w:rsidR="002F1FA0" w:rsidRPr="002F1FA0" w:rsidP="002F1FA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1FA0">
        <w:rPr>
          <w:rFonts w:ascii="仿宋" w:eastAsia="仿宋" w:hAnsi="仿宋" w:hint="eastAsia"/>
          <w:sz w:val="28"/>
        </w:rPr>
        <w:t>合理的薪酬管理对于微球载体材料项目至关重要，能够有助于吸引和保留杰出人才，激发员工的工作热情，提高生产效率和产品质量。</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通过建立公正合理的薪酬体系，可以增强员工的归属感和认同感，减少员工流失率，提升企业的稳定性和可持续发展能力。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 薪酬管理的制定与执行</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薪酬设计策略</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在微球载体材料项目中，制定薪酬策略需考虑企业的发展阶段、行业特征和对人才的需求。这包括制定基本薪资、绩效奖金、福利待遇等方面，并确保内外部薪酬的公平性和激励机制的有效设计。</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薪酬实践</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实施中，微球载体材料项目应根据员工的职务、级别和绩效水平，差异化地设定薪酬水平。同时，需要关注与市场薪酬水平的竞争性，以吸引和留住人才。此外，薪酬与绩效的紧密联系也需得到重视，以确保员工的努力得到公平回报。</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 薪酬管理的挑战与应对之策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在微球载体材料项目中，薪酬管理面临着激烈的市场竞争、用工成本上升以及员工对薪酬公平性和透明度要求的不断提高。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应对之策</w:t>
      </w:r>
    </w:p>
    <w:p w:rsidR="002F1FA0" w:rsidRPr="002F1FA0" w:rsidP="002F1FA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1FA0">
        <w:rPr>
          <w:rFonts w:ascii="仿宋" w:eastAsia="仿宋" w:hAnsi="仿宋" w:hint="eastAsia"/>
          <w:sz w:val="28"/>
        </w:rPr>
        <w:t>为了应对这些挑战，微球载体材料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薪酬管理对于微球载体材料项目的成功发展至关重要，需要全面考虑各种因素，制定合理的薪酬体系，并持续完善和调整，以适应不断变化的市场环境和员工需求。只有通过科学的薪酬管理，微球载体材料项目才能够吸引、留住并激励卓越人才，保持竞争力，实现可持续的发展。</w:t>
      </w:r>
    </w:p>
    <w:p w:rsidR="002F1FA0" w:rsidP="002F1FA0">
      <w:pPr>
        <w:pStyle w:val="Heading2"/>
      </w:pPr>
      <w:bookmarkStart w:id="5" w:name="_Toc160527111"/>
      <w:r w:rsidRPr="002F1FA0">
        <w:t>(</w:t>
      </w:r>
      <w:r w:rsidRPr="002F1FA0">
        <w:t>三</w:t>
      </w:r>
      <w:r w:rsidRPr="002F1FA0">
        <w:t>)</w:t>
      </w:r>
      <w:r w:rsidRPr="002F1FA0">
        <w:t>、人力资源培训与开发</w:t>
      </w:r>
      <w:bookmarkEnd w:id="5"/>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人力资源培训与开发是关键的组成部分，旨在提升员工的技能、知识水平，并激发其潜力，以适应微球载体材料项目的需求和推动个人职业发展。下面是在人力资源培训与开发方面的一些建议：</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制定全面的培训计划： 基于微球载体材料项目的具体需求，制定全面而有针对性的培训计划。包括但不限于新员工入职培训、专业技能培训、领导力发展、沟通技巧等方面的培训内容。</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多元化培训方法： 采用多种培训方法，包括课堂培训、在线学习、工作坊、实地考察等，以满足不同员工学习风格和需求。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F1FA0" w:rsidRPr="002F1FA0" w:rsidP="002F1FA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1FA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5. 引入外部培训资源： 结合微球载体材料项目的特点，考虑引入外部专业培训机构或行业专家，为员工提供更高水平的培训服务，拓宽他们的视野。</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6. 建立内部导师制度： 建立内部导师制度，由有经验的员工担任导师，与新员工分享经验，促进知识传承和团队凝聚力。</w:t>
      </w:r>
    </w:p>
    <w:p w:rsidR="002F1FA0" w:rsidRPr="002F1FA0" w:rsidP="002F1FA0">
      <w:pPr>
        <w:ind w:firstLine="560" w:firstLineChars="200"/>
        <w:rPr>
          <w:rFonts w:ascii="仿宋" w:eastAsia="仿宋" w:hAnsi="仿宋" w:hint="eastAsia"/>
          <w:sz w:val="28"/>
        </w:rPr>
      </w:pPr>
      <w:r w:rsidRPr="002F1FA0">
        <w:rPr>
          <w:rFonts w:ascii="仿宋" w:eastAsia="仿宋" w:hAnsi="仿宋"/>
          <w:sz w:val="28"/>
        </w:rPr>
        <w:t xml:space="preserve">7. </w:t>
      </w:r>
      <w:r w:rsidRPr="002F1FA0">
        <w:rPr>
          <w:rFonts w:ascii="仿宋" w:eastAsia="仿宋" w:hAnsi="仿宋" w:hint="eastAsia"/>
          <w:sz w:val="28"/>
        </w:rPr>
        <w:t>关注员工个性化发展： 考虑员工的个性化发展需求，提供个性化的培训计划和发展通道，激发员工的学习热情和工作动力。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8. 评估培训效果： 设立培训效果评估机制，通过考核、反馈和绩效评估等方式，及时了解培训的实际效果，为未来的培训提供经验教训。</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9. 强调跨部门协作： 在培训过程中注重跨部门协作，促进不同部门之间的信息共享和团队协同工作，提高整体绩效。</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10. 持续学习文化： 建立持续学习的企业文化，鼓励员工不断学习、自我提升，使其具备适应未来微球载体材料项目需求的能力。</w:t>
      </w:r>
    </w:p>
    <w:p w:rsidR="002F1FA0" w:rsidP="002F1FA0">
      <w:pPr>
        <w:pStyle w:val="Heading2"/>
      </w:pPr>
      <w:bookmarkStart w:id="6" w:name="_Toc160527112"/>
      <w:r w:rsidRPr="002F1FA0">
        <w:t>(</w:t>
      </w:r>
      <w:r w:rsidRPr="002F1FA0">
        <w:t>四</w:t>
      </w:r>
      <w:r w:rsidRPr="002F1FA0">
        <w:t>)</w:t>
      </w:r>
      <w:r w:rsidRPr="002F1FA0">
        <w:t>、劳动管理管理</w:t>
      </w:r>
      <w:bookmarkEnd w:id="6"/>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对劳动力的管理和激励涉及到了重要的方面，包括劳动力资源的有效利用以及确保生产过程的安全和高效进行。劳动力在微球载体材料项目中占据着关键的地位，其管理直接影响着生产效率和产品质量，同时也与员工的工作积极性和满意度息息相关。因此，在微球载体材料项目中，劳动力管理的重要性不可忽视。</w:t>
      </w:r>
    </w:p>
    <w:p w:rsidR="002F1FA0" w:rsidRPr="002F1FA0" w:rsidP="002F1FA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1FA0">
        <w:rPr>
          <w:rFonts w:ascii="仿宋" w:eastAsia="仿宋" w:hAnsi="仿宋" w:hint="eastAsia"/>
          <w:sz w:val="28"/>
        </w:rPr>
        <w:t>(一) 劳动力管理的重要性</w:t>
      </w:r>
    </w:p>
    <w:p w:rsidR="002F1FA0" w:rsidRPr="002F1FA0" w:rsidP="002F1FA0">
      <w:pPr>
        <w:ind w:firstLine="560" w:firstLineChars="200"/>
        <w:rPr>
          <w:rFonts w:ascii="仿宋" w:eastAsia="仿宋" w:hAnsi="仿宋"/>
          <w:sz w:val="28"/>
        </w:rPr>
      </w:pPr>
      <w:r w:rsidRPr="002F1FA0">
        <w:rPr>
          <w:rFonts w:ascii="仿宋" w:eastAsia="仿宋" w:hAnsi="仿宋" w:hint="eastAsia"/>
          <w:sz w:val="28"/>
        </w:rPr>
        <w:t>1. 提高生产效率： 劳动力是微球载体材料项目中不可或缺的关键资源，劳动力管理的关键目标之一是提高生产效率。通过科学合理的资源配置和激励机制，激发员工的积极性，从而提升整体生产效率。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保障生产安全： 微球载体材料项目涉及到复杂的生产工艺和设备操作，劳动力管理需要确保员工严格遵守相关的安全规程，减少事故和伤害的发生，确保生产过程的安全稳定进行。</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 劳动力管理的目标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激发员工工作动力： 通过建立激励机制，包括薪酬、晋升、培训等多种形式，激发员工的工作积极性和创造力，提高生产效率和质量。</w:t>
      </w:r>
    </w:p>
    <w:p w:rsidR="002F1FA0" w:rsidRPr="002F1FA0" w:rsidP="002F1FA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1FA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持续改进劳动力管理方式： 劳动力管理需要不断改进和创新，以适应市场需求和生产技术的变化，提高管理效率和水平。</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 劳动力管理的方法</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薪酬福利管理： 建立公平合理的薪酬福利体系，根据员工的工作表现和贡献给予相应的报酬和福利待遇，激发其工作积极性。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培训与发展： 为员工提供系统的培训和职业发展机会，提升其专业技能和综合素质，以增强企业的核心竞争力。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绩效管理： 建立科学的绩效评价体系，及时对员工的工作表现进行评估，为个体制定合理的发展计划和激励政策。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5. 安全管理： 加强安全教育和培训，制定相关的安全操作规程和紧急预案，确保生产过程的安全稳定进行。</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(四) 劳动力管理面临的挑战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劳动力成本上升： 随着劳动力成本的不断上升，企业在进行劳动力资源配置和激励时面临更大的挑战，需要寻求更有效的管理方式。</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员工流动性增加： 现代社会员工的流动性增加，员工招聘和留任变得更加困难，企业需要加强人才引进和留存的管理工作。</w:t>
      </w:r>
    </w:p>
    <w:p w:rsidR="002F1FA0" w:rsidRPr="002F1FA0" w:rsidP="002F1FA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1FA0">
        <w:rPr>
          <w:rFonts w:ascii="仿宋" w:eastAsia="仿宋" w:hAnsi="仿宋" w:hint="eastAsia"/>
          <w:sz w:val="28"/>
        </w:rPr>
        <w:t>3. 人才技能匹配： 随着制造业技术的不断更新换代，人才的技能要求也在不断提高，如何与之匹配成为企业的挑战之一。</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综上所述，劳动力管理在微球载体材料项目中扮演着关键的角色。通过合理配置、科学激励、健全管理制度和持续改进，可以提高生产效率，保障生产安全，提升产品质量，改善员工满意度，从而推动微球载体材料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F1FA0" w:rsidRPr="002F1FA0" w:rsidP="002F1FA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1FA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性。</w:t>
      </w:r>
    </w:p>
    <w:p w:rsidR="002F1FA0" w:rsidP="002F1FA0">
      <w:pPr>
        <w:ind w:firstLine="560" w:firstLineChars="200"/>
        <w:rPr>
          <w:rFonts w:ascii="仿宋" w:eastAsia="仿宋" w:hAnsi="仿宋"/>
          <w:sz w:val="28"/>
        </w:rPr>
      </w:pPr>
    </w:p>
    <w:p w:rsidR="002F1FA0" w:rsidP="002F1FA0">
      <w:pPr>
        <w:pStyle w:val="Heading2"/>
      </w:pPr>
      <w:bookmarkStart w:id="7" w:name="_Toc160527113"/>
      <w:r w:rsidRPr="002F1FA0">
        <w:t>(</w:t>
      </w:r>
      <w:r w:rsidRPr="002F1FA0">
        <w:t>五</w:t>
      </w:r>
      <w:r w:rsidRPr="002F1FA0">
        <w:t>)</w:t>
      </w:r>
      <w:r w:rsidRPr="002F1FA0">
        <w:t>、人力资源组织管理</w:t>
      </w:r>
      <w:bookmarkEnd w:id="7"/>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人力资源组织管理在微球载体材料项目中扮演着至关重要的角色，它涉及到如何合理组织和管理人力资源，以支持企业的整体战略目标。在一个复杂多变的微球载体材料项目环境中，人力资源组织管理需要具备灵活性和适应性，以更好地适应市场的需求和微球载体材料项目的变化。下面将探讨人力资源组织管理的重要性、目标、方法以及面临的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（一）人力资源组织管理的重要性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支持战略目标： 人力资源组织管理直接关联到企业的战略目标，通过合理配置和管理人才，确保组织具备适应市场变化和微球载体材料项目需求的能力。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促进团队协作： 通过构建有效的团队结构和协作机制，人力资源组织管理有助于促进员工之间的合作，提高团队绩效，共同推动微球载体材料项目的顺利进行。</w:t>
      </w:r>
    </w:p>
    <w:p w:rsidR="002F1FA0" w:rsidRPr="002F1FA0" w:rsidP="002F1FA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1FA0">
        <w:rPr>
          <w:rFonts w:ascii="仿宋" w:eastAsia="仿宋" w:hAnsi="仿宋" w:hint="eastAsia"/>
          <w:sz w:val="28"/>
        </w:rPr>
        <w:t>4. 提升员工发展： 人力资源组织管理通过制定培训计划、职业发展通道等方式，帮助员工提升个人能力，增加员工的职业发展空间。</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（二）人力资源组织管理的目标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建立灵活的组织结构： 制定适应微球载体材料项目需求的组织结构，使之能够在不同阶段迅速调整，确保微球载体材料项目高效运作。</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优化工作流程： 通过对工作流程的优化，减少环节，提高执行效率，确保微球载体材料项目各项任务按时完成。</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打造协作团队： 通过合理分工和团队建设，促进员工之间的协作，创造积极向上的工作氛围。</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制定绩效考核体系： 建立科学的绩效考核体系，激励员工提高工作效率，提高整体团队的绩效水平。</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（三）人力资源组织管理的方法</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灵活用人： 根据微球载体材料项目需求，采取灵活的用人方式，包括临时员工、兼职人员等，以满足微球载体材料项目各阶段的需求。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培训发展： 制定全面的培训计划，提升员工的专业技能和综合素质，为微球载体材料项目提供更强大的人才支持。</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团队建设： 通过团队培训、活动等方式，增强团队凝聚力，促进员工间的良好沟通与协作。</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引入先进技术： 运用先进的信息技术和管理工具，提高组织运作的效率，降低管理成本。</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（四）人力资源组织管理面临的挑战</w:t>
      </w:r>
    </w:p>
    <w:p w:rsidR="002F1FA0" w:rsidRPr="002F1FA0" w:rsidP="002F1FA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1FA0">
        <w:rPr>
          <w:rFonts w:ascii="仿宋" w:eastAsia="仿宋" w:hAnsi="仿宋" w:hint="eastAsia"/>
          <w:sz w:val="28"/>
        </w:rPr>
        <w:t>1. 微球载体材料项目不确定性： 微球载体材料项目环境的不确</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定性可能导致人力需求的波动，因此需要具备快速响应变化的能力。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人才流动： 高度竞争的行业可能导致人才的流动性增加，为了留住关键人才，需要提供有竞争力的薪酬和福利。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技能匹配： 随着技术的更新换代，确保员工的技能与微球载体材料项目需求的匹配，是一个不断面临的挑战。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组织文化： 在多元文化和多代人员共事的情况下，构建积极向上的组织文化是一项复杂的工作。</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综上所述，人力资源组织管理在微球载体材料项目中至关重要，其成功实施有助于提高微球载体材料项目的适应性、创造力和执行力。在应对挑战的过程中，企业需要保持灵活性，不断调整管理策略，以确保人力资源的最优配置，支持微球载体材料项目的可持续发展。</w:t>
      </w:r>
    </w:p>
    <w:p w:rsidR="002F1FA0" w:rsidP="002F1FA0">
      <w:pPr>
        <w:pStyle w:val="Heading2"/>
      </w:pPr>
      <w:bookmarkStart w:id="8" w:name="_Toc160527114"/>
      <w:r w:rsidRPr="002F1FA0">
        <w:t>(</w:t>
      </w:r>
      <w:r w:rsidRPr="002F1FA0">
        <w:t>六</w:t>
      </w:r>
      <w:r w:rsidRPr="002F1FA0">
        <w:t>)</w:t>
      </w:r>
      <w:r w:rsidRPr="002F1FA0">
        <w:t>、绩效管理</w:t>
      </w:r>
      <w:bookmarkEnd w:id="8"/>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绩效管理在微球载体材料项目中是确保团队高效运作和达成目标的关键环节。通过明确工作目标、评估员工表现以及提供及时反馈，绩效管理不仅能够激发员工的工作动力，还有助于优化整体微球载体材料项目绩效。下面将探讨绩效管理的重要性、目标、方法以及可能面临的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（一）绩效管理的重要性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提高生产效率： 通过设定明确的绩效目标，可以激励员工更加专注和高效地完成任务，提高整体生产效率。</w:t>
      </w:r>
    </w:p>
    <w:p w:rsidR="002F1FA0" w:rsidRPr="002F1FA0" w:rsidP="002F1FA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1FA0">
        <w:rPr>
          <w:rFonts w:ascii="仿宋" w:eastAsia="仿宋" w:hAnsi="仿宋" w:hint="eastAsia"/>
          <w:sz w:val="28"/>
        </w:rPr>
        <w:t>2. 激发工作动力： 绩效管理通过奖励制度和认可机制，可以激</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发员工的工作热情和积极性，增强其对微球载体材料项目的投入度。</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改善员工发展： 通过绩效管理的过程，可以识别员工的强项和发展领域，为其提供有针对性的培训和发展机会。</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加强团队合作： 绩效管理能够促进团队成员之间的合作，通过共同努力实现共享的绩效目标，增强团队的凝聚力。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（二）绩效管理的目标</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设定明确的绩效指标： 制定具体、可量化的绩效指标，确保员工清晰了解微球载体材料项目期望的工作表现。</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及时反馈和改进： 提供定期的绩效反馈，指导员工改进工作方法，确保微球载体材料项目各方面不断优化。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个性化发展规划： 通过绩效评估，制定个性化的员工发展计划，满足其职业发展需求。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激励和奖励机制： 建立公正公平的激励和奖励机制，以鼓励卓越表现，激发员工的竞争力。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（三）绩效管理的方法</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定期评估和面谈： 进行定期的绩效评估，通过面谈方式与员工讨论其工作表现，提供针对性的建议和反馈。</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360度评价： 引入360度评价，从多个角度收集反馈，包括同事、下属和微球载体材料项目合作伙伴，更全面地了解员工的表现。</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目标管理： 采用目标管理方法，帮助员工设定明确的目标，并定期追踪和评估其实现情况。</w:t>
      </w:r>
    </w:p>
    <w:p w:rsidR="002F1FA0" w:rsidRPr="002F1FA0" w:rsidP="002F1FA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1FA0">
        <w:rPr>
          <w:rFonts w:ascii="仿宋" w:eastAsia="仿宋" w:hAnsi="仿宋" w:hint="eastAsia"/>
          <w:sz w:val="28"/>
        </w:rPr>
        <w:t>4. 培训和发展计划： 根据绩效评估结果，制定个性化的培训和</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发展计划，提高员工在微球载体材料项目中的综合素质。</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（四）绩效管理面临的挑战</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主管评估偏见： 主管在评估过程中可能存在主观偏见，影响评价的客观性，需要建立公正的评估机制。</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设定合理的目标： 设定过于苛刻或模糊的目标可能导致员工无法达成，影响绩效评估的准确性。</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员工对评价的接受度： 员工对绩效评价结果的接受度可能受到个体差异的影响，需要建立开放的沟通机制。</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4. 变动的微球载体材料项目环境： 微球载体材料项目环境的不断变化可能使得最初设定的绩效指标不再适用，需要及时调整。</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总体而言，绩效管理在微球载体材料项目中是推动团队不断进步的关键管理环节。通过设定明确的目标、提供及时的反馈和激励机制，可以激发员工的工作热情，提高整体微球载体材料项目的执行效能。在面对各种挑战时，微球载体材料项目管理团队需要不断改进管理方法，确保绩效管理更好地服务于微球载体材料项目的整体目标。</w:t>
      </w:r>
    </w:p>
    <w:p w:rsidR="002F1FA0" w:rsidP="002F1FA0">
      <w:pPr>
        <w:pStyle w:val="Heading1"/>
        <w:rPr>
          <w:rFonts w:hint="eastAsia"/>
        </w:rPr>
      </w:pPr>
      <w:bookmarkStart w:id="9" w:name="_Toc160527115"/>
      <w:r w:rsidRPr="002F1FA0">
        <w:rPr>
          <w:rFonts w:hint="eastAsia"/>
        </w:rPr>
        <w:t>二、微球载体材料项目风险管理方案</w:t>
      </w:r>
      <w:bookmarkEnd w:id="9"/>
    </w:p>
    <w:p w:rsidR="002F1FA0" w:rsidP="002F1FA0">
      <w:pPr>
        <w:pStyle w:val="Heading2"/>
        <w:rPr>
          <w:rFonts w:hint="eastAsia"/>
        </w:rPr>
      </w:pPr>
      <w:bookmarkStart w:id="10" w:name="_Toc160527116"/>
      <w:r w:rsidRPr="002F1FA0">
        <w:rPr>
          <w:rFonts w:hint="eastAsia"/>
        </w:rPr>
        <w:t>(</w:t>
      </w:r>
      <w:r w:rsidRPr="002F1FA0">
        <w:rPr>
          <w:rFonts w:hint="eastAsia"/>
        </w:rPr>
        <w:t>一</w:t>
      </w:r>
      <w:r w:rsidRPr="002F1FA0">
        <w:rPr>
          <w:rFonts w:hint="eastAsia"/>
        </w:rPr>
        <w:t>)</w:t>
      </w:r>
      <w:r w:rsidRPr="002F1FA0">
        <w:rPr>
          <w:rFonts w:hint="eastAsia"/>
        </w:rPr>
        <w:t>、风险管理概述</w:t>
      </w:r>
      <w:bookmarkEnd w:id="10"/>
    </w:p>
    <w:p w:rsidR="002F1FA0" w:rsidRPr="002F1FA0" w:rsidP="002F1FA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1FA0">
        <w:rPr>
          <w:rFonts w:ascii="仿宋" w:eastAsia="仿宋" w:hAnsi="仿宋" w:hint="eastAsia"/>
          <w:sz w:val="28"/>
        </w:rPr>
        <w:t>在当前政策环境下，风险管理的关键性日益凸显，尤其在微球载体材料项目实施中扮演着不可或缺的角色。政策的不断调整和变化可能带来新的挑战，因此微球载体材料项目团队需要更加敏锐地识别、</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评估和应对各种潜在风险。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微球载体材料项目可能产生的潜在影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其次，风险评估的过程需要更具前瞻性，微球载体材料项目团队应当通过定性和定量分析，充分评估政策变化对微球载体材料项目目标的可能影响。这一过程的关键在于科学合理地量化潜在风险的概率和影响程度，从而有针对性地采取相应的风险应对措施。</w:t>
      </w:r>
    </w:p>
    <w:p w:rsidR="002F1FA0" w:rsidRPr="002F1FA0" w:rsidP="002F1FA0">
      <w:pPr>
        <w:ind w:firstLine="560" w:firstLineChars="200"/>
        <w:rPr>
          <w:rFonts w:ascii="仿宋" w:eastAsia="仿宋" w:hAnsi="仿宋"/>
          <w:sz w:val="28"/>
        </w:rPr>
      </w:pPr>
      <w:r w:rsidRPr="002F1FA0">
        <w:rPr>
          <w:rFonts w:ascii="仿宋" w:eastAsia="仿宋" w:hAnsi="仿宋" w:hint="eastAsia"/>
          <w:sz w:val="28"/>
        </w:rPr>
        <w:t>在面对政策层面的风险时，风险应对措施需要更加灵活。除了常规的避免、减轻、转移和接受策略外，微球载体材料项目团队还应考虑制定专门的政策应对计划，包括密切关注政策变化、及时调整微球载体材料项目实施方案等。例如，加强与相关政府部门的沟通，获取政策解读，及时调整微球载体材料项目策略以确保微球载体材料项目不受不确定性的过大影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最后，风险监控的过程也需要更具前瞻性。微球载体材料项目团队在监控风险的同时，应当随时关注政策环境的变化，确保微球载体材料项目能够灵活适应新的政策要求。这可能涉及到对微球载体材料项目计划的及时调整、政策培训和微球载体材料项目团队的更新等方面，以保持微球载体材料项目在复杂多变的政策环境中的稳定推进。</w:t>
      </w:r>
    </w:p>
    <w:p w:rsidR="002F1FA0" w:rsidP="002F1FA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1FA0">
        <w:rPr>
          <w:rFonts w:ascii="仿宋" w:eastAsia="仿宋" w:hAnsi="仿宋" w:hint="eastAsia"/>
          <w:sz w:val="28"/>
        </w:rPr>
        <w:t>在当前政策背景下，风险管理需要更具前瞻性、灵活性和战略性，</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以确保微球载体材料项目能够在不断变化的政策环境中保持成功实施的稳定性。通过全面考虑政策层面的风险，并采取相应的战略性风险管理措施，微球载体材料项目团队将更有信心和能力应对潜在的挑战，确保微球载体材料项目的成功推进。</w:t>
      </w:r>
    </w:p>
    <w:p w:rsidR="002F1FA0" w:rsidP="002F1FA0">
      <w:pPr>
        <w:pStyle w:val="Heading2"/>
      </w:pPr>
      <w:bookmarkStart w:id="11" w:name="_Toc160527117"/>
      <w:r w:rsidRPr="002F1FA0">
        <w:t>(</w:t>
      </w:r>
      <w:r w:rsidRPr="002F1FA0">
        <w:t>二</w:t>
      </w:r>
      <w:r w:rsidRPr="002F1FA0">
        <w:t>)</w:t>
      </w:r>
      <w:r w:rsidRPr="002F1FA0">
        <w:t>、企业面临的风险</w:t>
      </w:r>
      <w:bookmarkEnd w:id="11"/>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领域，企业在运营过程中面临着多层次的风险，这些风险源于内部操作、外部环境变化以及激烈的市场竞争。为了确保企业的成功，有效的风险管理显得尤为关键。下面将详细探讨微球载体材料项目中可能出现的各类风险，并提出相应的应对措施，以保障企业的可持续发展。</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一、市场需求波动风险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市场变化带来的需求波动风险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竞争对手的市场份额侵蚀风险</w:t>
      </w:r>
    </w:p>
    <w:p w:rsidR="002F1FA0" w:rsidRPr="002F1FA0" w:rsidP="002F1FA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1FA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保持竞争优势。</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二、供应链风险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原材料供应不稳定风险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供应链环节的质量风险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三、技术与生产风险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生产设备故障风险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生产工艺变革风险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四、法律与政策风险</w:t>
      </w:r>
    </w:p>
    <w:p w:rsidR="002F1FA0" w:rsidRPr="002F1FA0" w:rsidP="002F1FA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1FA0">
        <w:rPr>
          <w:rFonts w:ascii="仿宋" w:eastAsia="仿宋" w:hAnsi="仿宋" w:hint="eastAsia"/>
          <w:sz w:val="28"/>
        </w:rPr>
        <w:t>1. 环保政策风险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知识产权风险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在微球载体材料项目中，知识产权的保护至关重要。企业需防范知识产权被侵犯的风险，加强专利申请、技术保密等工作，以避免知识产权纠纷导致的市场排斥和法律诉讼风险。</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通过采取上述措施，企业可以更全面、系统地管理各类风险，提高对不确定性的应对能力，从而确保微球载体材料项目的顺利进行和企业的可持续发展。</w:t>
      </w:r>
    </w:p>
    <w:p w:rsidR="002F1FA0" w:rsidP="002F1FA0">
      <w:pPr>
        <w:pStyle w:val="Heading2"/>
      </w:pPr>
      <w:bookmarkStart w:id="12" w:name="_Toc160527118"/>
      <w:r w:rsidRPr="002F1FA0">
        <w:t>(</w:t>
      </w:r>
      <w:r w:rsidRPr="002F1FA0">
        <w:t>三</w:t>
      </w:r>
      <w:r w:rsidRPr="002F1FA0">
        <w:t>)</w:t>
      </w:r>
      <w:r w:rsidRPr="002F1FA0">
        <w:t>、风险成本与风险管理的目标</w:t>
      </w:r>
      <w:bookmarkEnd w:id="12"/>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风险管理一直是任何微球载体材料项目成功实施的关键因素之一。在微球载体材料项目中，风险管理的目标是通过系统性的方法识别、评估和应对可能影响微球载体材料项目目标的潜在风险。为了降低微球载体材料项目失败的风险，提高微球载体材料项目的成功率，微球载体材料项目团队需要在整个微球载体材料项目生命周期中采取一系列有效的风险管理措施。</w:t>
      </w:r>
    </w:p>
    <w:p w:rsidR="002F1FA0" w:rsidRPr="002F1FA0" w:rsidP="002F1FA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1FA0">
        <w:rPr>
          <w:rFonts w:ascii="仿宋" w:eastAsia="仿宋" w:hAnsi="仿宋" w:hint="eastAsia"/>
          <w:sz w:val="28"/>
        </w:rPr>
        <w:t>风险成本作为风险管理的一个关键概念，在微球载体材料项目中显得尤为重要。这指的是由于风险事件的发生可能导致的经济损失和其他负面影响所带来的费用。这些成本涵盖了直接和间接的损失，以及为了应对风险而采取的各种措施所产生的费用。考虑到微球载体材</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料项目通常涉及大量资金投入，合理评估和控制风险成本对微球载体材料项目的成功至关重要，直接影响微球载体材料项目的资金流动和盈利能力。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风险管理的目标之一是在微球载体材料项目启动阶段就能预测和识别潜在风险。通过建立完善的风险识别和分析体系，微球载体材料项目团队可以提前评估可能出现的风险，为微球载体材料项目决策提供科学依据。评估和量化风险同样重要，通过对风险事件的发生概率和影响程度进行评估，可以为微球载体材料项目制定合适的风险应对策略提供基础。将风险以数字形式量化有助于微球载体材料项目管理者更好地理解整体风险影响，并作出相应决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控制和减少风险是风险管理的核心目标。通过建立完善的风险控制体系，微球载体材料项目团队能够制定详细的风险控制计划，并实施有效的措施，以降低微球载体材料项目的风险水平，提高微球载体材料项目的成功率。应对和处理风险同样重要，特别是在风险事件发生时，能够及时采取措施最大程度减少损失。</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监控和反馈风险是风险管理的最终目标。通过不断监控微球载体材料项目的风险状态，及时反馈风险信息，微球载体材料项目管理者能够做出及时决策，快速调整风险应对策略，确保微球载体材料项目按计划进行。这有效地建立了微球载体材料项目的风险监控和反馈机制，有助于微球载体材料项目在变化的环境中保持灵活性和应变能力。</w:t>
      </w:r>
    </w:p>
    <w:p w:rsidR="002F1FA0" w:rsidP="002F1FA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1FA0">
        <w:rPr>
          <w:rFonts w:ascii="仿宋" w:eastAsia="仿宋" w:hAnsi="仿宋" w:hint="eastAsia"/>
          <w:sz w:val="28"/>
        </w:rPr>
        <w:t>在微球载体材料项目中，综合考虑风险成本和风险管理的各微球载体材料项目标，微球载体材料项目团队能够更好地应对不确定性，</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提高微球载体材料项目的成功率。通过合理的风险管理，微球载体材料项目可以更顺利、更有效地达成预定的时间、成本和质量目标。</w:t>
      </w:r>
    </w:p>
    <w:p w:rsidR="002F1FA0" w:rsidP="002F1FA0">
      <w:pPr>
        <w:pStyle w:val="Heading2"/>
      </w:pPr>
      <w:bookmarkStart w:id="13" w:name="_Toc160527119"/>
      <w:r w:rsidRPr="002F1FA0">
        <w:t>(</w:t>
      </w:r>
      <w:r w:rsidRPr="002F1FA0">
        <w:t>四</w:t>
      </w:r>
      <w:r w:rsidRPr="002F1FA0">
        <w:t>)</w:t>
      </w:r>
      <w:r w:rsidRPr="002F1FA0">
        <w:t>、人力资本风险分析</w:t>
      </w:r>
      <w:bookmarkEnd w:id="13"/>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一、人力资本风险的界定与总览</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在微球载体材料项目中，人力资本风险指的是由于不当的人力资源管理、员工素质欠缺或者员工频繁流动等因素引发的可能性风险。这些潜在的风险直接关系到企业的关键指标，如生产效率、产品质量以及微球载体材料项目进展。人力资本风险分析的主要目的在于识别和评估这些风险，以帮助企业采取相应措施来降低或避免对微球载体材料项目的不利影响。</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二、内部人力资本风险的深度分析</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员工素质风险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员工流动风险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高离职率和频繁流动可能带来微球载体材料项目延误、生产线断档以及知识流失等问题。为了缓解这种风险，企业可通过建立健全的员工关系、提供发展空间和培训机会，增强员工的归属感和忠诚度。</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管理能力风险</w:t>
      </w:r>
    </w:p>
    <w:p w:rsidR="002F1FA0" w:rsidRPr="002F1FA0" w:rsidP="002F1FA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1FA0">
        <w:rPr>
          <w:rFonts w:ascii="仿宋" w:eastAsia="仿宋" w:hAnsi="仿宋" w:hint="eastAsia"/>
          <w:sz w:val="28"/>
        </w:rPr>
        <w:t>管理层在微球载体材料项目过程中的决策、协调和沟通能力不足</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可能导致微球载体材料项目进展缓慢、资源浪费以及团队合作不畅。为规避这一风险，企业需强化管理层的培训和能力提升，提高他们的领导力和组织能力。</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三、外部人力资本风险的综合分析</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1. 市场竞争风险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2. 法律法规风险</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F1FA0" w:rsidRPr="002F1FA0" w:rsidP="002F1FA0">
      <w:pPr>
        <w:ind w:firstLine="560" w:firstLineChars="200"/>
        <w:rPr>
          <w:rFonts w:ascii="仿宋" w:eastAsia="仿宋" w:hAnsi="仿宋" w:hint="eastAsia"/>
          <w:sz w:val="28"/>
        </w:rPr>
      </w:pPr>
      <w:r w:rsidRPr="002F1FA0">
        <w:rPr>
          <w:rFonts w:ascii="仿宋" w:eastAsia="仿宋" w:hAnsi="仿宋" w:hint="eastAsia"/>
          <w:sz w:val="28"/>
        </w:rPr>
        <w:t>3. 技术变革风险</w:t>
      </w:r>
    </w:p>
    <w:p w:rsidR="002F1FA0" w:rsidRPr="002F1FA0" w:rsidP="002F1FA0">
      <w:pPr>
        <w:ind w:firstLine="560" w:firstLineChars="200"/>
        <w:rPr>
          <w:rFonts w:ascii="仿宋" w:eastAsia="仿宋" w:hAnsi="仿宋"/>
          <w:sz w:val="28"/>
        </w:rPr>
      </w:pPr>
      <w:r w:rsidRPr="002F1FA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F1FA0" w:rsidP="002F1FA0">
      <w:pPr>
        <w:ind w:firstLine="560" w:firstLineChars="200"/>
        <w:rPr>
          <w:rFonts w:ascii="仿宋" w:eastAsia="仿宋" w:hAnsi="仿宋" w:hint="eastAsia"/>
          <w:sz w:val="28"/>
        </w:rPr>
      </w:pPr>
      <w:r w:rsidRPr="002F1FA0">
        <w:rPr>
          <w:rFonts w:ascii="仿宋" w:eastAsia="仿宋" w:hAnsi="仿宋" w:hint="eastAsia"/>
          <w:sz w:val="28"/>
        </w:rPr>
        <w:t>通过全面分析内外部人力资本风险，企业能够识别潜在的问题因素，并采取相应措施来降低或避免这些风险对微球载体材料项目的负面影响。科学合理的人力资本管理有助于提高生产效率、确保产品质量，并确保微球载体材料项目的顺利推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https://d.book118.com/688023116064006046</w:t>
        </w:r>
      </w:hyperlink>
    </w:p>
    <w:p w:rsidR="002F1FA0" w:rsidP="002F1FA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F1F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1FA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F1F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1FA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1FA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F1FA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F1FA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F1FA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F1FA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F1FA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F1FA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F1FA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F1FA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F1FA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F1FA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F1FA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F1FA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F1FA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F1FA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F1FA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F1FA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F1FA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F1FA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F1FA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1FA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P="007D60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F1FA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rsidRPr="002F1FA0" w:rsidP="002F1FA0">
    <w:pPr>
      <w:pStyle w:val="Header"/>
      <w:rPr>
        <w:rFonts w:ascii="仿宋" w:eastAsia="仿宋" w:hAnsi="仿宋"/>
      </w:rPr>
    </w:pPr>
    <w:r w:rsidRPr="002F1FA0">
      <w:rPr>
        <w:rFonts w:ascii="仿宋" w:eastAsia="仿宋" w:hAnsi="仿宋" w:hint="eastAsia"/>
      </w:rPr>
      <w:t>微球载体材料投资回报分析报告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1F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FA0"/>
    <w:rsid w:val="002F1FA0"/>
    <w:rsid w:val="007D603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F1FA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F1F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F1FA0"/>
    <w:rPr>
      <w:b/>
      <w:bCs/>
      <w:kern w:val="44"/>
      <w:sz w:val="44"/>
      <w:szCs w:val="44"/>
    </w:rPr>
  </w:style>
  <w:style w:type="character" w:customStyle="1" w:styleId="2Char">
    <w:name w:val="标题 2 Char"/>
    <w:basedOn w:val="DefaultParagraphFont"/>
    <w:link w:val="Heading2"/>
    <w:uiPriority w:val="9"/>
    <w:rsid w:val="002F1FA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F1F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F1FA0"/>
    <w:rPr>
      <w:sz w:val="18"/>
      <w:szCs w:val="18"/>
    </w:rPr>
  </w:style>
  <w:style w:type="paragraph" w:styleId="Footer">
    <w:name w:val="footer"/>
    <w:basedOn w:val="Normal"/>
    <w:link w:val="Char0"/>
    <w:uiPriority w:val="99"/>
    <w:unhideWhenUsed/>
    <w:rsid w:val="002F1FA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F1FA0"/>
    <w:rPr>
      <w:sz w:val="18"/>
      <w:szCs w:val="18"/>
    </w:rPr>
  </w:style>
  <w:style w:type="character" w:styleId="PageNumber">
    <w:name w:val="page number"/>
    <w:basedOn w:val="DefaultParagraphFont"/>
    <w:uiPriority w:val="99"/>
    <w:semiHidden/>
    <w:unhideWhenUsed/>
    <w:rsid w:val="002F1FA0"/>
  </w:style>
  <w:style w:type="paragraph" w:styleId="TOC1">
    <w:name w:val="toc 1"/>
    <w:basedOn w:val="Normal"/>
    <w:next w:val="Normal"/>
    <w:autoRedefine/>
    <w:uiPriority w:val="39"/>
    <w:unhideWhenUsed/>
    <w:rsid w:val="002F1FA0"/>
  </w:style>
  <w:style w:type="paragraph" w:styleId="TOC2">
    <w:name w:val="toc 2"/>
    <w:basedOn w:val="Normal"/>
    <w:next w:val="Normal"/>
    <w:autoRedefine/>
    <w:uiPriority w:val="39"/>
    <w:unhideWhenUsed/>
    <w:rsid w:val="002F1F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802311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7232</Words>
  <Characters>41223</Characters>
  <Application>Microsoft Office Word</Application>
  <DocSecurity>0</DocSecurity>
  <Lines>343</Lines>
  <Paragraphs>96</Paragraphs>
  <ScaleCrop>false</ScaleCrop>
  <Company>Microsoft</Company>
  <LinksUpToDate>false</LinksUpToDate>
  <CharactersWithSpaces>48359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2024-03-05T02:30:00Z</dcterms:created>
  <dcterms:modified xsi:type="dcterms:W3CDTF">2024-03-05T02:31:00Z</dcterms:modified>
</cp:coreProperties>
</file>