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金刚石拉丝模相关行业公司成立方案及可行性研究报告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_Toc26982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_Toc10081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_Toc10538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_Toc29303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(一)、金刚石拉丝模项目选址原则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8" w:history="1">
        <w:r>
          <w:rPr>
            <w:rFonts w:ascii="仿宋" w:eastAsia="仿宋" w:hAnsi="仿宋" w:cs="仿宋" w:hint="eastAsia"/>
            <w:lang w:eastAsia="zh-CN"/>
          </w:rPr>
          <w:t>(五)、金刚石拉丝模项目选址综合评价</w:t>
        </w:r>
        <w:r>
          <w:tab/>
        </w:r>
        <w:r>
          <w:fldChar w:fldCharType="begin"/>
        </w:r>
        <w:r>
          <w:instrText xml:space="preserve"> PAGEREF _Toc29038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_Toc18727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6" w:history="1">
        <w:r>
          <w:rPr>
            <w:rFonts w:ascii="仿宋" w:eastAsia="仿宋" w:hAnsi="仿宋" w:cs="仿宋" w:hint="eastAsia"/>
            <w:lang w:eastAsia="zh-CN"/>
          </w:rPr>
          <w:t>六、金刚石拉丝模项目经济效益</w:t>
        </w:r>
        <w:r>
          <w:tab/>
        </w:r>
        <w:r>
          <w:fldChar w:fldCharType="begin"/>
        </w:r>
        <w:r>
          <w:instrText xml:space="preserve"> PAGEREF _Toc7676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_Toc31278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(三)、金刚石拉丝模项目盈利能力分析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_Toc21022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_Toc18264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(一)、金刚石拉丝模项目背景分析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eastAsia="zh-CN"/>
          </w:rPr>
          <w:t>(二)、金刚石拉丝模项目建设必要性分析</w:t>
        </w:r>
        <w:r>
          <w:tab/>
        </w:r>
        <w:r>
          <w:fldChar w:fldCharType="begin"/>
        </w:r>
        <w:r>
          <w:instrText xml:space="preserve"> PAGEREF _Toc29907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_Toc16534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_Toc20203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_Toc20556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_Toc14002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(五)、金刚石拉丝模项目总投资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_Toc10338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_Toc31531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(一)、社会责任金刚石拉丝模项目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0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00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6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https://d.book118.com/688023120025006030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金刚石拉丝模相关行业公司成立方案及可行性研究报告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金刚石拉丝模相关行业公司成立方案及可行性研究报告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金刚石拉丝模相关行业公司成立方案及可行性研究报告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金刚石拉丝模相关行业公司成立方案及可行性研究报告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金刚石拉丝模相关行业公司成立方案及可行性研究报告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023120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2024-01-16T13:54:00Z</dcterms:created>
  <dcterms:modified xsi:type="dcterms:W3CDTF">2024-01-16T13:54:54Z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EC8D150C8E8F4C75AA0B4AFFE24CF990_11</vt:lpwstr>
  </property>
  <property fmtid="{D5CDD505-2E9C-101B-9397-08002B2CF9AE}" pid="3" name="KSOProductBuildVer">
    <vt:lpwstr>2052-12.1.0.16120</vt:lpwstr>
  </property>
</Properties>
</file>