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超声多普勒胎儿监护仪行业相关公司筹备报告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二、超声多普勒胎儿监护仪项目概况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(二)、超声多普勒胎儿监护仪项目提出的理由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(三)、超声多普勒胎儿监护仪项目选址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(六)、超声多普勒胎儿监护仪项目投资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(七)、超声多普勒胎儿监护仪项目进度规划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(九)、超声多普勒胎儿监护仪项目综合评价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四、超声多普勒胎儿监护仪筹建公司基本信息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(五)、超声多普勒胎儿监护仪项目总投资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(一)、超声多普勒胎儿监护仪项目进度安排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(二)、超声多普勒胎儿监护仪项目实施保障措施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九、超声多普勒胎儿监护仪项目经济效益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3" w:history="1">
        <w:r>
          <w:rPr>
            <w:rFonts w:ascii="仿宋" w:eastAsia="仿宋" w:hAnsi="仿宋" w:cs="仿宋" w:hint="eastAsia"/>
            <w:lang w:eastAsia="zh-CN"/>
          </w:rPr>
          <w:t>(三)、超声多普勒胎儿监护仪项目盈利能力分析</w:t>
        </w:r>
        <w:r>
          <w:tab/>
        </w:r>
        <w:r>
          <w:fldChar w:fldCharType="begin"/>
        </w:r>
        <w:r>
          <w:instrText xml:space="preserve"> PAGEREF _Toc19473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十、超声多普勒胎儿监护仪项目风险分析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(一)、超声多普勒胎儿监护仪项目风险分析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(二)、超声多普勒胎儿监护仪项目风险对策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_Toc6199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十三、超声多普勒胎儿监护仪项目总结分析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_Toc28926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1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9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9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https://d.book118.com/688045102130006036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超声多普勒胎儿监护仪行业相关公司筹备报告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超声多普勒胎儿监护仪行业相关公司筹备报告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超声多普勒胎儿监护仪行业相关公司筹备报告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超声多普勒胎儿监护仪行业相关公司筹备报告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超声多普勒胎儿监护仪行业相关公司筹备报告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45102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2024-01-26T20:00:00Z</dcterms:created>
  <dcterms:modified xsi:type="dcterms:W3CDTF">2024-01-26T20:00:36Z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5C7734CE36DB4982BB90639A40B4D381_11</vt:lpwstr>
  </property>
  <property fmtid="{D5CDD505-2E9C-101B-9397-08002B2CF9AE}" pid="3" name="KSOProductBuildVer">
    <vt:lpwstr>2052-12.1.0.16120</vt:lpwstr>
  </property>
</Properties>
</file>