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氮化铬铁项目概述报告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669" w:history="1">
        <w:r>
          <w:rPr>
            <w:rFonts w:ascii="仿宋" w:eastAsia="仿宋" w:hAnsi="仿宋" w:cs="仿宋" w:hint="eastAsia"/>
            <w:lang w:eastAsia="zh-CN"/>
          </w:rPr>
          <w:t>前言</w:t>
        </w:r>
        <w:r>
          <w:tab/>
        </w:r>
        <w:r>
          <w:fldChar w:fldCharType="begin"/>
        </w:r>
        <w:r>
          <w:instrText xml:space="preserve"> PAGEREF _Toc17669 \h </w:instrText>
        </w:r>
        <w:r>
          <w:fldChar w:fldCharType="separate"/>
        </w:r>
        <w:r>
          <w:t>3</w:t>
        </w:r>
        <w:r>
          <w:fldChar w:fldCharType="end"/>
        </w:r>
      </w:hyperlink>
    </w:p>
    <w:p>
      <w:pPr>
        <w:pStyle w:val="TOC1"/>
        <w:tabs>
          <w:tab w:val="right" w:leader="dot" w:pos="8306"/>
        </w:tabs>
      </w:pPr>
      <w:hyperlink w:anchor="_Toc3812" w:history="1">
        <w:r>
          <w:rPr>
            <w:rFonts w:ascii="仿宋" w:eastAsia="仿宋" w:hAnsi="仿宋" w:cs="仿宋" w:hint="eastAsia"/>
            <w:lang w:eastAsia="zh-CN"/>
          </w:rPr>
          <w:t>一、建设规划</w:t>
        </w:r>
        <w:r>
          <w:tab/>
        </w:r>
        <w:r>
          <w:fldChar w:fldCharType="begin"/>
        </w:r>
        <w:r>
          <w:instrText xml:space="preserve"> PAGEREF _Toc3812 \h </w:instrText>
        </w:r>
        <w:r>
          <w:fldChar w:fldCharType="separate"/>
        </w:r>
        <w:r>
          <w:t>3</w:t>
        </w:r>
        <w:r>
          <w:fldChar w:fldCharType="end"/>
        </w:r>
      </w:hyperlink>
    </w:p>
    <w:p>
      <w:pPr>
        <w:pStyle w:val="TOC2"/>
        <w:tabs>
          <w:tab w:val="right" w:leader="dot" w:pos="8306"/>
        </w:tabs>
      </w:pPr>
      <w:hyperlink w:anchor="_Toc8257" w:history="1">
        <w:r>
          <w:rPr>
            <w:rFonts w:ascii="仿宋" w:eastAsia="仿宋" w:hAnsi="仿宋" w:cs="仿宋" w:hint="eastAsia"/>
            <w:lang w:eastAsia="zh-CN"/>
          </w:rPr>
          <w:t>(一)、产品规划</w:t>
        </w:r>
        <w:r>
          <w:tab/>
        </w:r>
        <w:r>
          <w:fldChar w:fldCharType="begin"/>
        </w:r>
        <w:r>
          <w:instrText xml:space="preserve"> PAGEREF _Toc8257 \h </w:instrText>
        </w:r>
        <w:r>
          <w:fldChar w:fldCharType="separate"/>
        </w:r>
        <w:r>
          <w:t>3</w:t>
        </w:r>
        <w:r>
          <w:fldChar w:fldCharType="end"/>
        </w:r>
      </w:hyperlink>
    </w:p>
    <w:p>
      <w:pPr>
        <w:pStyle w:val="TOC2"/>
        <w:tabs>
          <w:tab w:val="right" w:leader="dot" w:pos="8306"/>
        </w:tabs>
      </w:pPr>
      <w:hyperlink w:anchor="_Toc27245" w:history="1">
        <w:r>
          <w:rPr>
            <w:rFonts w:ascii="仿宋" w:eastAsia="仿宋" w:hAnsi="仿宋" w:cs="仿宋" w:hint="eastAsia"/>
            <w:lang w:eastAsia="zh-CN"/>
          </w:rPr>
          <w:t>(二)、建设规模</w:t>
        </w:r>
        <w:r>
          <w:tab/>
        </w:r>
        <w:r>
          <w:fldChar w:fldCharType="begin"/>
        </w:r>
        <w:r>
          <w:instrText xml:space="preserve"> PAGEREF _Toc27245 \h </w:instrText>
        </w:r>
        <w:r>
          <w:fldChar w:fldCharType="separate"/>
        </w:r>
        <w:r>
          <w:t>5</w:t>
        </w:r>
        <w:r>
          <w:fldChar w:fldCharType="end"/>
        </w:r>
      </w:hyperlink>
    </w:p>
    <w:p>
      <w:pPr>
        <w:pStyle w:val="TOC1"/>
        <w:tabs>
          <w:tab w:val="right" w:leader="dot" w:pos="8306"/>
        </w:tabs>
      </w:pPr>
      <w:hyperlink w:anchor="_Toc28555" w:history="1">
        <w:r>
          <w:rPr>
            <w:rFonts w:ascii="仿宋" w:eastAsia="仿宋" w:hAnsi="仿宋" w:cs="仿宋" w:hint="eastAsia"/>
            <w:lang w:eastAsia="zh-CN"/>
          </w:rPr>
          <w:t>二、氮化铬铁项目市场前景分析</w:t>
        </w:r>
        <w:r>
          <w:tab/>
        </w:r>
        <w:r>
          <w:fldChar w:fldCharType="begin"/>
        </w:r>
        <w:r>
          <w:instrText xml:space="preserve"> PAGEREF _Toc28555 \h </w:instrText>
        </w:r>
        <w:r>
          <w:fldChar w:fldCharType="separate"/>
        </w:r>
        <w:r>
          <w:t>6</w:t>
        </w:r>
        <w:r>
          <w:fldChar w:fldCharType="end"/>
        </w:r>
      </w:hyperlink>
    </w:p>
    <w:p>
      <w:pPr>
        <w:pStyle w:val="TOC2"/>
        <w:tabs>
          <w:tab w:val="right" w:leader="dot" w:pos="8306"/>
        </w:tabs>
      </w:pPr>
      <w:hyperlink w:anchor="_Toc23037" w:history="1">
        <w:r>
          <w:rPr>
            <w:rFonts w:ascii="仿宋" w:eastAsia="仿宋" w:hAnsi="仿宋" w:cs="仿宋" w:hint="eastAsia"/>
            <w:lang w:eastAsia="zh-CN"/>
          </w:rPr>
          <w:t>(一)、建设地经济发展概况</w:t>
        </w:r>
        <w:r>
          <w:tab/>
        </w:r>
        <w:r>
          <w:fldChar w:fldCharType="begin"/>
        </w:r>
        <w:r>
          <w:instrText xml:space="preserve"> PAGEREF _Toc23037 \h </w:instrText>
        </w:r>
        <w:r>
          <w:fldChar w:fldCharType="separate"/>
        </w:r>
        <w:r>
          <w:t>6</w:t>
        </w:r>
        <w:r>
          <w:fldChar w:fldCharType="end"/>
        </w:r>
      </w:hyperlink>
    </w:p>
    <w:p>
      <w:pPr>
        <w:pStyle w:val="TOC2"/>
        <w:tabs>
          <w:tab w:val="right" w:leader="dot" w:pos="8306"/>
        </w:tabs>
      </w:pPr>
      <w:hyperlink w:anchor="_Toc32566" w:history="1">
        <w:r>
          <w:rPr>
            <w:rFonts w:ascii="仿宋" w:eastAsia="仿宋" w:hAnsi="仿宋" w:cs="仿宋" w:hint="eastAsia"/>
            <w:lang w:eastAsia="zh-CN"/>
          </w:rPr>
          <w:t>(二)、行业市场分析</w:t>
        </w:r>
        <w:r>
          <w:tab/>
        </w:r>
        <w:r>
          <w:fldChar w:fldCharType="begin"/>
        </w:r>
        <w:r>
          <w:instrText xml:space="preserve"> PAGEREF _Toc32566 \h </w:instrText>
        </w:r>
        <w:r>
          <w:fldChar w:fldCharType="separate"/>
        </w:r>
        <w:r>
          <w:t>8</w:t>
        </w:r>
        <w:r>
          <w:fldChar w:fldCharType="end"/>
        </w:r>
      </w:hyperlink>
    </w:p>
    <w:p>
      <w:pPr>
        <w:pStyle w:val="TOC1"/>
        <w:tabs>
          <w:tab w:val="right" w:leader="dot" w:pos="8306"/>
        </w:tabs>
      </w:pPr>
      <w:hyperlink w:anchor="_Toc11284" w:history="1">
        <w:r>
          <w:rPr>
            <w:rFonts w:ascii="仿宋" w:eastAsia="仿宋" w:hAnsi="仿宋" w:cs="仿宋" w:hint="eastAsia"/>
            <w:lang w:eastAsia="zh-CN"/>
          </w:rPr>
          <w:t>三、氮化铬铁项目环境保护分析</w:t>
        </w:r>
        <w:r>
          <w:tab/>
        </w:r>
        <w:r>
          <w:fldChar w:fldCharType="begin"/>
        </w:r>
        <w:r>
          <w:instrText xml:space="preserve"> PAGEREF _Toc11284 \h </w:instrText>
        </w:r>
        <w:r>
          <w:fldChar w:fldCharType="separate"/>
        </w:r>
        <w:r>
          <w:t>9</w:t>
        </w:r>
        <w:r>
          <w:fldChar w:fldCharType="end"/>
        </w:r>
      </w:hyperlink>
    </w:p>
    <w:p>
      <w:pPr>
        <w:pStyle w:val="TOC2"/>
        <w:tabs>
          <w:tab w:val="right" w:leader="dot" w:pos="8306"/>
        </w:tabs>
      </w:pPr>
      <w:hyperlink w:anchor="_Toc12619" w:history="1">
        <w:r>
          <w:rPr>
            <w:rFonts w:ascii="仿宋" w:eastAsia="仿宋" w:hAnsi="仿宋" w:cs="仿宋" w:hint="eastAsia"/>
            <w:lang w:eastAsia="zh-CN"/>
          </w:rPr>
          <w:t>(一)、建设区域环境质量现状</w:t>
        </w:r>
        <w:r>
          <w:tab/>
        </w:r>
        <w:r>
          <w:fldChar w:fldCharType="begin"/>
        </w:r>
        <w:r>
          <w:instrText xml:space="preserve"> PAGEREF _Toc12619 \h </w:instrText>
        </w:r>
        <w:r>
          <w:fldChar w:fldCharType="separate"/>
        </w:r>
        <w:r>
          <w:t>9</w:t>
        </w:r>
        <w:r>
          <w:fldChar w:fldCharType="end"/>
        </w:r>
      </w:hyperlink>
    </w:p>
    <w:p>
      <w:pPr>
        <w:pStyle w:val="TOC2"/>
        <w:tabs>
          <w:tab w:val="right" w:leader="dot" w:pos="8306"/>
        </w:tabs>
      </w:pPr>
      <w:hyperlink w:anchor="_Toc6620" w:history="1">
        <w:r>
          <w:rPr>
            <w:rFonts w:ascii="仿宋" w:eastAsia="仿宋" w:hAnsi="仿宋" w:cs="仿宋" w:hint="eastAsia"/>
            <w:lang w:eastAsia="zh-CN"/>
          </w:rPr>
          <w:t>(二)、建设期环境保护</w:t>
        </w:r>
        <w:r>
          <w:tab/>
        </w:r>
        <w:r>
          <w:fldChar w:fldCharType="begin"/>
        </w:r>
        <w:r>
          <w:instrText xml:space="preserve"> PAGEREF _Toc6620 \h </w:instrText>
        </w:r>
        <w:r>
          <w:fldChar w:fldCharType="separate"/>
        </w:r>
        <w:r>
          <w:t>10</w:t>
        </w:r>
        <w:r>
          <w:fldChar w:fldCharType="end"/>
        </w:r>
      </w:hyperlink>
    </w:p>
    <w:p>
      <w:pPr>
        <w:pStyle w:val="TOC2"/>
        <w:tabs>
          <w:tab w:val="right" w:leader="dot" w:pos="8306"/>
        </w:tabs>
      </w:pPr>
      <w:hyperlink w:anchor="_Toc25719" w:history="1">
        <w:r>
          <w:rPr>
            <w:rFonts w:ascii="仿宋" w:eastAsia="仿宋" w:hAnsi="仿宋" w:cs="仿宋" w:hint="eastAsia"/>
            <w:lang w:eastAsia="zh-CN"/>
          </w:rPr>
          <w:t>(三)、运营期环境保护</w:t>
        </w:r>
        <w:r>
          <w:tab/>
        </w:r>
        <w:r>
          <w:fldChar w:fldCharType="begin"/>
        </w:r>
        <w:r>
          <w:instrText xml:space="preserve"> PAGEREF _Toc25719 \h </w:instrText>
        </w:r>
        <w:r>
          <w:fldChar w:fldCharType="separate"/>
        </w:r>
        <w:r>
          <w:t>12</w:t>
        </w:r>
        <w:r>
          <w:fldChar w:fldCharType="end"/>
        </w:r>
      </w:hyperlink>
    </w:p>
    <w:p>
      <w:pPr>
        <w:pStyle w:val="TOC2"/>
        <w:tabs>
          <w:tab w:val="right" w:leader="dot" w:pos="8306"/>
        </w:tabs>
      </w:pPr>
      <w:hyperlink w:anchor="_Toc28914" w:history="1">
        <w:r>
          <w:rPr>
            <w:rFonts w:ascii="仿宋" w:eastAsia="仿宋" w:hAnsi="仿宋" w:cs="仿宋" w:hint="eastAsia"/>
            <w:lang w:eastAsia="zh-CN"/>
          </w:rPr>
          <w:t>(四)、氮化铬铁项目建设对区域经济的影响</w:t>
        </w:r>
        <w:r>
          <w:tab/>
        </w:r>
        <w:r>
          <w:fldChar w:fldCharType="begin"/>
        </w:r>
        <w:r>
          <w:instrText xml:space="preserve"> PAGEREF _Toc28914 \h </w:instrText>
        </w:r>
        <w:r>
          <w:fldChar w:fldCharType="separate"/>
        </w:r>
        <w:r>
          <w:t>13</w:t>
        </w:r>
        <w:r>
          <w:fldChar w:fldCharType="end"/>
        </w:r>
      </w:hyperlink>
    </w:p>
    <w:p>
      <w:pPr>
        <w:pStyle w:val="TOC2"/>
        <w:tabs>
          <w:tab w:val="right" w:leader="dot" w:pos="8306"/>
        </w:tabs>
      </w:pPr>
      <w:hyperlink w:anchor="_Toc23314" w:history="1">
        <w:r>
          <w:rPr>
            <w:rFonts w:ascii="仿宋" w:eastAsia="仿宋" w:hAnsi="仿宋" w:cs="仿宋" w:hint="eastAsia"/>
            <w:lang w:eastAsia="zh-CN"/>
          </w:rPr>
          <w:t>(五)、废弃物处理</w:t>
        </w:r>
        <w:r>
          <w:tab/>
        </w:r>
        <w:r>
          <w:fldChar w:fldCharType="begin"/>
        </w:r>
        <w:r>
          <w:instrText xml:space="preserve"> PAGEREF _Toc23314 \h </w:instrText>
        </w:r>
        <w:r>
          <w:fldChar w:fldCharType="separate"/>
        </w:r>
        <w:r>
          <w:t>14</w:t>
        </w:r>
        <w:r>
          <w:fldChar w:fldCharType="end"/>
        </w:r>
      </w:hyperlink>
    </w:p>
    <w:p>
      <w:pPr>
        <w:pStyle w:val="TOC2"/>
        <w:tabs>
          <w:tab w:val="right" w:leader="dot" w:pos="8306"/>
        </w:tabs>
      </w:pPr>
      <w:hyperlink w:anchor="_Toc12463" w:history="1">
        <w:r>
          <w:rPr>
            <w:rFonts w:ascii="仿宋" w:eastAsia="仿宋" w:hAnsi="仿宋" w:cs="仿宋" w:hint="eastAsia"/>
            <w:lang w:eastAsia="zh-CN"/>
          </w:rPr>
          <w:t>(六)、特殊环境影响分析</w:t>
        </w:r>
        <w:r>
          <w:tab/>
        </w:r>
        <w:r>
          <w:fldChar w:fldCharType="begin"/>
        </w:r>
        <w:r>
          <w:instrText xml:space="preserve"> PAGEREF _Toc12463 \h </w:instrText>
        </w:r>
        <w:r>
          <w:fldChar w:fldCharType="separate"/>
        </w:r>
        <w:r>
          <w:t>16</w:t>
        </w:r>
        <w:r>
          <w:fldChar w:fldCharType="end"/>
        </w:r>
      </w:hyperlink>
    </w:p>
    <w:p>
      <w:pPr>
        <w:pStyle w:val="TOC2"/>
        <w:tabs>
          <w:tab w:val="right" w:leader="dot" w:pos="8306"/>
        </w:tabs>
      </w:pPr>
      <w:hyperlink w:anchor="_Toc27600" w:history="1">
        <w:r>
          <w:rPr>
            <w:rFonts w:ascii="仿宋" w:eastAsia="仿宋" w:hAnsi="仿宋" w:cs="仿宋" w:hint="eastAsia"/>
            <w:lang w:eastAsia="zh-CN"/>
          </w:rPr>
          <w:t>(七)、清洁生产</w:t>
        </w:r>
        <w:r>
          <w:tab/>
        </w:r>
        <w:r>
          <w:fldChar w:fldCharType="begin"/>
        </w:r>
        <w:r>
          <w:instrText xml:space="preserve"> PAGEREF _Toc27600 \h </w:instrText>
        </w:r>
        <w:r>
          <w:fldChar w:fldCharType="separate"/>
        </w:r>
        <w:r>
          <w:t>17</w:t>
        </w:r>
        <w:r>
          <w:fldChar w:fldCharType="end"/>
        </w:r>
      </w:hyperlink>
    </w:p>
    <w:p>
      <w:pPr>
        <w:pStyle w:val="TOC2"/>
        <w:tabs>
          <w:tab w:val="right" w:leader="dot" w:pos="8306"/>
        </w:tabs>
      </w:pPr>
      <w:hyperlink w:anchor="_Toc24244" w:history="1">
        <w:r>
          <w:rPr>
            <w:rFonts w:ascii="仿宋" w:eastAsia="仿宋" w:hAnsi="仿宋" w:cs="仿宋" w:hint="eastAsia"/>
            <w:lang w:eastAsia="zh-CN"/>
          </w:rPr>
          <w:t>(八)、环境保护综合评价</w:t>
        </w:r>
        <w:r>
          <w:tab/>
        </w:r>
        <w:r>
          <w:fldChar w:fldCharType="begin"/>
        </w:r>
        <w:r>
          <w:instrText xml:space="preserve"> PAGEREF _Toc24244 \h </w:instrText>
        </w:r>
        <w:r>
          <w:fldChar w:fldCharType="separate"/>
        </w:r>
        <w:r>
          <w:t>18</w:t>
        </w:r>
        <w:r>
          <w:fldChar w:fldCharType="end"/>
        </w:r>
      </w:hyperlink>
    </w:p>
    <w:p>
      <w:pPr>
        <w:pStyle w:val="TOC1"/>
        <w:tabs>
          <w:tab w:val="right" w:leader="dot" w:pos="8306"/>
        </w:tabs>
      </w:pPr>
      <w:hyperlink w:anchor="_Toc20641" w:history="1">
        <w:r>
          <w:rPr>
            <w:rFonts w:ascii="仿宋" w:eastAsia="仿宋" w:hAnsi="仿宋" w:cs="仿宋" w:hint="eastAsia"/>
            <w:lang w:eastAsia="zh-CN"/>
          </w:rPr>
          <w:t>四、工艺分析</w:t>
        </w:r>
        <w:r>
          <w:tab/>
        </w:r>
        <w:r>
          <w:fldChar w:fldCharType="begin"/>
        </w:r>
        <w:r>
          <w:instrText xml:space="preserve"> PAGEREF _Toc20641 \h </w:instrText>
        </w:r>
        <w:r>
          <w:fldChar w:fldCharType="separate"/>
        </w:r>
        <w:r>
          <w:t>20</w:t>
        </w:r>
        <w:r>
          <w:fldChar w:fldCharType="end"/>
        </w:r>
      </w:hyperlink>
    </w:p>
    <w:p>
      <w:pPr>
        <w:pStyle w:val="TOC2"/>
        <w:tabs>
          <w:tab w:val="right" w:leader="dot" w:pos="8306"/>
        </w:tabs>
      </w:pPr>
      <w:hyperlink w:anchor="_Toc13499" w:history="1">
        <w:r>
          <w:rPr>
            <w:rFonts w:ascii="仿宋" w:eastAsia="仿宋" w:hAnsi="仿宋" w:cs="仿宋" w:hint="eastAsia"/>
            <w:lang w:eastAsia="zh-CN"/>
          </w:rPr>
          <w:t>(一)、技术管理特点</w:t>
        </w:r>
        <w:r>
          <w:tab/>
        </w:r>
        <w:r>
          <w:fldChar w:fldCharType="begin"/>
        </w:r>
        <w:r>
          <w:instrText xml:space="preserve"> PAGEREF _Toc13499 \h </w:instrText>
        </w:r>
        <w:r>
          <w:fldChar w:fldCharType="separate"/>
        </w:r>
        <w:r>
          <w:t>20</w:t>
        </w:r>
        <w:r>
          <w:fldChar w:fldCharType="end"/>
        </w:r>
      </w:hyperlink>
    </w:p>
    <w:p>
      <w:pPr>
        <w:pStyle w:val="TOC2"/>
        <w:tabs>
          <w:tab w:val="right" w:leader="dot" w:pos="8306"/>
        </w:tabs>
      </w:pPr>
      <w:hyperlink w:anchor="_Toc19901" w:history="1">
        <w:r>
          <w:rPr>
            <w:rFonts w:ascii="仿宋" w:eastAsia="仿宋" w:hAnsi="仿宋" w:cs="仿宋" w:hint="eastAsia"/>
            <w:lang w:eastAsia="zh-CN"/>
          </w:rPr>
          <w:t>(二)、氮化铬铁项目工艺技术设计方案</w:t>
        </w:r>
        <w:r>
          <w:tab/>
        </w:r>
        <w:r>
          <w:fldChar w:fldCharType="begin"/>
        </w:r>
        <w:r>
          <w:instrText xml:space="preserve"> PAGEREF _Toc19901 \h </w:instrText>
        </w:r>
        <w:r>
          <w:fldChar w:fldCharType="separate"/>
        </w:r>
        <w:r>
          <w:t>21</w:t>
        </w:r>
        <w:r>
          <w:fldChar w:fldCharType="end"/>
        </w:r>
      </w:hyperlink>
    </w:p>
    <w:p>
      <w:pPr>
        <w:pStyle w:val="TOC2"/>
        <w:tabs>
          <w:tab w:val="right" w:leader="dot" w:pos="8306"/>
        </w:tabs>
      </w:pPr>
      <w:hyperlink w:anchor="_Toc6647" w:history="1">
        <w:r>
          <w:rPr>
            <w:rFonts w:ascii="仿宋" w:eastAsia="仿宋" w:hAnsi="仿宋" w:cs="仿宋" w:hint="eastAsia"/>
            <w:lang w:eastAsia="zh-CN"/>
          </w:rPr>
          <w:t>(三)、设备选型方案</w:t>
        </w:r>
        <w:r>
          <w:tab/>
        </w:r>
        <w:r>
          <w:fldChar w:fldCharType="begin"/>
        </w:r>
        <w:r>
          <w:instrText xml:space="preserve"> PAGEREF _Toc6647 \h </w:instrText>
        </w:r>
        <w:r>
          <w:fldChar w:fldCharType="separate"/>
        </w:r>
        <w:r>
          <w:t>22</w:t>
        </w:r>
        <w:r>
          <w:fldChar w:fldCharType="end"/>
        </w:r>
      </w:hyperlink>
    </w:p>
    <w:p>
      <w:pPr>
        <w:pStyle w:val="TOC1"/>
        <w:tabs>
          <w:tab w:val="right" w:leader="dot" w:pos="8306"/>
        </w:tabs>
      </w:pPr>
      <w:hyperlink w:anchor="_Toc31224" w:history="1">
        <w:r>
          <w:rPr>
            <w:rFonts w:ascii="仿宋" w:eastAsia="仿宋" w:hAnsi="仿宋" w:cs="仿宋" w:hint="eastAsia"/>
            <w:lang w:eastAsia="zh-CN"/>
          </w:rPr>
          <w:t>五、员工福利与企业文化</w:t>
        </w:r>
        <w:r>
          <w:tab/>
        </w:r>
        <w:r>
          <w:fldChar w:fldCharType="begin"/>
        </w:r>
        <w:r>
          <w:instrText xml:space="preserve"> PAGEREF _Toc31224 \h </w:instrText>
        </w:r>
        <w:r>
          <w:fldChar w:fldCharType="separate"/>
        </w:r>
        <w:r>
          <w:t>23</w:t>
        </w:r>
        <w:r>
          <w:fldChar w:fldCharType="end"/>
        </w:r>
      </w:hyperlink>
    </w:p>
    <w:p>
      <w:pPr>
        <w:pStyle w:val="TOC2"/>
        <w:tabs>
          <w:tab w:val="right" w:leader="dot" w:pos="8306"/>
        </w:tabs>
      </w:pPr>
      <w:hyperlink w:anchor="_Toc11414" w:history="1">
        <w:r>
          <w:rPr>
            <w:rFonts w:ascii="仿宋" w:eastAsia="仿宋" w:hAnsi="仿宋" w:cs="仿宋" w:hint="eastAsia"/>
            <w:lang w:eastAsia="zh-CN"/>
          </w:rPr>
          <w:t>(一)、员工福利政策</w:t>
        </w:r>
        <w:r>
          <w:tab/>
        </w:r>
        <w:r>
          <w:fldChar w:fldCharType="begin"/>
        </w:r>
        <w:r>
          <w:instrText xml:space="preserve"> PAGEREF _Toc11414 \h </w:instrText>
        </w:r>
        <w:r>
          <w:fldChar w:fldCharType="separate"/>
        </w:r>
        <w:r>
          <w:t>23</w:t>
        </w:r>
        <w:r>
          <w:fldChar w:fldCharType="end"/>
        </w:r>
      </w:hyperlink>
    </w:p>
    <w:p>
      <w:pPr>
        <w:pStyle w:val="TOC2"/>
        <w:tabs>
          <w:tab w:val="right" w:leader="dot" w:pos="8306"/>
        </w:tabs>
      </w:pPr>
      <w:hyperlink w:anchor="_Toc31440" w:history="1">
        <w:r>
          <w:rPr>
            <w:rFonts w:ascii="仿宋" w:eastAsia="仿宋" w:hAnsi="仿宋" w:cs="仿宋" w:hint="eastAsia"/>
            <w:lang w:eastAsia="zh-CN"/>
          </w:rPr>
          <w:t>(二)、团队建设与员工培训</w:t>
        </w:r>
        <w:r>
          <w:tab/>
        </w:r>
        <w:r>
          <w:fldChar w:fldCharType="begin"/>
        </w:r>
        <w:r>
          <w:instrText xml:space="preserve"> PAGEREF _Toc31440 \h </w:instrText>
        </w:r>
        <w:r>
          <w:fldChar w:fldCharType="separate"/>
        </w:r>
        <w:r>
          <w:t>24</w:t>
        </w:r>
        <w:r>
          <w:fldChar w:fldCharType="end"/>
        </w:r>
      </w:hyperlink>
    </w:p>
    <w:p>
      <w:pPr>
        <w:pStyle w:val="TOC2"/>
        <w:tabs>
          <w:tab w:val="right" w:leader="dot" w:pos="8306"/>
        </w:tabs>
      </w:pPr>
      <w:hyperlink w:anchor="_Toc1047" w:history="1">
        <w:r>
          <w:rPr>
            <w:rFonts w:ascii="仿宋" w:eastAsia="仿宋" w:hAnsi="仿宋" w:cs="仿宋" w:hint="eastAsia"/>
            <w:lang w:eastAsia="zh-CN"/>
          </w:rPr>
          <w:t>(三)、企业文化建设</w:t>
        </w:r>
        <w:r>
          <w:tab/>
        </w:r>
        <w:r>
          <w:fldChar w:fldCharType="begin"/>
        </w:r>
        <w:r>
          <w:instrText xml:space="preserve"> PAGEREF _Toc1047 \h </w:instrText>
        </w:r>
        <w:r>
          <w:fldChar w:fldCharType="separate"/>
        </w:r>
        <w:r>
          <w:t>26</w:t>
        </w:r>
        <w:r>
          <w:fldChar w:fldCharType="end"/>
        </w:r>
      </w:hyperlink>
    </w:p>
    <w:p>
      <w:pPr>
        <w:pStyle w:val="TOC2"/>
        <w:tabs>
          <w:tab w:val="right" w:leader="dot" w:pos="8306"/>
        </w:tabs>
      </w:pPr>
      <w:hyperlink w:anchor="_Toc22996" w:history="1">
        <w:r>
          <w:rPr>
            <w:rFonts w:ascii="仿宋" w:eastAsia="仿宋" w:hAnsi="仿宋" w:cs="仿宋" w:hint="eastAsia"/>
            <w:lang w:eastAsia="zh-CN"/>
          </w:rPr>
          <w:t>(四)、员工健康与工作平衡</w:t>
        </w:r>
        <w:r>
          <w:tab/>
        </w:r>
        <w:r>
          <w:fldChar w:fldCharType="begin"/>
        </w:r>
        <w:r>
          <w:instrText xml:space="preserve"> PAGEREF _Toc22996 \h </w:instrText>
        </w:r>
        <w:r>
          <w:fldChar w:fldCharType="separate"/>
        </w:r>
        <w:r>
          <w:t>28</w:t>
        </w:r>
        <w:r>
          <w:fldChar w:fldCharType="end"/>
        </w:r>
      </w:hyperlink>
    </w:p>
    <w:p>
      <w:pPr>
        <w:pStyle w:val="TOC1"/>
        <w:tabs>
          <w:tab w:val="right" w:leader="dot" w:pos="8306"/>
        </w:tabs>
      </w:pPr>
      <w:hyperlink w:anchor="_Toc23446" w:history="1">
        <w:r>
          <w:rPr>
            <w:rFonts w:ascii="仿宋" w:eastAsia="仿宋" w:hAnsi="仿宋" w:cs="仿宋" w:hint="eastAsia"/>
            <w:lang w:eastAsia="zh-CN"/>
          </w:rPr>
          <w:t>六、危机管理与应急预案</w:t>
        </w:r>
        <w:r>
          <w:tab/>
        </w:r>
        <w:r>
          <w:fldChar w:fldCharType="begin"/>
        </w:r>
        <w:r>
          <w:instrText xml:space="preserve"> PAGEREF _Toc23446 \h </w:instrText>
        </w:r>
        <w:r>
          <w:fldChar w:fldCharType="separate"/>
        </w:r>
        <w:r>
          <w:t>29</w:t>
        </w:r>
        <w:r>
          <w:fldChar w:fldCharType="end"/>
        </w:r>
      </w:hyperlink>
    </w:p>
    <w:p>
      <w:pPr>
        <w:pStyle w:val="TOC2"/>
        <w:tabs>
          <w:tab w:val="right" w:leader="dot" w:pos="8306"/>
        </w:tabs>
      </w:pPr>
      <w:hyperlink w:anchor="_Toc1619" w:history="1">
        <w:r>
          <w:rPr>
            <w:rFonts w:ascii="仿宋" w:eastAsia="仿宋" w:hAnsi="仿宋" w:cs="仿宋" w:hint="eastAsia"/>
            <w:lang w:eastAsia="zh-CN"/>
          </w:rPr>
          <w:t>(一)、危机预警与监测</w:t>
        </w:r>
        <w:r>
          <w:tab/>
        </w:r>
        <w:r>
          <w:fldChar w:fldCharType="begin"/>
        </w:r>
        <w:r>
          <w:instrText xml:space="preserve"> PAGEREF _Toc1619 \h </w:instrText>
        </w:r>
        <w:r>
          <w:fldChar w:fldCharType="separate"/>
        </w:r>
        <w:r>
          <w:t>29</w:t>
        </w:r>
        <w:r>
          <w:fldChar w:fldCharType="end"/>
        </w:r>
      </w:hyperlink>
    </w:p>
    <w:p>
      <w:pPr>
        <w:pStyle w:val="TOC2"/>
        <w:tabs>
          <w:tab w:val="right" w:leader="dot" w:pos="8306"/>
        </w:tabs>
      </w:pPr>
      <w:hyperlink w:anchor="_Toc2881" w:history="1">
        <w:r>
          <w:rPr>
            <w:rFonts w:ascii="仿宋" w:eastAsia="仿宋" w:hAnsi="仿宋" w:cs="仿宋" w:hint="eastAsia"/>
            <w:lang w:eastAsia="zh-CN"/>
          </w:rPr>
          <w:t>(二)、应急预案与危机响应</w:t>
        </w:r>
        <w:r>
          <w:tab/>
        </w:r>
        <w:r>
          <w:fldChar w:fldCharType="begin"/>
        </w:r>
        <w:r>
          <w:instrText xml:space="preserve"> PAGEREF _Toc2881 \h </w:instrText>
        </w:r>
        <w:r>
          <w:fldChar w:fldCharType="separate"/>
        </w:r>
        <w:r>
          <w:t>31</w:t>
        </w:r>
        <w:r>
          <w:fldChar w:fldCharType="end"/>
        </w:r>
      </w:hyperlink>
    </w:p>
    <w:p>
      <w:pPr>
        <w:pStyle w:val="TOC2"/>
        <w:tabs>
          <w:tab w:val="right" w:leader="dot" w:pos="8306"/>
        </w:tabs>
      </w:pPr>
      <w:hyperlink w:anchor="_Toc28022" w:history="1">
        <w:r>
          <w:rPr>
            <w:rFonts w:ascii="仿宋" w:eastAsia="仿宋" w:hAnsi="仿宋" w:cs="仿宋" w:hint="eastAsia"/>
            <w:lang w:eastAsia="zh-CN"/>
          </w:rPr>
          <w:t>(三)、危机沟通与舆情控制</w:t>
        </w:r>
        <w:r>
          <w:tab/>
        </w:r>
        <w:r>
          <w:fldChar w:fldCharType="begin"/>
        </w:r>
        <w:r>
          <w:instrText xml:space="preserve"> PAGEREF _Toc28022 \h </w:instrText>
        </w:r>
        <w:r>
          <w:fldChar w:fldCharType="separate"/>
        </w:r>
        <w:r>
          <w:t>33</w:t>
        </w:r>
        <w:r>
          <w:fldChar w:fldCharType="end"/>
        </w:r>
      </w:hyperlink>
    </w:p>
    <w:p>
      <w:pPr>
        <w:pStyle w:val="TOC2"/>
        <w:tabs>
          <w:tab w:val="right" w:leader="dot" w:pos="8306"/>
        </w:tabs>
      </w:pPr>
      <w:hyperlink w:anchor="_Toc12937" w:history="1">
        <w:r>
          <w:rPr>
            <w:rFonts w:ascii="仿宋" w:eastAsia="仿宋" w:hAnsi="仿宋" w:cs="仿宋" w:hint="eastAsia"/>
            <w:lang w:eastAsia="zh-CN"/>
          </w:rPr>
          <w:t>(四)、危机后教训与改进</w:t>
        </w:r>
        <w:r>
          <w:tab/>
        </w:r>
        <w:r>
          <w:fldChar w:fldCharType="begin"/>
        </w:r>
        <w:r>
          <w:instrText xml:space="preserve"> PAGEREF _Toc12937 \h </w:instrText>
        </w:r>
        <w:r>
          <w:fldChar w:fldCharType="separate"/>
        </w:r>
        <w:r>
          <w:t>35</w:t>
        </w:r>
        <w:r>
          <w:fldChar w:fldCharType="end"/>
        </w:r>
      </w:hyperlink>
    </w:p>
    <w:p>
      <w:pPr>
        <w:pStyle w:val="TOC1"/>
        <w:tabs>
          <w:tab w:val="right" w:leader="dot" w:pos="8306"/>
        </w:tabs>
      </w:pPr>
      <w:hyperlink w:anchor="_Toc9263" w:history="1">
        <w:r>
          <w:rPr>
            <w:rFonts w:ascii="仿宋" w:eastAsia="仿宋" w:hAnsi="仿宋" w:cs="仿宋" w:hint="eastAsia"/>
            <w:lang w:eastAsia="zh-CN"/>
          </w:rPr>
          <w:t>七、氮化铬铁项目风险评估</w:t>
        </w:r>
        <w:r>
          <w:tab/>
        </w:r>
        <w:r>
          <w:fldChar w:fldCharType="begin"/>
        </w:r>
        <w:r>
          <w:instrText xml:space="preserve"> PAGEREF _Toc9263 \h </w:instrText>
        </w:r>
        <w:r>
          <w:fldChar w:fldCharType="separate"/>
        </w:r>
        <w:r>
          <w:t>37</w:t>
        </w:r>
        <w:r>
          <w:fldChar w:fldCharType="end"/>
        </w:r>
      </w:hyperlink>
    </w:p>
    <w:p>
      <w:pPr>
        <w:pStyle w:val="TOC2"/>
        <w:tabs>
          <w:tab w:val="right" w:leader="dot" w:pos="8306"/>
        </w:tabs>
      </w:pPr>
      <w:hyperlink w:anchor="_Toc16592" w:history="1">
        <w:r>
          <w:rPr>
            <w:rFonts w:ascii="仿宋" w:eastAsia="仿宋" w:hAnsi="仿宋" w:cs="仿宋" w:hint="eastAsia"/>
            <w:lang w:eastAsia="zh-CN"/>
          </w:rPr>
          <w:t>(一)、政策风险分析</w:t>
        </w:r>
        <w:r>
          <w:tab/>
        </w:r>
        <w:r>
          <w:fldChar w:fldCharType="begin"/>
        </w:r>
        <w:r>
          <w:instrText xml:space="preserve"> PAGEREF _Toc16592 \h </w:instrText>
        </w:r>
        <w:r>
          <w:fldChar w:fldCharType="separate"/>
        </w:r>
        <w:r>
          <w:t>37</w:t>
        </w:r>
        <w:r>
          <w:fldChar w:fldCharType="end"/>
        </w:r>
      </w:hyperlink>
    </w:p>
    <w:p>
      <w:pPr>
        <w:pStyle w:val="TOC2"/>
        <w:tabs>
          <w:tab w:val="right" w:leader="dot" w:pos="8306"/>
        </w:tabs>
      </w:pPr>
      <w:hyperlink w:anchor="_Toc14758" w:history="1">
        <w:r>
          <w:rPr>
            <w:rFonts w:ascii="仿宋" w:eastAsia="仿宋" w:hAnsi="仿宋" w:cs="仿宋" w:hint="eastAsia"/>
            <w:lang w:eastAsia="zh-CN"/>
          </w:rPr>
          <w:t>(二)、社会风险分析</w:t>
        </w:r>
        <w:r>
          <w:tab/>
        </w:r>
        <w:r>
          <w:fldChar w:fldCharType="begin"/>
        </w:r>
        <w:r>
          <w:instrText xml:space="preserve"> PAGEREF _Toc14758 \h </w:instrText>
        </w:r>
        <w:r>
          <w:fldChar w:fldCharType="separate"/>
        </w:r>
        <w:r>
          <w:t>38</w:t>
        </w:r>
        <w:r>
          <w:fldChar w:fldCharType="end"/>
        </w:r>
      </w:hyperlink>
    </w:p>
    <w:p>
      <w:pPr>
        <w:pStyle w:val="TOC2"/>
        <w:tabs>
          <w:tab w:val="right" w:leader="dot" w:pos="8306"/>
        </w:tabs>
      </w:pPr>
      <w:hyperlink w:anchor="_Toc14502" w:history="1">
        <w:r>
          <w:rPr>
            <w:rFonts w:ascii="仿宋" w:eastAsia="仿宋" w:hAnsi="仿宋" w:cs="仿宋" w:hint="eastAsia"/>
            <w:lang w:eastAsia="zh-CN"/>
          </w:rPr>
          <w:t>(三)、市场风险分析</w:t>
        </w:r>
        <w:r>
          <w:tab/>
        </w:r>
        <w:r>
          <w:fldChar w:fldCharType="begin"/>
        </w:r>
        <w:r>
          <w:instrText xml:space="preserve"> PAGEREF _Toc14502 \h </w:instrText>
        </w:r>
        <w:r>
          <w:fldChar w:fldCharType="separate"/>
        </w:r>
        <w:r>
          <w:t>40</w:t>
        </w:r>
        <w:r>
          <w:fldChar w:fldCharType="end"/>
        </w:r>
      </w:hyperlink>
    </w:p>
    <w:p>
      <w:pPr>
        <w:pStyle w:val="TOC2"/>
        <w:tabs>
          <w:tab w:val="right" w:leader="dot" w:pos="8306"/>
        </w:tabs>
      </w:pPr>
      <w:hyperlink w:anchor="_Toc15884" w:history="1">
        <w:r>
          <w:rPr>
            <w:rFonts w:ascii="仿宋" w:eastAsia="仿宋" w:hAnsi="仿宋" w:cs="仿宋" w:hint="eastAsia"/>
            <w:lang w:eastAsia="zh-CN"/>
          </w:rPr>
          <w:t>(四)、资金风险分析</w:t>
        </w:r>
        <w:r>
          <w:tab/>
        </w:r>
        <w:r>
          <w:fldChar w:fldCharType="begin"/>
        </w:r>
        <w:r>
          <w:instrText xml:space="preserve"> PAGEREF _Toc15884 \h </w:instrText>
        </w:r>
        <w:r>
          <w:fldChar w:fldCharType="separate"/>
        </w:r>
        <w:r>
          <w:t>42</w:t>
        </w:r>
        <w:r>
          <w:fldChar w:fldCharType="end"/>
        </w:r>
      </w:hyperlink>
    </w:p>
    <w:p>
      <w:pPr>
        <w:pStyle w:val="TOC2"/>
        <w:tabs>
          <w:tab w:val="right" w:leader="dot" w:pos="8306"/>
        </w:tabs>
      </w:pPr>
      <w:hyperlink w:anchor="_Toc10710" w:history="1">
        <w:r>
          <w:rPr>
            <w:rFonts w:ascii="仿宋" w:eastAsia="仿宋" w:hAnsi="仿宋" w:cs="仿宋" w:hint="eastAsia"/>
            <w:lang w:eastAsia="zh-CN"/>
          </w:rPr>
          <w:t>(五)、技术风险分析</w:t>
        </w:r>
        <w:r>
          <w:tab/>
        </w:r>
        <w:r>
          <w:fldChar w:fldCharType="begin"/>
        </w:r>
        <w:r>
          <w:instrText xml:space="preserve"> PAGEREF _Toc10710 \h </w:instrText>
        </w:r>
        <w:r>
          <w:fldChar w:fldCharType="separate"/>
        </w:r>
        <w:r>
          <w:t>44</w:t>
        </w:r>
        <w:r>
          <w:fldChar w:fldCharType="end"/>
        </w:r>
      </w:hyperlink>
    </w:p>
    <w:p>
      <w:pPr>
        <w:pStyle w:val="TOC2"/>
        <w:tabs>
          <w:tab w:val="right" w:leader="dot" w:pos="8306"/>
        </w:tabs>
      </w:pPr>
      <w:hyperlink w:anchor="_Toc10488" w:history="1">
        <w:r>
          <w:rPr>
            <w:rFonts w:ascii="仿宋" w:eastAsia="仿宋" w:hAnsi="仿宋" w:cs="仿宋" w:hint="eastAsia"/>
            <w:lang w:eastAsia="zh-CN"/>
          </w:rPr>
          <w:t>(六)、财务风险分析</w:t>
        </w:r>
        <w:r>
          <w:tab/>
        </w:r>
        <w:r>
          <w:fldChar w:fldCharType="begin"/>
        </w:r>
        <w:r>
          <w:instrText xml:space="preserve"> PAGEREF _Toc10488 \h </w:instrText>
        </w:r>
        <w:r>
          <w:fldChar w:fldCharType="separate"/>
        </w:r>
        <w:r>
          <w:t>46</w:t>
        </w:r>
        <w:r>
          <w:fldChar w:fldCharType="end"/>
        </w:r>
      </w:hyperlink>
    </w:p>
    <w:p>
      <w:pPr>
        <w:pStyle w:val="TOC2"/>
        <w:tabs>
          <w:tab w:val="right" w:leader="dot" w:pos="8306"/>
        </w:tabs>
      </w:pPr>
      <w:hyperlink w:anchor="_Toc196" w:history="1">
        <w:r>
          <w:rPr>
            <w:rFonts w:ascii="仿宋" w:eastAsia="仿宋" w:hAnsi="仿宋" w:cs="仿宋" w:hint="eastAsia"/>
            <w:lang w:eastAsia="zh-CN"/>
          </w:rPr>
          <w:t>(七)、管理风险分析</w:t>
        </w:r>
        <w:r>
          <w:tab/>
        </w:r>
        <w:r>
          <w:fldChar w:fldCharType="begin"/>
        </w:r>
        <w:r>
          <w:instrText xml:space="preserve"> PAGEREF _Toc196 \h </w:instrText>
        </w:r>
        <w:r>
          <w:fldChar w:fldCharType="separate"/>
        </w:r>
        <w:r>
          <w:t>47</w:t>
        </w:r>
        <w:r>
          <w:fldChar w:fldCharType="end"/>
        </w:r>
      </w:hyperlink>
    </w:p>
    <w:p>
      <w:pPr>
        <w:pStyle w:val="TOC2"/>
        <w:tabs>
          <w:tab w:val="right" w:leader="dot" w:pos="8306"/>
        </w:tabs>
      </w:pPr>
      <w:hyperlink w:anchor="_Toc25530" w:history="1">
        <w:r>
          <w:rPr>
            <w:rFonts w:ascii="仿宋" w:eastAsia="仿宋" w:hAnsi="仿宋" w:cs="仿宋" w:hint="eastAsia"/>
            <w:lang w:eastAsia="zh-CN"/>
          </w:rPr>
          <w:t>(八)、其它风险分析</w:t>
        </w:r>
        <w:r>
          <w:tab/>
        </w:r>
        <w:r>
          <w:fldChar w:fldCharType="begin"/>
        </w:r>
        <w:r>
          <w:instrText xml:space="preserve"> PAGEREF _Toc25530 \h </w:instrText>
        </w:r>
        <w:r>
          <w:fldChar w:fldCharType="separate"/>
        </w:r>
        <w:r>
          <w:t>49</w:t>
        </w:r>
        <w:r>
          <w:fldChar w:fldCharType="end"/>
        </w:r>
      </w:hyperlink>
    </w:p>
    <w:p>
      <w:pPr>
        <w:pStyle w:val="TOC2"/>
        <w:tabs>
          <w:tab w:val="right" w:leader="dot" w:pos="8306"/>
        </w:tabs>
      </w:pPr>
      <w:hyperlink w:anchor="_Toc32248" w:history="1">
        <w:r>
          <w:rPr>
            <w:rFonts w:ascii="仿宋" w:eastAsia="仿宋" w:hAnsi="仿宋" w:cs="仿宋" w:hint="eastAsia"/>
            <w:lang w:eastAsia="zh-CN"/>
          </w:rPr>
          <w:t>(九)、社会影响评估</w:t>
        </w:r>
        <w:r>
          <w:tab/>
        </w:r>
        <w:r>
          <w:fldChar w:fldCharType="begin"/>
        </w:r>
        <w:r>
          <w:instrText xml:space="preserve"> PAGEREF _Toc32248 \h </w:instrText>
        </w:r>
        <w:r>
          <w:fldChar w:fldCharType="separate"/>
        </w:r>
        <w:r>
          <w:t>51</w:t>
        </w:r>
        <w:r>
          <w:fldChar w:fldCharType="end"/>
        </w:r>
      </w:hyperlink>
    </w:p>
    <w:p>
      <w:pPr>
        <w:pStyle w:val="TOC1"/>
        <w:tabs>
          <w:tab w:val="right" w:leader="dot" w:pos="8306"/>
        </w:tabs>
      </w:pPr>
      <w:hyperlink w:anchor="_Toc8014" w:history="1">
        <w:r>
          <w:rPr>
            <w:rFonts w:ascii="仿宋" w:eastAsia="仿宋" w:hAnsi="仿宋" w:cs="仿宋" w:hint="eastAsia"/>
            <w:lang w:eastAsia="zh-CN"/>
          </w:rPr>
          <w:t>八、知识管理与技术创新</w:t>
        </w:r>
        <w:r>
          <w:tab/>
        </w:r>
        <w:r>
          <w:fldChar w:fldCharType="begin"/>
        </w:r>
        <w:r>
          <w:instrText xml:space="preserve"> PAGEREF _Toc8014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458" w:history="1">
        <w:r>
          <w:rPr>
            <w:rFonts w:ascii="仿宋" w:eastAsia="仿宋" w:hAnsi="仿宋" w:cs="仿宋" w:hint="eastAsia"/>
            <w:lang w:eastAsia="zh-CN"/>
          </w:rPr>
          <w:t>(一)、知识管理体系建设</w:t>
        </w:r>
        <w:r>
          <w:tab/>
        </w:r>
        <w:r>
          <w:fldChar w:fldCharType="begin"/>
        </w:r>
        <w:r>
          <w:instrText xml:space="preserve"> PAGEREF _Toc32458 \h </w:instrText>
        </w:r>
        <w:r>
          <w:fldChar w:fldCharType="separate"/>
        </w:r>
        <w:r>
          <w:t>52</w:t>
        </w:r>
        <w:r>
          <w:fldChar w:fldCharType="end"/>
        </w:r>
      </w:hyperlink>
    </w:p>
    <w:p>
      <w:pPr>
        <w:pStyle w:val="TOC2"/>
        <w:tabs>
          <w:tab w:val="right" w:leader="dot" w:pos="8306"/>
        </w:tabs>
      </w:pPr>
      <w:hyperlink w:anchor="_Toc6863" w:history="1">
        <w:r>
          <w:rPr>
            <w:rFonts w:ascii="仿宋" w:eastAsia="仿宋" w:hAnsi="仿宋" w:cs="仿宋" w:hint="eastAsia"/>
            <w:lang w:eastAsia="zh-CN"/>
          </w:rPr>
          <w:t>(二)、技术创新与研发投入</w:t>
        </w:r>
        <w:r>
          <w:tab/>
        </w:r>
        <w:r>
          <w:fldChar w:fldCharType="begin"/>
        </w:r>
        <w:r>
          <w:instrText xml:space="preserve"> PAGEREF _Toc6863 \h </w:instrText>
        </w:r>
        <w:r>
          <w:fldChar w:fldCharType="separate"/>
        </w:r>
        <w:r>
          <w:t>54</w:t>
        </w:r>
        <w:r>
          <w:fldChar w:fldCharType="end"/>
        </w:r>
      </w:hyperlink>
    </w:p>
    <w:p>
      <w:pPr>
        <w:pStyle w:val="TOC2"/>
        <w:tabs>
          <w:tab w:val="right" w:leader="dot" w:pos="8306"/>
        </w:tabs>
      </w:pPr>
      <w:hyperlink w:anchor="_Toc18560" w:history="1">
        <w:r>
          <w:rPr>
            <w:rFonts w:ascii="仿宋" w:eastAsia="仿宋" w:hAnsi="仿宋" w:cs="仿宋" w:hint="eastAsia"/>
            <w:lang w:eastAsia="zh-CN"/>
          </w:rPr>
          <w:t>(三)、专利申请与技术保护</w:t>
        </w:r>
        <w:r>
          <w:tab/>
        </w:r>
        <w:r>
          <w:fldChar w:fldCharType="begin"/>
        </w:r>
        <w:r>
          <w:instrText xml:space="preserve"> PAGEREF _Toc18560 \h </w:instrText>
        </w:r>
        <w:r>
          <w:fldChar w:fldCharType="separate"/>
        </w:r>
        <w:r>
          <w:t>55</w:t>
        </w:r>
        <w:r>
          <w:fldChar w:fldCharType="end"/>
        </w:r>
      </w:hyperlink>
    </w:p>
    <w:p>
      <w:pPr>
        <w:pStyle w:val="TOC2"/>
        <w:tabs>
          <w:tab w:val="right" w:leader="dot" w:pos="8306"/>
        </w:tabs>
      </w:pPr>
      <w:hyperlink w:anchor="_Toc26270" w:history="1">
        <w:r>
          <w:rPr>
            <w:rFonts w:ascii="仿宋" w:eastAsia="仿宋" w:hAnsi="仿宋" w:cs="仿宋" w:hint="eastAsia"/>
            <w:lang w:eastAsia="zh-CN"/>
          </w:rPr>
          <w:t>(四)、人才培养与团队建设</w:t>
        </w:r>
        <w:r>
          <w:tab/>
        </w:r>
        <w:r>
          <w:fldChar w:fldCharType="begin"/>
        </w:r>
        <w:r>
          <w:instrText xml:space="preserve"> PAGEREF _Toc26270 \h </w:instrText>
        </w:r>
        <w:r>
          <w:fldChar w:fldCharType="separate"/>
        </w:r>
        <w:r>
          <w:t>58</w:t>
        </w:r>
        <w:r>
          <w:fldChar w:fldCharType="end"/>
        </w:r>
      </w:hyperlink>
    </w:p>
    <w:p>
      <w:pPr>
        <w:pStyle w:val="TOC1"/>
        <w:tabs>
          <w:tab w:val="right" w:leader="dot" w:pos="8306"/>
        </w:tabs>
      </w:pPr>
      <w:hyperlink w:anchor="_Toc20839" w:history="1">
        <w:r>
          <w:rPr>
            <w:rFonts w:ascii="仿宋" w:eastAsia="仿宋" w:hAnsi="仿宋" w:cs="仿宋" w:hint="eastAsia"/>
            <w:lang w:eastAsia="zh-CN"/>
          </w:rPr>
          <w:t>九、供应链管理与物流优化</w:t>
        </w:r>
        <w:r>
          <w:tab/>
        </w:r>
        <w:r>
          <w:fldChar w:fldCharType="begin"/>
        </w:r>
        <w:r>
          <w:instrText xml:space="preserve"> PAGEREF _Toc20839 \h </w:instrText>
        </w:r>
        <w:r>
          <w:fldChar w:fldCharType="separate"/>
        </w:r>
        <w:r>
          <w:t>60</w:t>
        </w:r>
        <w:r>
          <w:fldChar w:fldCharType="end"/>
        </w:r>
      </w:hyperlink>
    </w:p>
    <w:p>
      <w:pPr>
        <w:pStyle w:val="TOC2"/>
        <w:tabs>
          <w:tab w:val="right" w:leader="dot" w:pos="8306"/>
        </w:tabs>
      </w:pPr>
      <w:hyperlink w:anchor="_Toc20882" w:history="1">
        <w:r>
          <w:rPr>
            <w:rFonts w:ascii="仿宋" w:eastAsia="仿宋" w:hAnsi="仿宋" w:cs="仿宋" w:hint="eastAsia"/>
            <w:lang w:eastAsia="zh-CN"/>
          </w:rPr>
          <w:t>(一)、供应链规划与优化</w:t>
        </w:r>
        <w:r>
          <w:tab/>
        </w:r>
        <w:r>
          <w:fldChar w:fldCharType="begin"/>
        </w:r>
        <w:r>
          <w:instrText xml:space="preserve"> PAGEREF _Toc20882 \h </w:instrText>
        </w:r>
        <w:r>
          <w:fldChar w:fldCharType="separate"/>
        </w:r>
        <w:r>
          <w:t>60</w:t>
        </w:r>
        <w:r>
          <w:fldChar w:fldCharType="end"/>
        </w:r>
      </w:hyperlink>
    </w:p>
    <w:p>
      <w:pPr>
        <w:pStyle w:val="TOC2"/>
        <w:tabs>
          <w:tab w:val="right" w:leader="dot" w:pos="8306"/>
        </w:tabs>
      </w:pPr>
      <w:hyperlink w:anchor="_Toc8109" w:history="1">
        <w:r>
          <w:rPr>
            <w:rFonts w:ascii="仿宋" w:eastAsia="仿宋" w:hAnsi="仿宋" w:cs="仿宋" w:hint="eastAsia"/>
            <w:lang w:eastAsia="zh-CN"/>
          </w:rPr>
          <w:t>(二)、供应商选择与评估</w:t>
        </w:r>
        <w:r>
          <w:tab/>
        </w:r>
        <w:r>
          <w:fldChar w:fldCharType="begin"/>
        </w:r>
        <w:r>
          <w:instrText xml:space="preserve"> PAGEREF _Toc8109 \h </w:instrText>
        </w:r>
        <w:r>
          <w:fldChar w:fldCharType="separate"/>
        </w:r>
        <w:r>
          <w:t>62</w:t>
        </w:r>
        <w:r>
          <w:fldChar w:fldCharType="end"/>
        </w:r>
      </w:hyperlink>
    </w:p>
    <w:p>
      <w:pPr>
        <w:pStyle w:val="TOC2"/>
        <w:tabs>
          <w:tab w:val="right" w:leader="dot" w:pos="8306"/>
        </w:tabs>
      </w:pPr>
      <w:hyperlink w:anchor="_Toc22773" w:history="1">
        <w:r>
          <w:rPr>
            <w:rFonts w:ascii="仿宋" w:eastAsia="仿宋" w:hAnsi="仿宋" w:cs="仿宋" w:hint="eastAsia"/>
            <w:lang w:eastAsia="zh-CN"/>
          </w:rPr>
          <w:t>(三)、物流网络设计与管理</w:t>
        </w:r>
        <w:r>
          <w:tab/>
        </w:r>
        <w:r>
          <w:fldChar w:fldCharType="begin"/>
        </w:r>
        <w:r>
          <w:instrText xml:space="preserve"> PAGEREF _Toc22773 \h </w:instrText>
        </w:r>
        <w:r>
          <w:fldChar w:fldCharType="separate"/>
        </w:r>
        <w:r>
          <w:t>64</w:t>
        </w:r>
        <w:r>
          <w:fldChar w:fldCharType="end"/>
        </w:r>
      </w:hyperlink>
    </w:p>
    <w:p>
      <w:pPr>
        <w:pStyle w:val="TOC2"/>
        <w:tabs>
          <w:tab w:val="right" w:leader="dot" w:pos="8306"/>
        </w:tabs>
      </w:pPr>
      <w:hyperlink w:anchor="_Toc21507" w:history="1">
        <w:r>
          <w:rPr>
            <w:rFonts w:ascii="仿宋" w:eastAsia="仿宋" w:hAnsi="仿宋" w:cs="仿宋" w:hint="eastAsia"/>
            <w:lang w:eastAsia="zh-CN"/>
          </w:rPr>
          <w:t>(四)、库存控制与仓储管理</w:t>
        </w:r>
        <w:r>
          <w:tab/>
        </w:r>
        <w:r>
          <w:fldChar w:fldCharType="begin"/>
        </w:r>
        <w:r>
          <w:instrText xml:space="preserve"> PAGEREF _Toc21507 \h </w:instrText>
        </w:r>
        <w:r>
          <w:fldChar w:fldCharType="separate"/>
        </w:r>
        <w:r>
          <w:t>67</w:t>
        </w:r>
        <w:r>
          <w:fldChar w:fldCharType="end"/>
        </w:r>
      </w:hyperlink>
    </w:p>
    <w:p>
      <w:pPr>
        <w:pStyle w:val="TOC1"/>
        <w:tabs>
          <w:tab w:val="right" w:leader="dot" w:pos="8306"/>
        </w:tabs>
      </w:pPr>
      <w:hyperlink w:anchor="_Toc31000" w:history="1">
        <w:r>
          <w:rPr>
            <w:rFonts w:ascii="仿宋" w:eastAsia="仿宋" w:hAnsi="仿宋" w:cs="仿宋" w:hint="eastAsia"/>
            <w:lang w:eastAsia="zh-CN"/>
          </w:rPr>
          <w:t>十、风险管理与应对策略</w:t>
        </w:r>
        <w:r>
          <w:tab/>
        </w:r>
        <w:r>
          <w:fldChar w:fldCharType="begin"/>
        </w:r>
        <w:r>
          <w:instrText xml:space="preserve"> PAGEREF _Toc31000 \h </w:instrText>
        </w:r>
        <w:r>
          <w:fldChar w:fldCharType="separate"/>
        </w:r>
        <w:r>
          <w:t>68</w:t>
        </w:r>
        <w:r>
          <w:fldChar w:fldCharType="end"/>
        </w:r>
      </w:hyperlink>
    </w:p>
    <w:p>
      <w:pPr>
        <w:pStyle w:val="TOC2"/>
        <w:tabs>
          <w:tab w:val="right" w:leader="dot" w:pos="8306"/>
        </w:tabs>
      </w:pPr>
      <w:hyperlink w:anchor="_Toc26189" w:history="1">
        <w:r>
          <w:rPr>
            <w:rFonts w:ascii="仿宋" w:eastAsia="仿宋" w:hAnsi="仿宋" w:cs="仿宋" w:hint="eastAsia"/>
            <w:lang w:eastAsia="zh-CN"/>
          </w:rPr>
          <w:t>(一)、风险管理流程</w:t>
        </w:r>
        <w:r>
          <w:tab/>
        </w:r>
        <w:r>
          <w:fldChar w:fldCharType="begin"/>
        </w:r>
        <w:r>
          <w:instrText xml:space="preserve"> PAGEREF _Toc26189 \h </w:instrText>
        </w:r>
        <w:r>
          <w:fldChar w:fldCharType="separate"/>
        </w:r>
        <w:r>
          <w:t>68</w:t>
        </w:r>
        <w:r>
          <w:fldChar w:fldCharType="end"/>
        </w:r>
      </w:hyperlink>
    </w:p>
    <w:p>
      <w:pPr>
        <w:pStyle w:val="TOC2"/>
        <w:tabs>
          <w:tab w:val="right" w:leader="dot" w:pos="8306"/>
        </w:tabs>
      </w:pPr>
      <w:hyperlink w:anchor="_Toc27580" w:history="1">
        <w:r>
          <w:rPr>
            <w:rFonts w:ascii="仿宋" w:eastAsia="仿宋" w:hAnsi="仿宋" w:cs="仿宋" w:hint="eastAsia"/>
            <w:lang w:eastAsia="zh-CN"/>
          </w:rPr>
          <w:t>(二)、风险识别与评估</w:t>
        </w:r>
        <w:r>
          <w:tab/>
        </w:r>
        <w:r>
          <w:fldChar w:fldCharType="begin"/>
        </w:r>
        <w:r>
          <w:instrText xml:space="preserve"> PAGEREF _Toc27580 \h </w:instrText>
        </w:r>
        <w:r>
          <w:fldChar w:fldCharType="separate"/>
        </w:r>
        <w:r>
          <w:t>72</w:t>
        </w:r>
        <w:r>
          <w:fldChar w:fldCharType="end"/>
        </w:r>
      </w:hyperlink>
    </w:p>
    <w:p>
      <w:pPr>
        <w:pStyle w:val="TOC2"/>
        <w:tabs>
          <w:tab w:val="right" w:leader="dot" w:pos="8306"/>
        </w:tabs>
      </w:pPr>
      <w:hyperlink w:anchor="_Toc3317" w:history="1">
        <w:r>
          <w:rPr>
            <w:rFonts w:ascii="仿宋" w:eastAsia="仿宋" w:hAnsi="仿宋" w:cs="仿宋" w:hint="eastAsia"/>
            <w:lang w:eastAsia="zh-CN"/>
          </w:rPr>
          <w:t>(三)、风险控制与应对策略</w:t>
        </w:r>
        <w:r>
          <w:tab/>
        </w:r>
        <w:r>
          <w:fldChar w:fldCharType="begin"/>
        </w:r>
        <w:r>
          <w:instrText xml:space="preserve"> PAGEREF _Toc3317 \h </w:instrText>
        </w:r>
        <w:r>
          <w:fldChar w:fldCharType="separate"/>
        </w:r>
        <w:r>
          <w:t>73</w:t>
        </w:r>
        <w:r>
          <w:fldChar w:fldCharType="end"/>
        </w:r>
      </w:hyperlink>
    </w:p>
    <w:p>
      <w:pPr>
        <w:pStyle w:val="TOC2"/>
        <w:tabs>
          <w:tab w:val="right" w:leader="dot" w:pos="8306"/>
        </w:tabs>
      </w:pPr>
      <w:hyperlink w:anchor="_Toc2733" w:history="1">
        <w:r>
          <w:rPr>
            <w:rFonts w:ascii="仿宋" w:eastAsia="仿宋" w:hAnsi="仿宋" w:cs="仿宋" w:hint="eastAsia"/>
            <w:lang w:eastAsia="zh-CN"/>
          </w:rPr>
          <w:t>(四)、危机管理与应急预案</w:t>
        </w:r>
        <w:r>
          <w:tab/>
        </w:r>
        <w:r>
          <w:fldChar w:fldCharType="begin"/>
        </w:r>
        <w:r>
          <w:instrText xml:space="preserve"> PAGEREF _Toc2733 \h </w:instrText>
        </w:r>
        <w:r>
          <w:fldChar w:fldCharType="separate"/>
        </w:r>
        <w:r>
          <w:t>76</w:t>
        </w:r>
        <w:r>
          <w:fldChar w:fldCharType="end"/>
        </w:r>
      </w:hyperlink>
    </w:p>
    <w:p>
      <w:pPr>
        <w:pStyle w:val="TOC1"/>
        <w:tabs>
          <w:tab w:val="right" w:leader="dot" w:pos="8306"/>
        </w:tabs>
      </w:pPr>
      <w:hyperlink w:anchor="_Toc19342" w:history="1">
        <w:r>
          <w:rPr>
            <w:rFonts w:ascii="仿宋" w:eastAsia="仿宋" w:hAnsi="仿宋" w:cs="仿宋" w:hint="eastAsia"/>
            <w:lang w:eastAsia="zh-CN"/>
          </w:rPr>
          <w:t>十一、法律与合规性</w:t>
        </w:r>
        <w:r>
          <w:tab/>
        </w:r>
        <w:r>
          <w:fldChar w:fldCharType="begin"/>
        </w:r>
        <w:r>
          <w:instrText xml:space="preserve"> PAGEREF _Toc19342 \h </w:instrText>
        </w:r>
        <w:r>
          <w:fldChar w:fldCharType="separate"/>
        </w:r>
        <w:r>
          <w:t>78</w:t>
        </w:r>
        <w:r>
          <w:fldChar w:fldCharType="end"/>
        </w:r>
      </w:hyperlink>
    </w:p>
    <w:p>
      <w:pPr>
        <w:pStyle w:val="TOC2"/>
        <w:tabs>
          <w:tab w:val="right" w:leader="dot" w:pos="8306"/>
        </w:tabs>
      </w:pPr>
      <w:hyperlink w:anchor="_Toc59" w:history="1">
        <w:r>
          <w:rPr>
            <w:rFonts w:ascii="仿宋" w:eastAsia="仿宋" w:hAnsi="仿宋" w:cs="仿宋" w:hint="eastAsia"/>
            <w:lang w:eastAsia="zh-CN"/>
          </w:rPr>
          <w:t>(一)、相关法律法规概述</w:t>
        </w:r>
        <w:r>
          <w:tab/>
        </w:r>
        <w:r>
          <w:fldChar w:fldCharType="begin"/>
        </w:r>
        <w:r>
          <w:instrText xml:space="preserve"> PAGEREF _Toc59 \h </w:instrText>
        </w:r>
        <w:r>
          <w:fldChar w:fldCharType="separate"/>
        </w:r>
        <w:r>
          <w:t>78</w:t>
        </w:r>
        <w:r>
          <w:fldChar w:fldCharType="end"/>
        </w:r>
      </w:hyperlink>
    </w:p>
    <w:p>
      <w:pPr>
        <w:pStyle w:val="TOC2"/>
        <w:tabs>
          <w:tab w:val="right" w:leader="dot" w:pos="8306"/>
        </w:tabs>
      </w:pPr>
      <w:hyperlink w:anchor="_Toc19446" w:history="1">
        <w:r>
          <w:rPr>
            <w:rFonts w:ascii="仿宋" w:eastAsia="仿宋" w:hAnsi="仿宋" w:cs="仿宋" w:hint="eastAsia"/>
            <w:lang w:eastAsia="zh-CN"/>
          </w:rPr>
          <w:t>(二)、氮化铬铁项目合同管理</w:t>
        </w:r>
        <w:r>
          <w:tab/>
        </w:r>
        <w:r>
          <w:fldChar w:fldCharType="begin"/>
        </w:r>
        <w:r>
          <w:instrText xml:space="preserve"> PAGEREF _Toc19446 \h </w:instrText>
        </w:r>
        <w:r>
          <w:fldChar w:fldCharType="separate"/>
        </w:r>
        <w:r>
          <w:t>80</w:t>
        </w:r>
        <w:r>
          <w:fldChar w:fldCharType="end"/>
        </w:r>
      </w:hyperlink>
    </w:p>
    <w:p>
      <w:pPr>
        <w:pStyle w:val="TOC2"/>
        <w:tabs>
          <w:tab w:val="right" w:leader="dot" w:pos="8306"/>
        </w:tabs>
      </w:pPr>
      <w:hyperlink w:anchor="_Toc31862" w:history="1">
        <w:r>
          <w:rPr>
            <w:rFonts w:ascii="仿宋" w:eastAsia="仿宋" w:hAnsi="仿宋" w:cs="仿宋" w:hint="eastAsia"/>
            <w:lang w:eastAsia="zh-CN"/>
          </w:rPr>
          <w:t>(三)、知识产权保护</w:t>
        </w:r>
        <w:r>
          <w:tab/>
        </w:r>
        <w:r>
          <w:fldChar w:fldCharType="begin"/>
        </w:r>
        <w:r>
          <w:instrText xml:space="preserve"> PAGEREF _Toc31862 \h </w:instrText>
        </w:r>
        <w:r>
          <w:fldChar w:fldCharType="separate"/>
        </w:r>
        <w:r>
          <w:t>82</w:t>
        </w:r>
        <w:r>
          <w:fldChar w:fldCharType="end"/>
        </w:r>
      </w:hyperlink>
    </w:p>
    <w:p>
      <w:pPr>
        <w:pStyle w:val="TOC2"/>
        <w:tabs>
          <w:tab w:val="right" w:leader="dot" w:pos="8306"/>
        </w:tabs>
      </w:pPr>
      <w:hyperlink w:anchor="_Toc32018" w:history="1">
        <w:r>
          <w:rPr>
            <w:rFonts w:ascii="仿宋" w:eastAsia="仿宋" w:hAnsi="仿宋" w:cs="仿宋" w:hint="eastAsia"/>
            <w:lang w:eastAsia="zh-CN"/>
          </w:rPr>
          <w:t>(四)、劳动法规与员工权益</w:t>
        </w:r>
        <w:r>
          <w:tab/>
        </w:r>
        <w:r>
          <w:fldChar w:fldCharType="begin"/>
        </w:r>
        <w:r>
          <w:instrText xml:space="preserve"> PAGEREF _Toc32018 \h </w:instrText>
        </w:r>
        <w:r>
          <w:fldChar w:fldCharType="separate"/>
        </w:r>
        <w:r>
          <w:t>83</w:t>
        </w:r>
        <w:r>
          <w:fldChar w:fldCharType="end"/>
        </w:r>
      </w:hyperlink>
    </w:p>
    <w:p>
      <w:pPr>
        <w:pStyle w:val="TOC2"/>
        <w:tabs>
          <w:tab w:val="right" w:leader="dot" w:pos="8306"/>
        </w:tabs>
      </w:pPr>
      <w:hyperlink w:anchor="_Toc7515" w:history="1">
        <w:r>
          <w:rPr>
            <w:rFonts w:ascii="仿宋" w:eastAsia="仿宋" w:hAnsi="仿宋" w:cs="仿宋" w:hint="eastAsia"/>
            <w:lang w:eastAsia="zh-CN"/>
          </w:rPr>
          <w:t>(五)、环境保护法规遵循</w:t>
        </w:r>
        <w:r>
          <w:tab/>
        </w:r>
        <w:r>
          <w:fldChar w:fldCharType="begin"/>
        </w:r>
        <w:r>
          <w:instrText xml:space="preserve"> PAGEREF _Toc7515 \h </w:instrText>
        </w:r>
        <w:r>
          <w:fldChar w:fldCharType="separate"/>
        </w:r>
        <w:r>
          <w:t>85</w:t>
        </w:r>
        <w:r>
          <w:fldChar w:fldCharType="end"/>
        </w:r>
      </w:hyperlink>
    </w:p>
    <w:p>
      <w:pPr>
        <w:pStyle w:val="TOC1"/>
        <w:tabs>
          <w:tab w:val="right" w:leader="dot" w:pos="8306"/>
        </w:tabs>
      </w:pPr>
      <w:hyperlink w:anchor="_Toc3285" w:history="1">
        <w:r>
          <w:rPr>
            <w:rFonts w:ascii="仿宋" w:eastAsia="仿宋" w:hAnsi="仿宋" w:cs="仿宋" w:hint="eastAsia"/>
            <w:lang w:eastAsia="zh-CN"/>
          </w:rPr>
          <w:t>十二、氮化铬铁项目监督与评估</w:t>
        </w:r>
        <w:r>
          <w:tab/>
        </w:r>
        <w:r>
          <w:fldChar w:fldCharType="begin"/>
        </w:r>
        <w:r>
          <w:instrText xml:space="preserve"> PAGEREF _Toc3285 \h </w:instrText>
        </w:r>
        <w:r>
          <w:fldChar w:fldCharType="separate"/>
        </w:r>
        <w:r>
          <w:t>86</w:t>
        </w:r>
        <w:r>
          <w:fldChar w:fldCharType="end"/>
        </w:r>
      </w:hyperlink>
    </w:p>
    <w:p>
      <w:pPr>
        <w:pStyle w:val="TOC2"/>
        <w:tabs>
          <w:tab w:val="right" w:leader="dot" w:pos="8306"/>
        </w:tabs>
      </w:pPr>
      <w:hyperlink w:anchor="_Toc26964" w:history="1">
        <w:r>
          <w:rPr>
            <w:rFonts w:ascii="仿宋" w:eastAsia="仿宋" w:hAnsi="仿宋" w:cs="仿宋" w:hint="eastAsia"/>
            <w:lang w:eastAsia="zh-CN"/>
          </w:rPr>
          <w:t>(一)、监督机构及职责</w:t>
        </w:r>
        <w:r>
          <w:tab/>
        </w:r>
        <w:r>
          <w:fldChar w:fldCharType="begin"/>
        </w:r>
        <w:r>
          <w:instrText xml:space="preserve"> PAGEREF _Toc26964 \h </w:instrText>
        </w:r>
        <w:r>
          <w:fldChar w:fldCharType="separate"/>
        </w:r>
        <w:r>
          <w:t>86</w:t>
        </w:r>
        <w:r>
          <w:fldChar w:fldCharType="end"/>
        </w:r>
      </w:hyperlink>
    </w:p>
    <w:p>
      <w:pPr>
        <w:pStyle w:val="TOC2"/>
        <w:tabs>
          <w:tab w:val="right" w:leader="dot" w:pos="8306"/>
        </w:tabs>
      </w:pPr>
      <w:hyperlink w:anchor="_Toc16193" w:history="1">
        <w:r>
          <w:rPr>
            <w:rFonts w:ascii="仿宋" w:eastAsia="仿宋" w:hAnsi="仿宋" w:cs="仿宋" w:hint="eastAsia"/>
            <w:lang w:eastAsia="zh-CN"/>
          </w:rPr>
          <w:t>(二)、监测与评估指标体系</w:t>
        </w:r>
        <w:r>
          <w:tab/>
        </w:r>
        <w:r>
          <w:fldChar w:fldCharType="begin"/>
        </w:r>
        <w:r>
          <w:instrText xml:space="preserve"> PAGEREF _Toc16193 \h </w:instrText>
        </w:r>
        <w:r>
          <w:fldChar w:fldCharType="separate"/>
        </w:r>
        <w:r>
          <w:t>88</w:t>
        </w:r>
        <w:r>
          <w:fldChar w:fldCharType="end"/>
        </w:r>
      </w:hyperlink>
    </w:p>
    <w:p>
      <w:pPr>
        <w:pStyle w:val="TOC2"/>
        <w:tabs>
          <w:tab w:val="right" w:leader="dot" w:pos="8306"/>
        </w:tabs>
      </w:pPr>
      <w:hyperlink w:anchor="_Toc30384" w:history="1">
        <w:r>
          <w:rPr>
            <w:rFonts w:ascii="仿宋" w:eastAsia="仿宋" w:hAnsi="仿宋" w:cs="仿宋" w:hint="eastAsia"/>
            <w:lang w:eastAsia="zh-CN"/>
          </w:rPr>
          <w:t>(三)、监督与评估周期</w:t>
        </w:r>
        <w:r>
          <w:tab/>
        </w:r>
        <w:r>
          <w:fldChar w:fldCharType="begin"/>
        </w:r>
        <w:r>
          <w:instrText xml:space="preserve"> PAGEREF _Toc30384 \h </w:instrText>
        </w:r>
        <w:r>
          <w:fldChar w:fldCharType="separate"/>
        </w:r>
        <w:r>
          <w:t>90</w:t>
        </w:r>
        <w:r>
          <w:fldChar w:fldCharType="end"/>
        </w:r>
      </w:hyperlink>
    </w:p>
    <w:p>
      <w:pPr>
        <w:pStyle w:val="TOC2"/>
        <w:tabs>
          <w:tab w:val="right" w:leader="dot" w:pos="8306"/>
        </w:tabs>
      </w:pPr>
      <w:hyperlink w:anchor="_Toc29293" w:history="1">
        <w:r>
          <w:rPr>
            <w:rFonts w:ascii="仿宋" w:eastAsia="仿宋" w:hAnsi="仿宋" w:cs="仿宋" w:hint="eastAsia"/>
            <w:lang w:eastAsia="zh-CN"/>
          </w:rPr>
          <w:t>(四)、监督与评估报告</w:t>
        </w:r>
        <w:r>
          <w:tab/>
        </w:r>
        <w:r>
          <w:fldChar w:fldCharType="begin"/>
        </w:r>
        <w:r>
          <w:instrText xml:space="preserve"> PAGEREF _Toc29293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66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随着氮化铬铁项目复杂性日益增加，全面而科学的氮化铬铁项目管理方法论对于确保氮化铬铁项目成功至关重要。本氮化铬铁项目报告系统阐述了氮化铬铁项目启动、规划、执行、监控与收尾的全过程，强调在动态环境中对策略的灵活调整与优化。报告旨在提供一套适应性强、实用性高的氮化铬铁项目管理框架，便于读者掌握和应用于实际工作中。在此，我们明确指出报告内容仅限于学习交流之目的，严禁用于任何商业用途，力求促进氮化铬铁项目管理知识的普及与提升。</w:t>
      </w:r>
    </w:p>
    <w:p>
      <w:pPr>
        <w:pStyle w:val="Heading1"/>
        <w:ind w:firstLine="560" w:firstLineChars="200"/>
        <w:rPr>
          <w:rFonts w:ascii="仿宋" w:eastAsia="仿宋" w:hAnsi="仿宋" w:cs="仿宋" w:hint="eastAsia"/>
          <w:sz w:val="28"/>
          <w:lang w:eastAsia="zh-CN"/>
        </w:rPr>
      </w:pPr>
      <w:bookmarkStart w:id="2" w:name="_Toc3812"/>
      <w:r>
        <w:rPr>
          <w:rFonts w:ascii="仿宋" w:eastAsia="仿宋" w:hAnsi="仿宋" w:cs="仿宋" w:hint="eastAsia"/>
          <w:sz w:val="28"/>
          <w:lang w:eastAsia="zh-CN"/>
        </w:rPr>
        <w:t>一、建设规划</w:t>
      </w:r>
      <w:bookmarkEnd w:id="2"/>
    </w:p>
    <w:p>
      <w:pPr>
        <w:pStyle w:val="Heading2"/>
        <w:rPr>
          <w:rFonts w:ascii="仿宋" w:eastAsia="仿宋" w:hAnsi="仿宋" w:cs="仿宋" w:hint="eastAsia"/>
          <w:lang w:eastAsia="zh-CN"/>
        </w:rPr>
      </w:pPr>
      <w:bookmarkStart w:id="3" w:name="_Toc8257"/>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商业竞争激烈的当今市场，成功的产品规划是企业实现可持续发展的基石。产品规划不仅仅是对产品生命周期的考量，更是对市场、用户需求、技术趋势以及竞争局势的深度分析和综合考虑。从市场调研到技术开发，再到最终的推广营销，每个环节都至关重要，决定了产品在市场中的命运。一场成功的产品规划需要兼顾短期和长期的目标，紧密结合市场动态，确保产品具备持续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市场调研与需求分析</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的起点是对市场的深入了解和用户需求的精准洞察。市场调研通过数据收集和分析，描绘了目标市场的地形图，帮助企业更好地理解市场规模、趋势和潜在机会。同时，深入的用户需求分析能够为产品设计和开发提供有力指导，确保产品真正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创新与设计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的成功往往离不开创新和精良的设计。创新不仅仅是对市场的回应，更是对用户未来需求的预见。通过不断地创新，企业能够在市场中保持领先地位。设计则是产品的外在表现，一个好的设计不仅提高了产品的美观性，更是提升了用户体验，从而形成了产品的差异化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技术开发与研发投入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是产品的核心，而技术开发和研发投入则是产品规划中至关重要的组成部分。通过技术的不断创新，企业可以在竞争中脱颖而出。研发投入不仅包括人力和物力，更需要注重科研成果的应用和实际运用，确保产品在技术上的领先地位，满足市场对高质量产品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生产与供应链管理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一旦产品规划确定，高效的生产和供应链管理是确保产品顺利上市的关键。生产过程的优化和供应链的畅通是产品能否按时交付和维持市场竞争力的决定性因素。建立稳定的供应链网络和精细的生产管理体系，有助于提高生产效率、降低成本，确保产品的质量和及时交付。</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营销与推广策略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的成功不仅仅在于产品本身，还需要通过有效的营销和推广策略将产品引入市场。品牌定位、渠道选择、广告宣传等环节需要深思熟虑。通过巧妙的市场推广，企业能够提高产品的知名度和美誉度，吸引更多目标客户。</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市场反馈与持续改进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上市后，与市场的互动成为产品规划中的一个重要环节。通过市场反馈、用户体验和销售数据的持续监测，企业能够不断优化产品，适应市场变化，提高产品的竞争力。持续改进是产品规划的保障，确保产品始终符合市场和用户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调研的深入了解，创新和设计的巧妙运用，技术开发和研发投入的不懈努力，生产和供应链管理的高效运作，以及营销与推广策略的巧妙运用，产品规划能够更好地适应市场的需求，确保产品在竞争激烈的市场中立于不败之地。</w:t>
      </w:r>
    </w:p>
    <w:p>
      <w:pPr>
        <w:pStyle w:val="Heading2"/>
        <w:ind w:firstLine="560" w:firstLineChars="200"/>
        <w:rPr>
          <w:rFonts w:ascii="仿宋" w:eastAsia="仿宋" w:hAnsi="仿宋" w:cs="仿宋" w:hint="eastAsia"/>
          <w:sz w:val="28"/>
          <w:lang w:eastAsia="zh-CN"/>
        </w:rPr>
      </w:pPr>
      <w:bookmarkStart w:id="4" w:name="_Toc27245"/>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氮化铬铁项目总征地面积XXXX平方米（折合约XX亩），其中：净用地面积XXXX平方米（红线范围折合约XX亩）。氮化铬铁项目规划总建筑面积XXXX平方米，其中规划建设主体工程XXXX平方米，计容建筑面积XXXX平方米。预计建筑工程投资XXXX万元，这包括了基础设施建设、园区绿化等多个方面的投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氮化铬铁项目所占用的地面积充分考虑了红线范围，确保了氮化铬铁项目的合规性和可持续发展。规划建设主体工程和计容建筑面积的设定旨在满足氮化铬铁项目的生产和办公需求，为企业提供充足的工作空间。预计的建筑工程投资将用于氮化铬铁项目的基础设施建设，为氮化铬铁项目的未来发展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氮化铬铁项目计划购置设备共计XX台（套），设备购置费XXXX万元。这些设备涵盖了生产、研发和办公等多个领域，包括先进的生产设备、办公设备和实验室设备等。设备购置费用的投入将确保氮化铬铁项目具备先进的生产技术和高效的办公环境，提高企业的生产效率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氮化铬铁项目计划总投资XXXX万元，预计年实现营业收入XXXX万元。这一部分涵盖了整个氮化铬铁项目的经济规模和财务计划。总投资将用于氮化铬铁项目的建设、设备购置、人才引进等多个方面，确保氮化铬铁项目的全面发展。预计年实现的营业收入则是对氮化铬铁项目盈利能力的预估，考虑了市场需求、销售计划等多个因素。</w:t>
      </w:r>
    </w:p>
    <w:p>
      <w:pPr>
        <w:pStyle w:val="Heading1"/>
        <w:ind w:firstLine="560" w:firstLineChars="200"/>
        <w:rPr>
          <w:rFonts w:ascii="仿宋" w:eastAsia="仿宋" w:hAnsi="仿宋" w:cs="仿宋" w:hint="eastAsia"/>
          <w:sz w:val="28"/>
          <w:lang w:eastAsia="zh-CN"/>
        </w:rPr>
      </w:pPr>
      <w:bookmarkStart w:id="5" w:name="_Toc28555"/>
      <w:r>
        <w:rPr>
          <w:rFonts w:ascii="仿宋" w:eastAsia="仿宋" w:hAnsi="仿宋" w:cs="仿宋" w:hint="eastAsia"/>
          <w:sz w:val="28"/>
          <w:lang w:eastAsia="zh-CN"/>
        </w:rPr>
        <w:t>二、氮化铬铁项目市场前景分析</w:t>
      </w:r>
      <w:bookmarkEnd w:id="5"/>
    </w:p>
    <w:p>
      <w:pPr>
        <w:pStyle w:val="Heading2"/>
        <w:rPr>
          <w:rFonts w:ascii="仿宋" w:eastAsia="仿宋" w:hAnsi="仿宋" w:cs="仿宋" w:hint="eastAsia"/>
          <w:lang w:eastAsia="zh-CN"/>
        </w:rPr>
      </w:pPr>
      <w:bookmarkStart w:id="6" w:name="_Toc23037"/>
      <w:r>
        <w:rPr>
          <w:rFonts w:ascii="仿宋" w:eastAsia="仿宋" w:hAnsi="仿宋" w:cs="仿宋" w:hint="eastAsia"/>
          <w:lang w:eastAsia="zh-CN"/>
        </w:rPr>
        <w:t>(一)、建设地经济发展概况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经济总体情况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建设地的经济在过去几年呈现出强劲的增长态势。20XX年至20XXX年，该地区的年均GDP增速超过XX%，整体经济规模达到XX亿元。这一持续增长的趋势反映了建设地经济的活力和吸引力。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主要产业结构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产业结构多元化，制造业、服务业和高科技产业占据主导地位。先进制造业中的电子、汽车等领域蓬勃发展，服务业包括金融、教育和医疗等多个领域都取得了显著进展。高科技企业的崛起为整体产业结构带来了新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一直致力于打造优越的投资环境，吸引了众多国内外企业的投资。政府实施了一系列便利化政策，简化审批程序，降低投资门槛。建设地成为创业者和投资者青睐的热门目的地，各类产业氮化铬铁项目纷纷落地。</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人口与就业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人口规模逐年增加，形成了多元化的社会结构。城市人口密集区域的就业市场蓬勃发展，同时城乡一体化发展战略也为农村地区提供了更多就业机会。该地区积极推动人才引进和培养，构建了具有创新力的人才队伍。</w:t>
      </w:r>
    </w:p>
    <w:p>
      <w:pPr>
        <w:ind w:firstLine="560" w:firstLineChars="200"/>
        <w:rPr>
          <w:rFonts w:ascii="仿宋" w:eastAsia="仿宋" w:hAnsi="仿宋" w:cs="仿宋" w:hint="eastAsia"/>
          <w:sz w:val="28"/>
        </w:rPr>
      </w:pPr>
      <w:r>
        <w:rPr>
          <w:rFonts w:ascii="仿宋" w:eastAsia="仿宋" w:hAnsi="仿宋" w:cs="仿宋" w:hint="eastAsia"/>
          <w:sz w:val="28"/>
          <w:lang w:eastAsia="zh-CN"/>
        </w:rPr>
        <w:t>5. 城市基础设施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为适应经济快速发展的需要，建设地加大了对基础设施建设的投入。新建、改建的高速公路、城市轨道交通、现代化港口等氮化铬铁项目得到了快速推进，提高了城市的综合竞争力。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环境保护与可持续发展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建设地注重生态环境保护和可持续发展。实施了大规模的环境治理氮化铬铁项目，提升了空气质量和水质。同时，该地推动绿色产业和清洁能源的发展，致力于打造宜居宜业的城市环境。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7. 区域合作与国际交往</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建设地积极参与区域合作和国际交往，拓展了多领域的国际合作氮化铬铁项目。通过加强国际交流，该地区引进了大量国外优质技术和资金，同时推动了本地产业的对外拓展。</w:t>
      </w:r>
    </w:p>
    <w:p>
      <w:pPr>
        <w:pStyle w:val="Heading2"/>
        <w:ind w:firstLine="560" w:firstLineChars="200"/>
        <w:rPr>
          <w:rFonts w:ascii="仿宋" w:eastAsia="仿宋" w:hAnsi="仿宋" w:cs="仿宋" w:hint="eastAsia"/>
          <w:sz w:val="28"/>
          <w:lang w:eastAsia="zh-CN"/>
        </w:rPr>
      </w:pPr>
      <w:bookmarkStart w:id="7" w:name="_Toc32566"/>
      <w:r>
        <w:rPr>
          <w:rFonts w:ascii="仿宋" w:eastAsia="仿宋" w:hAnsi="仿宋" w:cs="仿宋" w:hint="eastAsia"/>
          <w:sz w:val="28"/>
          <w:lang w:eastAsia="zh-CN"/>
        </w:rPr>
        <w:t>(二)、行业市场分析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行业在全球范围内的市场规模持续扩大，据最新数据显示，年均增长率达到XX%。市场规模预计将在未来数年内继续增长，达到YY亿元。这一趋势表明行业正受到日益增长的市场需求的推动，为各类企业提供了广泛的商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竞争格局相当激烈，主要由几家大型企业主导市场，占据了相当比例的市场份额。然而，新兴企业通过创新和灵活性也逐渐在市场中崭露头角。尽管入口壁垒相对较高，但随着技术的进步和市场的开放，新进入者有望取得更多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消费者行为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目标客户主要集中在年轻一代，他们更注重产品的创新性、环保性和品牌形象。消费者趋势显示，线上购物和个性化定制服务逐渐成为主流，这对企业提出了更高的要求。了解这些趋势有助于企业调整产品策略，提升市场占有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技术创新与趋势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一直是该行业的推动力，最新的技术趋势涵盖了人工智能、大数据分析以及物联网技术的应用。在全球范围内，多家企业正在加大研发投入，以推动行业的数字化转型。未来趋势显示，智能化产品和服务将成为市场的主导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法规与政策影响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环境对该行业的影响显著，特别是关于环保和消费者权益方面的法规。政府对该行业的监管力度逐渐加强，其中包括新的环保法规和产品标准。同时，政府通过提供税收激励和创新资金，支持企业更好地适应新的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环保要求日益增加，企业在产品制造和供应链管理中不断加强环保措施。社会责任在行业内也占据重要地位，许多企业积极参与社区氮化铬铁项目和慈善事业，提升了其社会形象。可持续发展计划逐渐成为企业战略的一部分，以确保业务的可持续性和社会责任的履行。</w:t>
      </w:r>
    </w:p>
    <w:p>
      <w:pPr>
        <w:pStyle w:val="Heading1"/>
        <w:ind w:firstLine="560" w:firstLineChars="200"/>
        <w:rPr>
          <w:rFonts w:ascii="仿宋" w:eastAsia="仿宋" w:hAnsi="仿宋" w:cs="仿宋" w:hint="eastAsia"/>
          <w:sz w:val="28"/>
          <w:lang w:eastAsia="zh-CN"/>
        </w:rPr>
      </w:pPr>
      <w:bookmarkStart w:id="8" w:name="_Toc11284"/>
      <w:r>
        <w:rPr>
          <w:rFonts w:ascii="仿宋" w:eastAsia="仿宋" w:hAnsi="仿宋" w:cs="仿宋" w:hint="eastAsia"/>
          <w:sz w:val="28"/>
          <w:lang w:eastAsia="zh-CN"/>
        </w:rPr>
        <w:t>三、氮化铬铁项目环境保护分析</w:t>
      </w:r>
      <w:bookmarkEnd w:id="8"/>
    </w:p>
    <w:p>
      <w:pPr>
        <w:pStyle w:val="Heading2"/>
        <w:rPr>
          <w:rFonts w:ascii="仿宋" w:eastAsia="仿宋" w:hAnsi="仿宋" w:cs="仿宋" w:hint="eastAsia"/>
          <w:lang w:eastAsia="zh-CN"/>
        </w:rPr>
      </w:pPr>
      <w:bookmarkStart w:id="9" w:name="_Toc12619"/>
      <w:r>
        <w:rPr>
          <w:rFonts w:ascii="仿宋" w:eastAsia="仿宋" w:hAnsi="仿宋" w:cs="仿宋" w:hint="eastAsia"/>
          <w:lang w:eastAsia="zh-CN"/>
        </w:rPr>
        <w:t>(一)、建设区域环境质量现状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大气环境：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的大气环境质量主要受附近工业、交通和自然条件等多方面影响。通过监测数据显示，空气中的颗粒物和氮氧化物浓度可能存在一定程度的超标现象，尤其是在高峰期。此外，气象条件也对空气质量产生一定影响，需要更详细的气象数据来深入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水质状况：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水质状况受附近水体的排放和自然水质条件等多方面因素影响。当前水体可能存在一些化学污染物的浓度略有波动，但整体水质维持在可接受范围内。然而，需要注意的是水体富营养化现象可能存在，需要更深入的水质监测与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对建设区域土壤的调查显示，土壤质量可能受到历史工业活动和农业实践的影响。部分土壤可能存在轻微的污染，需要进一步的土壤采样和化验来准确评估土壤中可能存在的污染物。</w:t>
      </w:r>
    </w:p>
    <w:p>
      <w:pPr>
        <w:ind w:firstLine="560" w:firstLineChars="200"/>
        <w:rPr>
          <w:rFonts w:ascii="仿宋" w:eastAsia="仿宋" w:hAnsi="仿宋" w:cs="仿宋" w:hint="eastAsia"/>
          <w:sz w:val="28"/>
        </w:rPr>
      </w:pPr>
      <w:r>
        <w:rPr>
          <w:rFonts w:ascii="仿宋" w:eastAsia="仿宋" w:hAnsi="仿宋" w:cs="仿宋" w:hint="eastAsia"/>
          <w:sz w:val="28"/>
          <w:lang w:eastAsia="zh-CN"/>
        </w:rPr>
        <w:t>4. 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建设区域的生态环境主要由植被覆盖、动植物种类和生态系统的完整性等因素构成。当前生态环境可能面临一定的压力，特别是在城市化进程中，需要关注城市绿化和保护自然生态系统的措施。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5. 噪音与振动：</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建设区域的噪音和振动水平受到交通、工业和城市建设活动的影响。可能存在一定程度的噪音超标，尤其是在交通繁忙的区域。需要继续监测和评估这些影响，制定相应的噪音控制措施。</w:t>
      </w:r>
    </w:p>
    <w:p>
      <w:pPr>
        <w:pStyle w:val="Heading2"/>
        <w:ind w:firstLine="560" w:firstLineChars="200"/>
        <w:rPr>
          <w:rFonts w:ascii="仿宋" w:eastAsia="仿宋" w:hAnsi="仿宋" w:cs="仿宋" w:hint="eastAsia"/>
          <w:sz w:val="28"/>
          <w:lang w:eastAsia="zh-CN"/>
        </w:rPr>
      </w:pPr>
      <w:bookmarkStart w:id="10" w:name="_Toc6620"/>
      <w:r>
        <w:rPr>
          <w:rFonts w:ascii="仿宋" w:eastAsia="仿宋" w:hAnsi="仿宋" w:cs="仿宋" w:hint="eastAsia"/>
          <w:sz w:val="28"/>
          <w:lang w:eastAsia="zh-CN"/>
        </w:rPr>
        <w:t>(二)、建设期环境保护</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水土保持：</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在施工阶段，需要实施有效的水土保持措施，以防止因工程活动引起的水土流失和土壤侵蚀。这包括合理的植被覆盖、设立沉淀池、设置防护网等，以最大程度地保护土地资源。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施工废弃物管理：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合理管理施工期间产生的废弃物是环境保护的重要一环。采用分类收集、减量化处理和循环利用的方法，最小化废弃物对环境的影响，确保废弃物处理符合环保法规。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噪音与振动控制：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在建设期，噪音和振动是可能对周边居民和生态环境造成干扰的因素。采用低噪音设备、限制施工时间、设置隔音屏障等措施，有效降低工程活动对周边噪音环境的负面影响。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4. 污染物排放控制：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氮化铬铁项目建设过程中可能伴随一些排放物，如扬尘、废水等。通过采用封闭施工、喷淋降尘、设立沉淀池等方法，最小化污染物的排放，确保符合环境标准。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5. 自然生态保护：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在施工期，需要尽量减少对自然生态的破坏。设立施工限制区，合理划定施工边界，确保对周边自然生态系统的影响降至最低。</w:t>
      </w:r>
    </w:p>
    <w:p>
      <w:pPr>
        <w:ind w:firstLine="560" w:firstLineChars="200"/>
        <w:rPr>
          <w:rFonts w:ascii="仿宋" w:eastAsia="仿宋" w:hAnsi="仿宋" w:cs="仿宋" w:hint="eastAsia"/>
          <w:sz w:val="28"/>
        </w:rPr>
      </w:pPr>
      <w:r>
        <w:rPr>
          <w:rFonts w:ascii="仿宋" w:eastAsia="仿宋" w:hAnsi="仿宋" w:cs="仿宋" w:hint="eastAsia"/>
          <w:sz w:val="28"/>
          <w:lang w:eastAsia="zh-CN"/>
        </w:rPr>
        <w:t>6. 安全监测与应急预案：</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建设期间需要建立全面的安全监测体系和应急预案，及时应对可能发生的环境安全事故，最小化事故对环境的负面影响。</w:t>
      </w:r>
    </w:p>
    <w:p>
      <w:pPr>
        <w:pStyle w:val="Heading2"/>
        <w:ind w:firstLine="560" w:firstLineChars="200"/>
        <w:rPr>
          <w:rFonts w:ascii="仿宋" w:eastAsia="仿宋" w:hAnsi="仿宋" w:cs="仿宋" w:hint="eastAsia"/>
          <w:sz w:val="28"/>
          <w:lang w:eastAsia="zh-CN"/>
        </w:rPr>
      </w:pPr>
      <w:bookmarkStart w:id="11" w:name="_Toc25719"/>
      <w:r>
        <w:rPr>
          <w:rFonts w:ascii="仿宋" w:eastAsia="仿宋" w:hAnsi="仿宋" w:cs="仿宋" w:hint="eastAsia"/>
          <w:sz w:val="28"/>
          <w:lang w:eastAsia="zh-CN"/>
        </w:rPr>
        <w:t>(三)、运营期环境保护</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污染物排放监测：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在运营期，需要建立完善的污染物排放监测体系，实时监测大气、水体、土壤等环境中的污染物浓度。这有助于及时发现和解决潜在的排放问题，确保排放符合环境标准。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 废物管理与资源循环利用：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持续推进废物管理，采用分类收集、减量化处理和资源循环利用的方法，最小化废物对环境的影响。建立废物清理和处置的规范流程，确保符合环保法规。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节能减排：</w:t>
      </w:r>
    </w:p>
    <w:p>
      <w:pPr>
        <w:ind w:firstLine="560" w:firstLineChars="200"/>
        <w:rPr>
          <w:rFonts w:ascii="仿宋" w:eastAsia="仿宋" w:hAnsi="仿宋" w:cs="仿宋" w:hint="eastAsia"/>
          <w:sz w:val="28"/>
        </w:rPr>
      </w:pPr>
      <w:r>
        <w:rPr>
          <w:rFonts w:ascii="仿宋" w:eastAsia="仿宋" w:hAnsi="仿宋" w:cs="仿宋" w:hint="eastAsia"/>
          <w:sz w:val="28"/>
          <w:lang w:eastAsia="zh-CN"/>
        </w:rPr>
        <w:t>采取节能减排措施，提高设备和工艺的能效。通过技术升级、设备优化等手段，减少能源消耗和温室气体排放，提高氮化铬铁项目的环保效益。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自然生态保护：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在运营期，仍需保持对自然生态的关注。继续划定保护区域，加强对植被、动植物等生态要素的监测和保护，确保氮化铬铁项目运营对生态系统的影响最小化。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5. 治理污染源：</w:t>
      </w:r>
    </w:p>
    <w:p>
      <w:pPr>
        <w:ind w:firstLine="560" w:firstLineChars="200"/>
        <w:rPr>
          <w:rFonts w:ascii="仿宋" w:eastAsia="仿宋" w:hAnsi="仿宋" w:cs="仿宋" w:hint="eastAsia"/>
          <w:sz w:val="28"/>
        </w:rPr>
      </w:pPr>
      <w:r>
        <w:rPr>
          <w:rFonts w:ascii="仿宋" w:eastAsia="仿宋" w:hAnsi="仿宋" w:cs="仿宋" w:hint="eastAsia"/>
          <w:sz w:val="28"/>
          <w:lang w:eastAsia="zh-CN"/>
        </w:rPr>
        <w:t>对可能存在的污染源进行定期检查和治理，确保设备和工艺的正常运行，减少污染物的产生。建立清晰的责任体系，确保治理工作的持续有效性。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 社区环境管理：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加强与周边社区的沟通，建立环境管理沟通渠道。及时响应社区的环境反馈，保障周边居民的环境权益，提高氮化铬铁项目在社区的社会责任感。</w:t>
      </w:r>
    </w:p>
    <w:p>
      <w:pPr>
        <w:pStyle w:val="Heading2"/>
        <w:ind w:firstLine="560" w:firstLineChars="200"/>
        <w:rPr>
          <w:rFonts w:ascii="仿宋" w:eastAsia="仿宋" w:hAnsi="仿宋" w:cs="仿宋" w:hint="eastAsia"/>
          <w:sz w:val="28"/>
          <w:lang w:eastAsia="zh-CN"/>
        </w:rPr>
      </w:pPr>
      <w:bookmarkStart w:id="12" w:name="_Toc28914"/>
      <w:r>
        <w:rPr>
          <w:rFonts w:ascii="仿宋" w:eastAsia="仿宋" w:hAnsi="仿宋" w:cs="仿宋" w:hint="eastAsia"/>
          <w:sz w:val="28"/>
          <w:lang w:eastAsia="zh-CN"/>
        </w:rPr>
        <w:t>(四)、氮化铬铁项目建设对区域经济的影响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就业机会提升：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氮化铬铁项目建设通常伴随着大量的劳动力需求，从建筑工人到专业技术人才，涵盖多个领域。这将提供大量就业机会，减缓区域就业压力，提高居民的收入水平。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2. 投资增长：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氮化铬铁项目建设通常需要大量资金投入，这将直接刺激区域内的投资增长。投资的流入可能不仅来自企业本身，还可能吸引其他相关产业的投资，推动区域经济的全面发展。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增加税收收入：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随着氮化铬铁项目建设的进行，产生的税收也会相应增加。企业、从业人员以及相关产业的税收贡献将成为区域财政的重要来源，用于支持公共服务和基础设施建设。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4. 产业结构优化：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某些氮化铬铁项目建设可能会引入新的产业，推动区域产业结构的优化。新兴产业的引入可能促使区域实现产业升级，提高整体经济的竞争力。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 基础设施建设：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氮化铬铁项目建设通常需要相应的基础设施支持，如道路、桥梁、水电站等。这不仅提升了区域基础设施水平，也为未来的经济发展创造了更好的条件。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6. 增加商业活动：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氮化铬铁项目建设将吸引更多的商业活动，如酒店、餐饮、零售等，以满足氮化铬铁项目工程和员工的需求。这将推动商业活动的增长，促进区域内商业环境的繁荣。</w:t>
      </w:r>
    </w:p>
    <w:p>
      <w:pPr>
        <w:ind w:firstLine="560" w:firstLineChars="200"/>
        <w:rPr>
          <w:rFonts w:ascii="仿宋" w:eastAsia="仿宋" w:hAnsi="仿宋" w:cs="仿宋" w:hint="eastAsia"/>
          <w:sz w:val="28"/>
        </w:rPr>
      </w:pPr>
      <w:r>
        <w:rPr>
          <w:rFonts w:ascii="仿宋" w:eastAsia="仿宋" w:hAnsi="仿宋" w:cs="仿宋" w:hint="eastAsia"/>
          <w:sz w:val="28"/>
          <w:lang w:eastAsia="zh-CN"/>
        </w:rPr>
        <w:t>7. 土地价值提升：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随着氮化铬铁项目建设的完成，周边土地价值可能会提升。这对于地方政府和地产开发商来说是一种潜在的经济利好，有助于进一步吸引投资。</w:t>
      </w:r>
    </w:p>
    <w:p>
      <w:pPr>
        <w:pStyle w:val="Heading2"/>
        <w:ind w:firstLine="560" w:firstLineChars="200"/>
        <w:rPr>
          <w:rFonts w:ascii="仿宋" w:eastAsia="仿宋" w:hAnsi="仿宋" w:cs="仿宋" w:hint="eastAsia"/>
          <w:sz w:val="28"/>
          <w:lang w:eastAsia="zh-CN"/>
        </w:rPr>
      </w:pPr>
      <w:bookmarkStart w:id="13" w:name="_Toc23314"/>
      <w:r>
        <w:rPr>
          <w:rFonts w:ascii="仿宋" w:eastAsia="仿宋" w:hAnsi="仿宋" w:cs="仿宋" w:hint="eastAsia"/>
          <w:sz w:val="28"/>
          <w:lang w:eastAsia="zh-CN"/>
        </w:rPr>
        <w:t>(五)、废弃物处理</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废弃物处理是任何氮化铬铁项目建设和运营过程中都必须认真考虑和有效实施的关键环节。废弃物包括建设废弃物、生产废弃物等，如果不得当处理可能对环境和人类健康造成负面影响。因此，科学合理的废弃物处理策略成为确保氮化铬铁项目可持续发展的不可或缺的一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1. 废弃物分类与收集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废弃物的分类是废弃物管理的首要步骤。通过对不同类型的废弃物进行有效分类，可以更好地采取相应的处理方式。这包括建筑废弃物、生活垃圾、危险废物等。在废弃物分类的基础上，建立相应的收集系统，确保废弃物能够被有序地收集起来，不同类型的废弃物得到合适的处理。</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氮化铬铁项目阶段，建筑废弃物是一个不可忽视的方面。通过在施工现场设置分类垃圾箱，鼓励工人按照废弃物的性质进行分类投放。对于生产废弃物，也需要建立合理的收集系统，确保废弃物不会随意丢弃，降低对周边环境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 废弃物处理技术与设施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选择适当的废弃物处理技术和设施对于有效处理废弃物至关重要。常见的废弃物处理技术包括焚烧、填埋、物理化学处理等。具体的选择取决于废弃物的性质、数量和环境政策法规。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氮化铬铁项目中，建议采用可回收物资的再利用技术，减少对原材料的需求。对于生产废弃物，应优先考虑采用环保型处理技术，最大限度地减少对环境的负面影响。危险废弃物需要采取专门的处理措施，确保其不对环境和人体健康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3. 废弃物监测与法规遵循</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废弃物处理过程中，监测是确保废弃物得到妥善处理的重要手段。通过建立监测系统，对废弃物的产生、收集、处理等环节进行实时监控，及时发现问题并采取相应的纠正措施。监测还有助于评估废弃物处理效果，确保废弃物处理符合环境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同时，废弃物处理必须遵循相关的法规和政策。在建设和运营过程中，确保废弃物处理符合国家和地方的环保法规，以免因不当处理引发法律问题。</w:t>
      </w:r>
    </w:p>
    <w:p>
      <w:pPr>
        <w:pStyle w:val="Heading2"/>
        <w:ind w:firstLine="560" w:firstLineChars="200"/>
        <w:rPr>
          <w:rFonts w:ascii="仿宋" w:eastAsia="仿宋" w:hAnsi="仿宋" w:cs="仿宋" w:hint="eastAsia"/>
          <w:sz w:val="28"/>
          <w:lang w:eastAsia="zh-CN"/>
        </w:rPr>
      </w:pPr>
      <w:bookmarkStart w:id="14" w:name="_Toc12463"/>
      <w:r>
        <w:rPr>
          <w:rFonts w:ascii="仿宋" w:eastAsia="仿宋" w:hAnsi="仿宋" w:cs="仿宋" w:hint="eastAsia"/>
          <w:sz w:val="28"/>
          <w:lang w:eastAsia="zh-CN"/>
        </w:rPr>
        <w:t>(六)、特殊环境影响分析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生态环境影响分析：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氮化铬铁项目可能对周边生态系统产生直接或间接的影响。这包括植被覆盖、动植物栖息地、生态平衡等方面。生态环境影响分析需要全面考虑氮化铬铁项目可能引起的生态破坏，以及采取的措施来保护和修复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水体影响分析：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氮化铬铁项目可能涉及的水体，需要分析氮化铬铁项目对水体质量、水文地质条件和水生态系统的潜在影响。这可能包括水体污染、水流变化、对水生物的影响等。合理的水体管理方案和环境保护措施将成为必要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3. 大气环境影响分析：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特殊的地理位置或气象条件可能使氮化铬铁项目对大气环境产生更为显著的影响。分析氮化铬铁项目可能引起的空气污染、气象条件变化等情况，制定减排方案和适应性措施，以保护大气环境的质量。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社会文化影响分析：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某些情况下，氮化铬铁项目可能对当地社会文化产生特殊的影响。这包括对当地社区结构、文化传统、居民生活方式等方面的可能影响。社会文化影响分析需要在氮化铬铁项目实施前进行广泛的社会调查，确保氮化铬铁项目不会对当地社会造成不可逆的破坏。</w:t>
      </w:r>
    </w:p>
    <w:p>
      <w:pPr>
        <w:ind w:firstLine="560" w:firstLineChars="200"/>
        <w:rPr>
          <w:rFonts w:ascii="仿宋" w:eastAsia="仿宋" w:hAnsi="仿宋" w:cs="仿宋" w:hint="eastAsia"/>
          <w:sz w:val="28"/>
        </w:rPr>
      </w:pPr>
      <w:r>
        <w:rPr>
          <w:rFonts w:ascii="仿宋" w:eastAsia="仿宋" w:hAnsi="仿宋" w:cs="仿宋" w:hint="eastAsia"/>
          <w:sz w:val="28"/>
          <w:lang w:eastAsia="zh-CN"/>
        </w:rPr>
        <w:t>5. 土地利用影响分析：</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氮化铬铁项目可能涉及的土地利用变化需要进行详细分析。这包括土地覆盖类型的改变、土地资源的可持续利用等方面。特别是在涉及到农业用地或自然保护区等特殊土地类型时，需要谨慎评估可能的影响。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6. 噪音与振动影响分析：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一些氮化铬铁项目可能在特殊环境中引起噪音或振动污染。在特殊环境影响分析中，需要详细评估氮化铬铁项目可能引起的噪音水平和振动强度，并提出相应的控制和减缓措施。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特殊环境影响分析是氮化铬铁项目环境影响评价的关键部分，通过充分了解和评估氮化铬铁项目可能的特殊环境影响，可以制定出更加科学和可持续的氮化铬铁项目实施方案。</w:t>
      </w:r>
    </w:p>
    <w:p>
      <w:pPr>
        <w:pStyle w:val="Heading2"/>
        <w:ind w:firstLine="560" w:firstLineChars="200"/>
        <w:rPr>
          <w:rFonts w:ascii="仿宋" w:eastAsia="仿宋" w:hAnsi="仿宋" w:cs="仿宋" w:hint="eastAsia"/>
          <w:sz w:val="28"/>
          <w:lang w:eastAsia="zh-CN"/>
        </w:rPr>
      </w:pPr>
      <w:bookmarkStart w:id="15" w:name="_Toc27600"/>
      <w:r>
        <w:rPr>
          <w:rFonts w:ascii="仿宋" w:eastAsia="仿宋" w:hAnsi="仿宋" w:cs="仿宋" w:hint="eastAsia"/>
          <w:sz w:val="28"/>
          <w:lang w:eastAsia="zh-CN"/>
        </w:rPr>
        <w:t>(七)、清洁生产</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资源有效利用：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注重最大限度地提高资源的利用效率。通过采用先进的生产技术和工艺，减少原材料的使用，实现对资源的有效管理。循环经济理念在清洁生产中扮演着重要角色，通过回收再利用废弃物和副产品，最大程度地减少资源浪费。</w:t>
      </w:r>
    </w:p>
    <w:p>
      <w:pPr>
        <w:ind w:firstLine="560" w:firstLineChars="200"/>
        <w:rPr>
          <w:rFonts w:ascii="仿宋" w:eastAsia="仿宋" w:hAnsi="仿宋" w:cs="仿宋" w:hint="eastAsia"/>
          <w:sz w:val="28"/>
        </w:rPr>
      </w:pPr>
      <w:r>
        <w:rPr>
          <w:rFonts w:ascii="仿宋" w:eastAsia="仿宋" w:hAnsi="仿宋" w:cs="仿宋" w:hint="eastAsia"/>
          <w:sz w:val="28"/>
          <w:lang w:eastAsia="zh-CN"/>
        </w:rPr>
        <w:t>2. 减少环境污染：</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清洁生产的核心目标之一是减少对环境的负面影响。通过采用低污染的生产技术，降低废物排放和有害物质的生成，实现对环境的保护。生产过程中，优先选择绿色、环保的原材料和生产方法，以减缓对生态系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节约能源：</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清洁生产着力降低能源消耗，通过优化生产流程、使用高效设备和采用新能源等手段，实现能源的有效利用。减少对非可再生能源的依赖，促进可持续能源的应用。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创新技术应用：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清洁生产鼓励创新技术的应用，采用先进的、环保的生产技术。通过研发和引进新技术，不断提高生产效率，减少对环境的负面影响。这包括数字化生产、智能制造等现代化技术手段。</w:t>
      </w:r>
    </w:p>
    <w:p>
      <w:pPr>
        <w:ind w:firstLine="560" w:firstLineChars="200"/>
        <w:rPr>
          <w:rFonts w:ascii="仿宋" w:eastAsia="仿宋" w:hAnsi="仿宋" w:cs="仿宋" w:hint="eastAsia"/>
          <w:sz w:val="28"/>
        </w:rPr>
      </w:pPr>
      <w:r>
        <w:rPr>
          <w:rFonts w:ascii="仿宋" w:eastAsia="仿宋" w:hAnsi="仿宋" w:cs="仿宋" w:hint="eastAsia"/>
          <w:sz w:val="28"/>
          <w:lang w:eastAsia="zh-CN"/>
        </w:rPr>
        <w:t>5. 生命周期分析：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清洁生产要求进行全面的生命周期分析，评估产品从原材料采购到生产、使用、再到废弃的整个过程中对环境的影响。这有助于全面了解产品的环境足迹，从而提出改进措施。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6. 培养清洁生产意识：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清洁生产不仅仅是一种技术手段，更是一种生产文化和理念。培养企业和员工对清洁生产的意识，倡导绿色生产方式，有助于在组织内部建立可持续发展的理念。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7. 法规遵循：</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清洁生产需要符合相关的法规和标准，确保生产活动在法律框架内进行。遵循法规不仅是对环境的保护，也是企业社会责任的体现。</w:t>
      </w:r>
    </w:p>
    <w:p>
      <w:pPr>
        <w:pStyle w:val="Heading2"/>
        <w:ind w:firstLine="560" w:firstLineChars="200"/>
        <w:rPr>
          <w:rFonts w:ascii="仿宋" w:eastAsia="仿宋" w:hAnsi="仿宋" w:cs="仿宋" w:hint="eastAsia"/>
          <w:sz w:val="28"/>
          <w:lang w:eastAsia="zh-CN"/>
        </w:rPr>
      </w:pPr>
      <w:bookmarkStart w:id="16" w:name="_Toc24244"/>
      <w:r>
        <w:rPr>
          <w:rFonts w:ascii="仿宋" w:eastAsia="仿宋" w:hAnsi="仿宋" w:cs="仿宋" w:hint="eastAsia"/>
          <w:sz w:val="28"/>
          <w:lang w:eastAsia="zh-CN"/>
        </w:rPr>
        <w:t>(八)、环境保护综合评价</w:t>
      </w:r>
      <w:bookmarkEnd w:id="16"/>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环境保护综合评价是对氮化铬铁项目、企业或活动在环保方面综合表现的评估。这种评价综合考虑了对自然环境、生态系统、空气、水体等的影响，以及对环保法规和标准的遵守程度。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的第一步是对氮化铬铁项目或活动的环境影响进行评估。这包括对空气质量、水质、土壤质量、生态系统等方面的影响进行科学分析。通过各种监测和模拟手段，全面了解氮化铬铁项目可能引起的环境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2. 废弃物管理：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评价氮化铬铁项目的废弃物管理情况，包括废弃物的分类、收集、处理和处置。清晰的废弃物管理计划对于降低对环境的负担至关重要。合规处理和减少废弃物对生态系统和人类健康的影响是综合评价的重要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3. 水资源管理：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评估氮化铬铁项目对水资源的利用和管理情况，包括对水体的取水、排放和水质保护。特别关注是否存在过度取水、水质污染等问题，以及采取的补救和改进措施。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4. 大气排放控制：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分析氮化铬铁项目的大气排放情况，包括对大气污染物的排放、空气质量的影响等。评估氮化铬铁项目是否采取有效的减排措施，以保护大气环境质量。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5. 能源效益评估：</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综合评价氮化铬铁项目的能源效益，包括能源的使用效率、可再生能源的应用情况等。推动清洁能源的使用，提高能源效益是环境保护的重要方向。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6. 法规遵从与合规性：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评估氮化铬铁项目是否遵守国家和地方的环境保护法规和标准。合规性是一个企业或氮化铬铁项目在环境保护方面的基本要求，对于环保综合评价至关重要。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7. 环境保护投入：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评价氮化铬铁项目在环境保护方面的投入，包括环境监测、治理设施建设、环保培训等方面的支出。这反映了企业对环保责任的认识和履行。</w:t>
      </w:r>
    </w:p>
    <w:p>
      <w:pPr>
        <w:ind w:firstLine="560" w:firstLineChars="200"/>
        <w:rPr>
          <w:rFonts w:ascii="仿宋" w:eastAsia="仿宋" w:hAnsi="仿宋" w:cs="仿宋" w:hint="eastAsia"/>
          <w:sz w:val="28"/>
        </w:rPr>
      </w:pPr>
      <w:r>
        <w:rPr>
          <w:rFonts w:ascii="仿宋" w:eastAsia="仿宋" w:hAnsi="仿宋" w:cs="仿宋" w:hint="eastAsia"/>
          <w:sz w:val="28"/>
          <w:lang w:eastAsia="zh-CN"/>
        </w:rPr>
        <w:t>8. 社会责任与公众参与：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考察氮化铬铁项目对社会的责任感和公众参与程度。是否建立了有效的沟通机制，是否主动回应社会关切，这些都是综合评价的一部分。</w:t>
      </w:r>
    </w:p>
    <w:p>
      <w:pPr>
        <w:pStyle w:val="Heading1"/>
        <w:ind w:firstLine="560" w:firstLineChars="200"/>
        <w:rPr>
          <w:rFonts w:ascii="仿宋" w:eastAsia="仿宋" w:hAnsi="仿宋" w:cs="仿宋" w:hint="eastAsia"/>
          <w:sz w:val="28"/>
          <w:lang w:eastAsia="zh-CN"/>
        </w:rPr>
      </w:pPr>
      <w:bookmarkStart w:id="17" w:name="_Toc20641"/>
      <w:r>
        <w:rPr>
          <w:rFonts w:ascii="仿宋" w:eastAsia="仿宋" w:hAnsi="仿宋" w:cs="仿宋" w:hint="eastAsia"/>
          <w:sz w:val="28"/>
          <w:lang w:eastAsia="zh-CN"/>
        </w:rPr>
        <w:t>四、工艺分析</w:t>
      </w:r>
      <w:bookmarkEnd w:id="17"/>
    </w:p>
    <w:p>
      <w:pPr>
        <w:pStyle w:val="Heading2"/>
        <w:rPr>
          <w:rFonts w:ascii="仿宋" w:eastAsia="仿宋" w:hAnsi="仿宋" w:cs="仿宋" w:hint="eastAsia"/>
          <w:lang w:eastAsia="zh-CN"/>
        </w:rPr>
      </w:pPr>
      <w:bookmarkStart w:id="18" w:name="_Toc13499"/>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技术管理在氮化铬铁项目中显现出多层面的复杂性和有机性。其系统性突显在对广泛技术领域的全面规划和整合，要求各技术要素相互协调，以确保氮化铬铁项目整体协同。这种系统性要求技术管理者在氮化铬铁项目中全局思考，以适应多元领域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不断变化的环境中具备创新能力，团队需要持续提出独具创意的技术解决方案，作为推动氮化铬铁项目进步的引擎。这种创新力使技术管理不仅仅是问题应对，更是氮化铬铁项目发展的推动力，促使团队在技术层面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另一方面，技术管理体现出综合性。它要求在不同领域中进行全面考虑，将各种技术要素有机融合，以实现更高水平和更大范围的效果。技术管理者需要跨领域协调，确保氮化铬铁项目技术方案的综合有效性。</w:t>
      </w:r>
    </w:p>
    <w:p>
      <w:pPr>
        <w:pStyle w:val="Heading2"/>
        <w:ind w:firstLine="560" w:firstLineChars="200"/>
        <w:rPr>
          <w:rFonts w:ascii="仿宋" w:eastAsia="仿宋" w:hAnsi="仿宋" w:cs="仿宋" w:hint="eastAsia"/>
          <w:sz w:val="28"/>
          <w:lang w:eastAsia="zh-CN"/>
        </w:rPr>
      </w:pPr>
      <w:bookmarkStart w:id="19" w:name="_Toc19901"/>
      <w:r>
        <w:rPr>
          <w:rFonts w:ascii="仿宋" w:eastAsia="仿宋" w:hAnsi="仿宋" w:cs="仿宋" w:hint="eastAsia"/>
          <w:sz w:val="28"/>
          <w:lang w:eastAsia="zh-CN"/>
        </w:rPr>
        <w:t>(二)、氮化铬铁项目工艺技术设计方案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工艺流程设计：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流程设计是氮化铬铁项目工艺技术设计的核心。在设计中，需要明确每一步骤的操作顺序、所需时间和资源，以确保生产过程的高效性和流畅性。此外，要考虑可能出现的变数，采取灵活的设计以适应实际生产环境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工艺参数设定：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对关键的工艺参数进行合理设定至关重要。这包括但不限于温度、压力、流速等因素。合理的参数设置有助于提高生产效率，确保产品质量的稳定性，并降低可能的生产风险。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工艺设备选择：</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在选择工艺设备时，需要考虑其性能、稳定性和可维护性。设备应符合氮化铬铁项目的实际需求，并与整个生产流程协同工作，确保设备的使用不成为氮化铬铁项目的瓶颈。</w:t>
      </w:r>
    </w:p>
    <w:p>
      <w:pPr>
        <w:ind w:firstLine="560" w:firstLineChars="200"/>
        <w:rPr>
          <w:rFonts w:ascii="仿宋" w:eastAsia="仿宋" w:hAnsi="仿宋" w:cs="仿宋" w:hint="eastAsia"/>
          <w:sz w:val="28"/>
        </w:rPr>
      </w:pPr>
      <w:r>
        <w:rPr>
          <w:rFonts w:ascii="仿宋" w:eastAsia="仿宋" w:hAnsi="仿宋" w:cs="仿宋" w:hint="eastAsia"/>
          <w:sz w:val="28"/>
          <w:lang w:eastAsia="zh-CN"/>
        </w:rPr>
        <w:t>4. 能源消耗优化：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工艺技术设计应考虑能源消耗的优化。采取先进的节能技术，降低能源浪费，有助于提高生产效益的同时，减少对环境的不良影响。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在工艺技术设计中，环保因素是不可忽视的。采用环保友好型的工艺，减少对环境的污染，符合可持续发展的要求，同时也有助于提升企业的社会形象。</w:t>
      </w:r>
    </w:p>
    <w:p>
      <w:pPr>
        <w:pStyle w:val="Heading2"/>
        <w:ind w:firstLine="560" w:firstLineChars="200"/>
        <w:rPr>
          <w:rFonts w:ascii="仿宋" w:eastAsia="仿宋" w:hAnsi="仿宋" w:cs="仿宋" w:hint="eastAsia"/>
          <w:sz w:val="28"/>
          <w:lang w:eastAsia="zh-CN"/>
        </w:rPr>
      </w:pPr>
      <w:bookmarkStart w:id="20" w:name="_Toc6647"/>
      <w:r>
        <w:rPr>
          <w:rFonts w:ascii="仿宋" w:eastAsia="仿宋" w:hAnsi="仿宋" w:cs="仿宋" w:hint="eastAsia"/>
          <w:sz w:val="28"/>
          <w:lang w:eastAsia="zh-CN"/>
        </w:rPr>
        <w:t>(三)、设备选型方案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以挑选卓越供应商为导向，确保所选设备能够按时交付，满足工程进度需求。我们注重售后服务的卓越性，以及设备生产厂家能够及时提供备品备件的能力，以降低氮化铬铁项目投资风险，最大限度地减少总体氮化铬铁项目成本。在投资氮化铬铁项目中，主要工艺设备及仪器将优先选择国产设备，并确保所选生产设备厂家具备国内领先的技术水平和符合国际认证标准的科学企业管理。</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以“先进、高效、实用、节能、可靠”为准则，特别关注氮化铬铁项目产品生产设备在效率、质量、物料损耗、自动化程度、劳动强度和噪音水平等方面的特性。计划采购国内领先的关键工艺设备和国内外尖端的检测设备，预计购置并安装主要设备合共XXXX台(套)，设备购置费用为XXX万元。通过这一选取原则，我们旨在确保氮化铬铁项目的生产设备具备最佳性能和效益，以满足氮化铬铁项目长期的发展需求。</w:t>
      </w:r>
    </w:p>
    <w:p>
      <w:pPr>
        <w:pStyle w:val="Heading1"/>
        <w:ind w:firstLine="560" w:firstLineChars="200"/>
        <w:rPr>
          <w:rFonts w:ascii="仿宋" w:eastAsia="仿宋" w:hAnsi="仿宋" w:cs="仿宋" w:hint="eastAsia"/>
          <w:sz w:val="28"/>
          <w:lang w:eastAsia="zh-CN"/>
        </w:rPr>
      </w:pPr>
      <w:bookmarkStart w:id="21" w:name="_Toc31224"/>
      <w:r>
        <w:rPr>
          <w:rFonts w:ascii="仿宋" w:eastAsia="仿宋" w:hAnsi="仿宋" w:cs="仿宋" w:hint="eastAsia"/>
          <w:sz w:val="28"/>
          <w:lang w:eastAsia="zh-CN"/>
        </w:rPr>
        <w:t>五、员工福利与企业文化</w:t>
      </w:r>
      <w:bookmarkEnd w:id="21"/>
    </w:p>
    <w:p>
      <w:pPr>
        <w:pStyle w:val="Heading2"/>
        <w:rPr>
          <w:rFonts w:ascii="仿宋" w:eastAsia="仿宋" w:hAnsi="仿宋" w:cs="仿宋" w:hint="eastAsia"/>
          <w:lang w:eastAsia="zh-CN"/>
        </w:rPr>
      </w:pPr>
      <w:bookmarkStart w:id="22" w:name="_Toc11414"/>
      <w:r>
        <w:rPr>
          <w:rFonts w:ascii="仿宋" w:eastAsia="仿宋" w:hAnsi="仿宋" w:cs="仿宋" w:hint="eastAsia"/>
          <w:lang w:eastAsia="zh-CN"/>
        </w:rPr>
        <w:t>(一)、员工福利政策</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薪酬福利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薪酬福利是员工关注的核心内容之一，直接关系到员工的生活质量和对工作的认同感。企业可以通过以下手段提供有竞争力的薪酬福利：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基本工资： 确保员工的基本工资水平能够满足生活需求，并与行业水平相符。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绩效奖金： 建立科学的绩效考核体系，通过绩效奖金激发员工的工作热情和动力。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福利补贴： 提供丰富的福利补贴，如交通补贴、通讯补贴、餐补等，以提升员工的实际收入。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福利待遇： 提供完善的社会保险和商业保险，确保员工在面对风险和困难时有相应的保障。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职业发展与培训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为员工提供职业发展和培训机会是企业关心员工成长的体现，也是激发员工积极性的重要手段。相关政策包括：</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培训计划： 制定全面的培训计划，包括入职培训、职业技能培训、管理能力培训等，以提升员工的综合素质。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晋升机制： 建立公平、透明的晋升机制，鼓励员工通过不断学习和提升能力来获得更高职位。</w:t>
      </w:r>
    </w:p>
    <w:p>
      <w:pPr>
        <w:ind w:firstLine="560" w:firstLineChars="200"/>
        <w:rPr>
          <w:rFonts w:ascii="仿宋" w:eastAsia="仿宋" w:hAnsi="仿宋" w:cs="仿宋" w:hint="eastAsia"/>
          <w:sz w:val="28"/>
        </w:rPr>
      </w:pPr>
      <w:r>
        <w:rPr>
          <w:rFonts w:ascii="仿宋" w:eastAsia="仿宋" w:hAnsi="仿宋" w:cs="仿宋" w:hint="eastAsia"/>
          <w:sz w:val="28"/>
          <w:lang w:eastAsia="zh-CN"/>
        </w:rPr>
        <w:t>导师制度： 实施导师制度，为员工提供专业指导和职业规划建议，帮助其更好地适应职场环境。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学习资源： 提供员工可以自主学习的学习资源，如在线课程、图书馆资源等，支持员工的个人发展。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工作生活平衡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工作生活平衡政策是越来越受到关注的员工福利方面，对于提高员工的生活质量和工作效能有着积极的作用：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弹性工作时间： 提供弹性工作时间，让员工更好地平衡工作和生活，有助于提升工作效率。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远程办公： 支持远程办公，让员工可以更加自由地选择工作地点，提高工作的便捷性和舒适度。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带薪休假： 提供丰富的带薪休假政策，包括年假、病假、特殊假期等，保障员工的休息和健康。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健康管理： 提供健康管理服务，包括定期体检、心理健康辅导等，关心员工的身体和心理健康。</w:t>
      </w:r>
    </w:p>
    <w:p>
      <w:pPr>
        <w:pStyle w:val="Heading2"/>
        <w:ind w:firstLine="560" w:firstLineChars="200"/>
        <w:rPr>
          <w:rFonts w:ascii="仿宋" w:eastAsia="仿宋" w:hAnsi="仿宋" w:cs="仿宋" w:hint="eastAsia"/>
          <w:sz w:val="28"/>
          <w:lang w:eastAsia="zh-CN"/>
        </w:rPr>
      </w:pPr>
      <w:bookmarkStart w:id="23" w:name="_Toc31440"/>
      <w:r>
        <w:rPr>
          <w:rFonts w:ascii="仿宋" w:eastAsia="仿宋" w:hAnsi="仿宋" w:cs="仿宋" w:hint="eastAsia"/>
          <w:sz w:val="28"/>
          <w:lang w:eastAsia="zh-CN"/>
        </w:rPr>
        <w:t>(二)、团队建设与员工培训</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1. 团队建设</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团队建设旨在增强团队成员之间的合作、沟通和协调能力，以提高整个团队的绩效。具体的团队建设策略包括：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明确团队目标： 将团队目标明确传达给每位成员，确保大家对团队的方向和目标有清晰的认识。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促进沟通： 建立开放、透明的沟通渠道，鼓励成员分享观点、意见和反馈，提高团队内部的信息流通效率。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团队活动： 定期组织团队活动，如团建、培训、座谈等，促进团队成员之间的相互了解和交流。</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设立明确角色： 明确每位成员的职责和角色，避免工作重叠和责任不清，提高团队协同效率。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奖励机制： 建立激励机制，通过团队目标的实现奖励优秀表现，激发成员的团队合作意识。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2. 员工培训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员工培训是为了提升员工的专业素养、技能水平，使其更好地适应企业的发展需求。有效的员工培训包括以下关键点：</w:t>
      </w:r>
    </w:p>
    <w:p>
      <w:pPr>
        <w:ind w:firstLine="560" w:firstLineChars="200"/>
        <w:rPr>
          <w:rFonts w:ascii="仿宋" w:eastAsia="仿宋" w:hAnsi="仿宋" w:cs="仿宋" w:hint="eastAsia"/>
          <w:sz w:val="28"/>
        </w:rPr>
      </w:pPr>
      <w:r>
        <w:rPr>
          <w:rFonts w:ascii="仿宋" w:eastAsia="仿宋" w:hAnsi="仿宋" w:cs="仿宋" w:hint="eastAsia"/>
          <w:sz w:val="28"/>
          <w:lang w:eastAsia="zh-CN"/>
        </w:rPr>
        <w:t>需求分析： 在进行培训计划前，对员工的实际需求进行调研和分析，确保培训内容切实符合员工的发展需求。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多样化培训方式： 结合不同学习风格和需求，采用多样化的培训方式，包括课堂培训、在线学习、实践操作等。</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专业师资： 邀请具有丰富经验和专业知识的讲师，确保培训内容的专业性和实用性。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持续培训： 实行持续培训机制，不仅关注新员工的培训，也重视老员工的继续教育，保持员工的职业竞争力。</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培训效果评估：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在培训结束后进行效果评估，了解培训的实际收益和改进空间，不断提升培训质量。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团队建设和员工培训，企业能够更好地塑造协同高效的团队，提升员工的综合素养，使其具备更强的适应力和创造力。这两方面的工作是企业人力资源管理中的关键环节，直接影响着企业的竞争力和可持续发展。同时，积极的团队建设和员工培训也有助于提高员工的工作满意度和忠诚度，形成更加稳固的组织基石。</w:t>
      </w:r>
    </w:p>
    <w:p>
      <w:pPr>
        <w:pStyle w:val="Heading2"/>
        <w:ind w:firstLine="560" w:firstLineChars="200"/>
        <w:rPr>
          <w:rFonts w:ascii="仿宋" w:eastAsia="仿宋" w:hAnsi="仿宋" w:cs="仿宋" w:hint="eastAsia"/>
          <w:sz w:val="28"/>
          <w:lang w:eastAsia="zh-CN"/>
        </w:rPr>
      </w:pPr>
      <w:bookmarkStart w:id="24" w:name="_Toc1047"/>
      <w:r>
        <w:rPr>
          <w:rFonts w:ascii="仿宋" w:eastAsia="仿宋" w:hAnsi="仿宋" w:cs="仿宋" w:hint="eastAsia"/>
          <w:sz w:val="28"/>
          <w:lang w:eastAsia="zh-CN"/>
        </w:rPr>
        <w:t>(三)、企业文化建设</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1. 明确核心价值观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企业文化的核心在于明确企业的核心价值观。这是企业文化的灵魂，为员工提供行为准则，塑造企业独特的品牌形象。关键步骤包括：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制定核心价值观： 由企业领导层牵头，与全员共同制定公司的核心价值观，确保其具有共识性和引导性。</w:t>
      </w:r>
    </w:p>
    <w:p>
      <w:pPr>
        <w:ind w:firstLine="560" w:firstLineChars="200"/>
        <w:rPr>
          <w:rFonts w:ascii="仿宋" w:eastAsia="仿宋" w:hAnsi="仿宋" w:cs="仿宋" w:hint="eastAsia"/>
          <w:sz w:val="28"/>
        </w:rPr>
      </w:pPr>
      <w:r>
        <w:rPr>
          <w:rFonts w:ascii="仿宋" w:eastAsia="仿宋" w:hAnsi="仿宋" w:cs="仿宋" w:hint="eastAsia"/>
          <w:sz w:val="28"/>
          <w:lang w:eastAsia="zh-CN"/>
        </w:rPr>
        <w:t>传达核心价值观： 将核心价值观融入企业的各个方面，通过内外部培训、宣传推广等方式，确保员工理解和认同。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弘扬核心价值观： 鼓励员工在工作中践行核心价值观，将其内化为行为习惯，从而形成共同的文化认同。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2. 倡导积极工作氛围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良好的工作氛围是企业文化建设的关键组成部分，直接关系到员工的工作积极性和创造力。相关策略包括：</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激励机制： 制定并实施激励机制，包括奖励、晋升机会等，鼓励员工更加积极主动地投入工作。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开放沟通： 打破部门壁垒，鼓励员工之间开放、坦诚的沟通，形成良好的团队合作氛围。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关注员工需求： 通过定期调查、员工反馈等方式了解员工需求，及时调整管理政策，提高员工的满意度。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建设共同的企业愿景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企业文化建设的目标之一是建设共同的企业愿景，激发员工对企业未来发展的期许和认同。关键步骤包括：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制定愿景目标： 由企业领导层与全员共同参与，确立具有挑战性和激励性的企业愿景，明确未来的发展方向。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传递愿景信息： 通过内外部媒体、企业内部宣传等方式，将企业愿景传递给全员，确保员工对愿景的理解和认同。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与员工共建： 鼓励员工提出对企业愿景的建议和期望，形成共建共享的愿景文化。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建立共同价值观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共同的价值观是企业文化中的黏合剂，通过共同的价值观可以在组织内形成一种紧密的凝聚力。相关做法包括：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强调团队协作： 在企业文化中强调团队协作的重要性，倡导共同努力、共享成果的工作理念。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倡导责任意识： 建立员工对企业的责任感，使每个员工都能深刻理解自己的工作对企业的贡献。</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共享成功： 强调成功是整个团队共同努力的结果，通过共享成功经验和荣誉，进一步加强团队凝聚力。</w:t>
      </w:r>
    </w:p>
    <w:p>
      <w:pPr>
        <w:pStyle w:val="Heading2"/>
        <w:ind w:firstLine="560" w:firstLineChars="200"/>
        <w:rPr>
          <w:rFonts w:ascii="仿宋" w:eastAsia="仿宋" w:hAnsi="仿宋" w:cs="仿宋" w:hint="eastAsia"/>
          <w:sz w:val="28"/>
          <w:lang w:eastAsia="zh-CN"/>
        </w:rPr>
      </w:pPr>
      <w:bookmarkStart w:id="25" w:name="_Toc22996"/>
      <w:r>
        <w:rPr>
          <w:rFonts w:ascii="仿宋" w:eastAsia="仿宋" w:hAnsi="仿宋" w:cs="仿宋" w:hint="eastAsia"/>
          <w:sz w:val="28"/>
          <w:lang w:eastAsia="zh-CN"/>
        </w:rPr>
        <w:t>(四)、员工健康与工作平衡</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员工的健康和工作平衡是企业人力资源管理中至关重要的两个方面。建立良好的健康环境和工作平衡，有助于提高员工的工作效能、减轻工作压力，同时增强员工的忠诚度和满意度。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1. 健康管理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员工的身体健康是企业稳定运营的基础，也是提高工作效能的前提。建立健康管理制度包括：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定期体检： 提供定期的健康体检，早发现和预防潜在健康问题，保障员工的身体健康。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健康教育： 开展健康知识培训，提高员工对健康的认识，鼓励健康生活方式，如合理饮食、适度运动等。</w:t>
      </w:r>
    </w:p>
    <w:p>
      <w:pPr>
        <w:ind w:firstLine="560" w:firstLineChars="200"/>
        <w:rPr>
          <w:rFonts w:ascii="仿宋" w:eastAsia="仿宋" w:hAnsi="仿宋" w:cs="仿宋" w:hint="eastAsia"/>
          <w:sz w:val="28"/>
        </w:rPr>
      </w:pPr>
      <w:r>
        <w:rPr>
          <w:rFonts w:ascii="仿宋" w:eastAsia="仿宋" w:hAnsi="仿宋" w:cs="仿宋" w:hint="eastAsia"/>
          <w:sz w:val="28"/>
          <w:lang w:eastAsia="zh-CN"/>
        </w:rPr>
        <w:t>心理健康支持： 提供心理健康支持服务，包括心理咨询、工作压力管理等，关注员工的心理健康。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职业病防护： 针对特殊行业，建立职业病防护措施，减少员工在工作中可能受到的健康危害。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工作时间与弹性制度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工作平衡是指员工在工作和生活之间能够取得平衡，既能够充分发挥工作潜力，又能够有足够的时间去追求生活中的其他目标。相关做法包括：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弹性工作时间： 提供弹性的工作时间安排，使员工更好地适应个人的作息习惯和生活需求。</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远程办公：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鼓励和支持员工在一定条件下进行远程办公，提高工作的灵活性。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带薪休假： 提供充足的带薪休假，让员工有足够的时间休息和放松，减轻工作压力。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加班限制： 设定合理的加班限制，防止员工长时间过度工作，保障员工的身心健康。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健康活动与福利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通过组织健康活动和提供福利，企业可以增强员工的团队合作精神，同时提升员工对企业的认同感。相关做法包括：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健身活动： 组织定期的健身活动，如羽毛球比赛、健身培训等，促进员工身体锻炼，增强身体素质。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健康餐饮： 提供健康餐饮选择，关注员工的饮食健康，推动员工养成健康的饮食习惯。</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福利政策： 设立完善的员工福利政策，包括健康保险、子女教育支持等，提升员工的生活品质。</w:t>
      </w:r>
    </w:p>
    <w:p>
      <w:pPr>
        <w:ind w:firstLine="560" w:firstLineChars="200"/>
        <w:rPr>
          <w:rFonts w:ascii="仿宋" w:eastAsia="仿宋" w:hAnsi="仿宋" w:cs="仿宋" w:hint="eastAsia"/>
          <w:sz w:val="28"/>
        </w:rPr>
      </w:pPr>
      <w:r>
        <w:rPr>
          <w:rFonts w:ascii="仿宋" w:eastAsia="仿宋" w:hAnsi="仿宋" w:cs="仿宋" w:hint="eastAsia"/>
          <w:sz w:val="28"/>
          <w:lang w:eastAsia="zh-CN"/>
        </w:rPr>
        <w:t>关注员工的健康与工作平衡，企业可以营造出积极向上、关爱员工的文化氛围，从而提高员工的工作满意度和忠诚度，实现共赢。</w:t>
      </w:r>
    </w:p>
    <w:p>
      <w:pPr>
        <w:pStyle w:val="Heading1"/>
        <w:ind w:firstLine="560" w:firstLineChars="200"/>
        <w:rPr>
          <w:rFonts w:ascii="仿宋" w:eastAsia="仿宋" w:hAnsi="仿宋" w:cs="仿宋" w:hint="eastAsia"/>
          <w:sz w:val="28"/>
          <w:lang w:eastAsia="zh-CN"/>
        </w:rPr>
      </w:pPr>
      <w:bookmarkStart w:id="26" w:name="_Toc23446"/>
      <w:r>
        <w:rPr>
          <w:rFonts w:ascii="仿宋" w:eastAsia="仿宋" w:hAnsi="仿宋" w:cs="仿宋" w:hint="eastAsia"/>
          <w:sz w:val="28"/>
          <w:lang w:eastAsia="zh-CN"/>
        </w:rPr>
        <w:t>六、危机管理与应急预案</w:t>
      </w:r>
      <w:bookmarkEnd w:id="26"/>
    </w:p>
    <w:p>
      <w:pPr>
        <w:pStyle w:val="Heading2"/>
        <w:rPr>
          <w:rFonts w:ascii="仿宋" w:eastAsia="仿宋" w:hAnsi="仿宋" w:cs="仿宋" w:hint="eastAsia"/>
          <w:lang w:eastAsia="zh-CN"/>
        </w:rPr>
      </w:pPr>
      <w:bookmarkStart w:id="27" w:name="_Toc1619"/>
      <w:r>
        <w:rPr>
          <w:rFonts w:ascii="仿宋" w:eastAsia="仿宋" w:hAnsi="仿宋" w:cs="仿宋" w:hint="eastAsia"/>
          <w:lang w:eastAsia="zh-CN"/>
        </w:rPr>
        <w:t>(一)、危机预警与监测</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1. 建立监测体系</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危机监测体系是有效进行危机预警与监测的首要步骤。这一体系需要全面覆盖外部和内部环境的多个方面，以确保企业能够全面了解潜在的危机因素。外部环境的监测包括政治、经济、社会、技术等方面，而内部环境的监测则需要关注组织内部的运营状况、员工情绪等。</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在建立监测体系时，企业需要采用先进的信息技术和数据分析手段，确保能够实时、准确地收集和分析大量信息。同时，要考虑不同领域的专业监测机构和专业人才的参与，以提高监测体系的专业性和敏感性。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数据收集与分析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数据收集与分析是危机监测的核心环节。企业需要建立高效的数据收集机制，以确保能够获取与企业相关的各类信息。这可能涉及到社交媒体的监测、新闻报道的跟踪、市场调研数据的收集等多方面工作。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一旦数据收集完成，接下来的关键步骤是对数据进行系统分析。这需要企业拥有一支专业的数据分析团队，能够从海量数据中提炼出有价值的信息。数据分析的目标是发现潜在的危机迹象和异常现象，为危机的及时处理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3. 预警机制建立</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建立灵敏的预警机制是确保企业能够在危机来临之前获得预警信息的关键。预警机制的建立需要考虑到监测体系的反馈、数据分析的结果以及与外部专业机构的合作。关键的步骤包括：</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设定预警指标：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根据数据分析的结果和历史危机事件的经验，确定一系列可作为危机预警指标的关键因素。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建立预警信号： 将确定的预警指标与实际监测结果相结合，建立一套能够发出明确信号的预警系统。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制定应急响应计划： 针对不同级别的预警信号，制定相应的应急响应计划，明确责任人和行动方案。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定期演练： 对预警机制进行定期演练，检验其实际效果，及时调整和改进机制。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预警与监测体系的建立是企业危机管理的基础，它使企业能够在危机爆发前就能够有针对性地采取措施，最大程度地降低潜在风险带来的损失。通过精细化的监测和灵活的应对机制，企业能够更好地应对多变的外部环境，保障组织的稳定和可持续发展。</w:t>
      </w:r>
    </w:p>
    <w:p>
      <w:pPr>
        <w:pStyle w:val="Heading2"/>
        <w:ind w:firstLine="560" w:firstLineChars="200"/>
        <w:rPr>
          <w:rFonts w:ascii="仿宋" w:eastAsia="仿宋" w:hAnsi="仿宋" w:cs="仿宋" w:hint="eastAsia"/>
          <w:sz w:val="28"/>
          <w:lang w:eastAsia="zh-CN"/>
        </w:rPr>
      </w:pPr>
      <w:bookmarkStart w:id="28" w:name="_Toc2881"/>
      <w:r>
        <w:rPr>
          <w:rFonts w:ascii="仿宋" w:eastAsia="仿宋" w:hAnsi="仿宋" w:cs="仿宋" w:hint="eastAsia"/>
          <w:sz w:val="28"/>
          <w:lang w:eastAsia="zh-CN"/>
        </w:rPr>
        <w:t>(二)、应急预案与危机响应</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1. 预案制定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应急预案的制定是为了在危机发生时提供清晰的指导和规范行动。预案需要覆盖各个可能出现危机的领域，确保在面对不同类型的紧急情况时能够迅速做出正确反应。制定应急预案的关键步骤包括：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综合性规划： 制定一份全面而综合的应急预案，覆盖从人员疏散到资源调配、从危机指挥到协同合作等多个方面。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 在制定预案前进行全面的风险评估，明确可能面临的各类威胁，以便有针对性地制定应对方案。</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r>
        <w:rPr>
          <w:rFonts w:ascii="仿宋" w:eastAsia="仿宋" w:hAnsi="仿宋" w:cs="仿宋" w:hint="eastAsia"/>
          <w:sz w:val="28"/>
          <w:lang w:eastAsia="zh-CN"/>
        </w:rPr>
        <w:t>多方参与：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预案的制定需要多方面的参与，包括安全专家、卫生专业人员、法务顾问等，确保综合性和专业性。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定期更新： 预案需要根据组织的变化和外部环境的变动进行定期更新，保持其时效性和适应性。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危机演练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定期组织危机演练是验证应急预案的有效性和可行性的关键手段。通过模拟真实危机情境，组织成员能够更好地理解应对程序，提高危机时的应对能力。危机演练的关键步骤包括：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制定演练计划： 设定演练目标、场景、参与人员和时间表，确保演练的全面性和实效性。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模拟真实情境： 在演练中模拟真实危机情境，包括人员伤亡、资源不足、信息不准确等各种可能的困难。</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评估演练结果： 对演练过程进行全面评估，发现问题和不足，为后续的改进提供依据。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定期调整： 根据演练的结果，及时对应急预案进行调整和完善，确保其实用性和灵活性。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指挥体系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建立明确的指挥体系是危机发生时能够迅速做出决策、协调资源的关键。指挥体系的构建需要确保信息流通畅，责任分工明确，决策迅速而准确。建立指挥体系的关键步骤包括：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明确层级： 制定清晰的指挥层级，确保在危机发生时能够迅速形成统一的指挥架构。</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r>
        <w:rPr>
          <w:rFonts w:ascii="仿宋" w:eastAsia="仿宋" w:hAnsi="仿宋" w:cs="仿宋" w:hint="eastAsia"/>
          <w:sz w:val="28"/>
          <w:lang w:eastAsia="zh-CN"/>
        </w:rPr>
        <w:t>角色分工：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确定每个指挥层级的角色和职责，以便在紧急情况下各司其职，协同工作。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信息流动： 建立快速、准确的信息传递机制，确保决策者能够及时获取所需信息。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紧急决策培训： 对指挥层级的成员进行紧急决策的培训，提高其在危机时的决策效率。</w:t>
      </w:r>
    </w:p>
    <w:p>
      <w:pPr>
        <w:pStyle w:val="Heading2"/>
        <w:ind w:firstLine="560" w:firstLineChars="200"/>
        <w:rPr>
          <w:rFonts w:ascii="仿宋" w:eastAsia="仿宋" w:hAnsi="仿宋" w:cs="仿宋" w:hint="eastAsia"/>
          <w:sz w:val="28"/>
          <w:lang w:eastAsia="zh-CN"/>
        </w:rPr>
      </w:pPr>
      <w:bookmarkStart w:id="29" w:name="_Toc28022"/>
      <w:r>
        <w:rPr>
          <w:rFonts w:ascii="仿宋" w:eastAsia="仿宋" w:hAnsi="仿宋" w:cs="仿宋" w:hint="eastAsia"/>
          <w:sz w:val="28"/>
          <w:lang w:eastAsia="zh-CN"/>
        </w:rPr>
        <w:t>(三)、危机沟通与舆情控制</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1. 沟通计划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制定完善的危机沟通计划是确保在紧急情况下能够迅速、有序地传递信息的前提。沟通计划需要包括明确的沟通渠道、信息发布时机、沟通对象等关键元素。关键步骤包括：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建立沟通团队： 成立专门的危机沟通团队，包括公关专业人士、法务顾问等，确保具备危机时的敏感性和专业性。</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危机信息归类： 对危机信息进行分类，确定哪些信息可以及时公开，哪些需要谨慎处理。</w:t>
      </w:r>
    </w:p>
    <w:p>
      <w:pPr>
        <w:ind w:firstLine="560" w:firstLineChars="200"/>
        <w:rPr>
          <w:rFonts w:ascii="仿宋" w:eastAsia="仿宋" w:hAnsi="仿宋" w:cs="仿宋" w:hint="eastAsia"/>
          <w:sz w:val="28"/>
        </w:rPr>
      </w:pPr>
      <w:r>
        <w:rPr>
          <w:rFonts w:ascii="仿宋" w:eastAsia="仿宋" w:hAnsi="仿宋" w:cs="仿宋" w:hint="eastAsia"/>
          <w:sz w:val="28"/>
          <w:lang w:eastAsia="zh-CN"/>
        </w:rPr>
        <w:t>选择沟通渠道： 根据危机的性质和影响，选择最合适的沟通渠道，包括媒体发布、社交媒体、公司网站等。</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信息发布时机： 在危机发生后及时发布信息，但确保信息的准确性和完整性，避免过早或过晚发布导致误解。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2. 信息透明</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危机发生时，保持信息的透明度是建立信任和减轻公众焦虑的关键。透明沟通需要展示组织的负责任态度，积极回应公众关切。关键步骤包括：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真实情况公开： 在信息发布中坚持真实、客观的原则，对危机的真实情况进行公开。</w:t>
      </w:r>
    </w:p>
    <w:p>
      <w:pPr>
        <w:ind w:firstLine="560" w:firstLineChars="200"/>
        <w:rPr>
          <w:rFonts w:ascii="仿宋" w:eastAsia="仿宋" w:hAnsi="仿宋" w:cs="仿宋" w:hint="eastAsia"/>
          <w:sz w:val="28"/>
        </w:rPr>
      </w:pPr>
      <w:r>
        <w:rPr>
          <w:rFonts w:ascii="仿宋" w:eastAsia="仿宋" w:hAnsi="仿宋" w:cs="仿宋" w:hint="eastAsia"/>
          <w:sz w:val="28"/>
          <w:lang w:eastAsia="zh-CN"/>
        </w:rPr>
        <w:t>不隐瞒问题： 如有错误或疏忽，勇于承认，并及时采取纠正措施，避免信息隐瞒引发更大危机。</w:t>
      </w:r>
    </w:p>
    <w:p>
      <w:pPr>
        <w:ind w:firstLine="560" w:firstLineChars="200"/>
        <w:rPr>
          <w:rFonts w:ascii="仿宋" w:eastAsia="仿宋" w:hAnsi="仿宋" w:cs="仿宋" w:hint="eastAsia"/>
          <w:sz w:val="28"/>
        </w:rPr>
      </w:pPr>
      <w:r>
        <w:rPr>
          <w:rFonts w:ascii="仿宋" w:eastAsia="仿宋" w:hAnsi="仿宋" w:cs="仿宋" w:hint="eastAsia"/>
          <w:sz w:val="28"/>
          <w:lang w:eastAsia="zh-CN"/>
        </w:rPr>
        <w:t>接受采访和回应： 主动接受媒体采访，回应公众关切，积极参与危机舆论引导。</w:t>
      </w:r>
    </w:p>
    <w:p>
      <w:pPr>
        <w:ind w:firstLine="560" w:firstLineChars="200"/>
        <w:rPr>
          <w:rFonts w:ascii="仿宋" w:eastAsia="仿宋" w:hAnsi="仿宋" w:cs="仿宋" w:hint="eastAsia"/>
          <w:sz w:val="28"/>
        </w:rPr>
      </w:pPr>
      <w:r>
        <w:rPr>
          <w:rFonts w:ascii="仿宋" w:eastAsia="仿宋" w:hAnsi="仿宋" w:cs="仿宋" w:hint="eastAsia"/>
          <w:sz w:val="28"/>
          <w:lang w:eastAsia="zh-CN"/>
        </w:rPr>
        <w:t>3. 舆情监测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舆情监测是对社会舆论动态的及时了解和调整的关键环节。通过舆情监测，企业可以更好地把握公众的态度和情感，有针对性地调整沟通策略。关键步骤包括：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设立监测机制： 建立舆情监测系统，覆盖主流媒体、社交媒体、网络论坛等多个渠道，全面了解舆情动向。</w:t>
      </w:r>
    </w:p>
    <w:p>
      <w:pPr>
        <w:ind w:firstLine="560" w:firstLineChars="200"/>
        <w:rPr>
          <w:rFonts w:ascii="仿宋" w:eastAsia="仿宋" w:hAnsi="仿宋" w:cs="仿宋" w:hint="eastAsia"/>
          <w:sz w:val="28"/>
        </w:rPr>
      </w:pPr>
      <w:r>
        <w:rPr>
          <w:rFonts w:ascii="仿宋" w:eastAsia="仿宋" w:hAnsi="仿宋" w:cs="仿宋" w:hint="eastAsia"/>
          <w:sz w:val="28"/>
          <w:lang w:eastAsia="zh-CN"/>
        </w:rPr>
        <w:t>情感分析： 对舆情进行情感分析，了解公众的情感倾向，有针对性地调整信息发布策略。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即时回应： 对于涉及企业的谣言或误解，及时进行回应和澄清，防止虚假信息传播。</w:t>
      </w:r>
    </w:p>
    <w:p>
      <w:pPr>
        <w:ind w:firstLine="560" w:firstLineChars="200"/>
        <w:rPr>
          <w:rFonts w:ascii="仿宋" w:eastAsia="仿宋" w:hAnsi="仿宋" w:cs="仿宋" w:hint="eastAsia"/>
          <w:sz w:val="28"/>
        </w:rPr>
      </w:pPr>
      <w:r>
        <w:rPr>
          <w:rFonts w:ascii="仿宋" w:eastAsia="仿宋" w:hAnsi="仿宋" w:cs="仿宋" w:hint="eastAsia"/>
          <w:sz w:val="28"/>
          <w:lang w:eastAsia="zh-CN"/>
        </w:rPr>
        <w:t>4. 危机后教训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危机后教训的总结和改进是危机沟通的闭环。通过反思危机沟通过程，企业可以更好地准备未来可能发生的危机，提升危机沟通的水平。关键步骤包括：</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r>
        <w:rPr>
          <w:rFonts w:ascii="仿宋" w:eastAsia="仿宋" w:hAnsi="仿宋" w:cs="仿宋" w:hint="eastAsia"/>
          <w:sz w:val="28"/>
          <w:lang w:eastAsia="zh-CN"/>
        </w:rPr>
        <w:t>总结经验教训：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对危机沟通过程进行深入总结，明确优点和不足之处。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改进沟通策略： 根据总结的教训，调整和改进危机沟通策略，提高应对危机的能力。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培训沟通团队： 将总结的经验教训纳入危机沟通团队的培训体系，提高团队的专业水平。</w:t>
      </w:r>
    </w:p>
    <w:p>
      <w:pPr>
        <w:pStyle w:val="Heading2"/>
        <w:ind w:firstLine="560" w:firstLineChars="200"/>
        <w:rPr>
          <w:rFonts w:ascii="仿宋" w:eastAsia="仿宋" w:hAnsi="仿宋" w:cs="仿宋" w:hint="eastAsia"/>
          <w:sz w:val="28"/>
          <w:lang w:eastAsia="zh-CN"/>
        </w:rPr>
      </w:pPr>
      <w:bookmarkStart w:id="30" w:name="_Toc12937"/>
      <w:r>
        <w:rPr>
          <w:rFonts w:ascii="仿宋" w:eastAsia="仿宋" w:hAnsi="仿宋" w:cs="仿宋" w:hint="eastAsia"/>
          <w:sz w:val="28"/>
          <w:lang w:eastAsia="zh-CN"/>
        </w:rPr>
        <w:t>(四)、危机后教训与改进</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1. 总结经验教训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在危机发生后，对整个危机处理过程进行全面、深入的总结是确保企业能够吸取经验教训的首要步骤。关键方面包括：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问题识别： 确定危机处理过程中出现的问题，包括内部失误、外部压力、公众反应等方面。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决策评估： 对危机管理团队的决策进行客观评估，确定哪些决策起到了积极作用，哪些需要调整和改进。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资源利用： 评估危机期间各类资源的利用效率，包括人力、物力、信息等。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改进管理策略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基于总结的经验教训，制定并实施改进危机管理策略是确保企业下次危机能够更好应对的关键一环。关键方面包括：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修订危机预案： 根据危机中暴露的问题和不足，对危机预案进行修订和升级，确保其更具实效性和适应性。</w:t>
      </w:r>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r>
        <w:rPr>
          <w:rFonts w:ascii="仿宋" w:eastAsia="仿宋" w:hAnsi="仿宋" w:cs="仿宋" w:hint="eastAsia"/>
          <w:sz w:val="28"/>
          <w:lang w:eastAsia="zh-CN"/>
        </w:rPr>
        <w:t>加强团队培训：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针对危机管理团队，开展专业培训，提高成员的应变能力、决策水平和团队协同能力。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升级技术支持： 结合危机处理中出现的技术问题，考虑引入更先进的技术手段，提升信息收集和处理的效率。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提高沟通效果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危机时的沟通效果直接关系到公众对企业的认知和态度。通过改进沟通策略，企业可以更好地引导舆论、维护声誉。关键方面包括：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提升透明度： 加强信息透明度，及时、准确地向公众传递危机信息，减少信息不对称。</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加强社交媒体管理： 提升在社交媒体上的管理水平，积极参与互动，防范谣言传播，维护正面形象。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改进危机沟通团队： 对危机沟通团队进行定期培训，提高团队的危机沟通策略和危机公关技巧。</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定期演练与检验</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为确保改进措施的有效性，企业需要定期组织危机演练，并对演练结果进行检验和评估。关键方面包括：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演练目标明确： 制定明确的演练目标，包括测试预案可行性、团队协同效果等。</w:t>
      </w:r>
    </w:p>
    <w:p>
      <w:pPr>
        <w:ind w:firstLine="560" w:firstLineChars="200"/>
        <w:rPr>
          <w:rFonts w:ascii="仿宋" w:eastAsia="仿宋" w:hAnsi="仿宋" w:cs="仿宋" w:hint="eastAsia"/>
          <w:sz w:val="28"/>
        </w:rPr>
      </w:pPr>
      <w:r>
        <w:rPr>
          <w:rFonts w:ascii="仿宋" w:eastAsia="仿宋" w:hAnsi="仿宋" w:cs="仿宋" w:hint="eastAsia"/>
          <w:sz w:val="28"/>
          <w:lang w:eastAsia="zh-CN"/>
        </w:rPr>
        <w:t>多方参与演练： 邀请外部专业机构参与演练，提供客观的评价和建议。</w:t>
      </w:r>
    </w:p>
    <w:p>
      <w:pPr>
        <w:ind w:firstLine="560" w:firstLineChars="200"/>
        <w:rPr>
          <w:rFonts w:ascii="仿宋" w:eastAsia="仿宋" w:hAnsi="仿宋" w:cs="仿宋" w:hint="eastAsia"/>
          <w:sz w:val="28"/>
        </w:rPr>
        <w:sectPr>
          <w:headerReference w:type="default" r:id="rId76"/>
          <w:footerReference w:type="default" r:id="rId77"/>
          <w:type w:val="nextPage"/>
          <w:pgSz w:w="11906" w:h="16838"/>
          <w:pgMar w:top="1440" w:right="1800" w:bottom="1440" w:left="1800" w:header="851" w:footer="992" w:gutter="0"/>
          <w:pgNumType w:start="37"/>
          <w:cols w:num="1" w:space="425"/>
          <w:titlePg w:val="0"/>
          <w:docGrid w:type="lines" w:linePitch="312" w:charSpace="0"/>
        </w:sectPr>
      </w:pPr>
      <w:r>
        <w:rPr>
          <w:rFonts w:ascii="仿宋" w:eastAsia="仿宋" w:hAnsi="仿宋" w:cs="仿宋" w:hint="eastAsia"/>
          <w:sz w:val="28"/>
          <w:lang w:eastAsia="zh-CN"/>
        </w:rPr>
        <w:t>演练结果反馈： 对演练结果进行深入分析，识别问题和不足，为下一轮改进提供依据。</w:t>
      </w:r>
    </w:p>
    <w:p>
      <w:pPr>
        <w:pStyle w:val="Heading1"/>
        <w:ind w:firstLine="560" w:firstLineChars="200"/>
        <w:rPr>
          <w:rFonts w:ascii="仿宋" w:eastAsia="仿宋" w:hAnsi="仿宋" w:cs="仿宋" w:hint="eastAsia"/>
          <w:sz w:val="28"/>
          <w:lang w:eastAsia="zh-CN"/>
        </w:rPr>
      </w:pPr>
      <w:bookmarkStart w:id="31" w:name="_Toc9263"/>
      <w:r>
        <w:rPr>
          <w:rFonts w:ascii="仿宋" w:eastAsia="仿宋" w:hAnsi="仿宋" w:cs="仿宋" w:hint="eastAsia"/>
          <w:sz w:val="28"/>
          <w:lang w:eastAsia="zh-CN"/>
        </w:rPr>
        <w:t>七、氮化铬铁项目风险评估</w:t>
      </w:r>
      <w:bookmarkEnd w:id="31"/>
    </w:p>
    <w:p>
      <w:pPr>
        <w:pStyle w:val="Heading2"/>
        <w:rPr>
          <w:rFonts w:ascii="仿宋" w:eastAsia="仿宋" w:hAnsi="仿宋" w:cs="仿宋" w:hint="eastAsia"/>
          <w:lang w:eastAsia="zh-CN"/>
        </w:rPr>
      </w:pPr>
      <w:bookmarkStart w:id="32" w:name="_Toc16592"/>
      <w:r>
        <w:rPr>
          <w:rFonts w:ascii="仿宋" w:eastAsia="仿宋" w:hAnsi="仿宋" w:cs="仿宋" w:hint="eastAsia"/>
          <w:lang w:eastAsia="zh-CN"/>
        </w:rPr>
        <w:t>(一)、政策风险分析</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政策风险分析是在氮化铬铁项目实施中考虑政府政策变化可能带来的影响和挑战。政策风险分析的一般步骤：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政策环境变化：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首先，分析所处地区的政治和法规环境。政府在不同时间可能会出台新政策、修改法规或者废除旧政策，这可能对氮化铬铁项目的经营产生重大影响。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 行业监管政策：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了解行业监管政策的动态变化。某些行业受到特殊监管，政府可能会频繁调整监管标准。氮化铬铁项目如果处于受监管行业，需要密切关注相关政策变动。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税收政策：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分析税收政策的可能变化。税收政策的调整可能影响企业的盈利水平。了解企业所在地区的税收政策，包括企业所得税、增值税等，以及是否存在税收优惠政策。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4. 贸易政策：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如果氮化铬铁项目涉及跨境贸易，需要考虑国际贸易政策的影响。关税、贸易壁垒、出口管制等因素可能对氮化铬铁项目的进出口产生直接影响。</w:t>
      </w:r>
    </w:p>
    <w:p>
      <w:pPr>
        <w:ind w:firstLine="560" w:firstLineChars="200"/>
        <w:rPr>
          <w:rFonts w:ascii="仿宋" w:eastAsia="仿宋" w:hAnsi="仿宋" w:cs="仿宋" w:hint="eastAsia"/>
          <w:sz w:val="28"/>
        </w:rPr>
        <w:sectPr>
          <w:headerReference w:type="default" r:id="rId78"/>
          <w:footerReference w:type="default" r:id="rId79"/>
          <w:type w:val="nextPage"/>
          <w:pgSz w:w="11906" w:h="16838"/>
          <w:pgMar w:top="1440" w:right="1800" w:bottom="1440" w:left="1800" w:header="851" w:footer="992" w:gutter="0"/>
          <w:pgNumType w:start="38"/>
          <w:cols w:num="1" w:space="425"/>
          <w:titlePg w:val="0"/>
          <w:docGrid w:type="lines" w:linePitch="312" w:charSpace="0"/>
        </w:sectPr>
      </w:pPr>
      <w:r>
        <w:rPr>
          <w:rFonts w:ascii="仿宋" w:eastAsia="仿宋" w:hAnsi="仿宋" w:cs="仿宋" w:hint="eastAsia"/>
          <w:sz w:val="28"/>
          <w:lang w:eastAsia="zh-CN"/>
        </w:rPr>
        <w:t>5. 环保和能源政策：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政府对环保和能源政策的调整可能对某些行业产生深远的影响。了解并评估与氮化铬铁项目相关的环保法规和能源政策的变化。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6. 劳动力法规：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分析劳动力法规的变动。劳动力法规的改变可能导致劳动力成本的波动，或者对雇佣关系和劳动力管理提出新的要求。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市场准入政策：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了解市场准入政策的情况，特别是对新兴产业或外资企业的市场准入条件。政府对于不同行业的准入标准可能会发生变化。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8. 法律体系的稳定性：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评估所处地区的法律体系的稳定性。法律环境的不稳定可能导致合同不确定性，司法争议的增加等。</w:t>
      </w:r>
    </w:p>
    <w:p>
      <w:pPr>
        <w:ind w:firstLine="560" w:firstLineChars="200"/>
        <w:rPr>
          <w:rFonts w:ascii="仿宋" w:eastAsia="仿宋" w:hAnsi="仿宋" w:cs="仿宋" w:hint="eastAsia"/>
          <w:sz w:val="28"/>
        </w:rPr>
      </w:pPr>
      <w:r>
        <w:rPr>
          <w:rFonts w:ascii="仿宋" w:eastAsia="仿宋" w:hAnsi="仿宋" w:cs="仿宋" w:hint="eastAsia"/>
          <w:sz w:val="28"/>
          <w:lang w:eastAsia="zh-CN"/>
        </w:rPr>
        <w:t>9. 政策变动的预测：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尝试预测政府政策的未来变动，可能的方向和趋势。这有助于企业更好地应对潜在的政策风险。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10. 风险缓解策略：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制定针对可能政策风险的应对策略，如建立政府关系、多方沟通、合规性审查等，以降低氮化铬铁项目受政策影响的程度。</w:t>
      </w:r>
    </w:p>
    <w:p>
      <w:pPr>
        <w:pStyle w:val="Heading2"/>
        <w:ind w:firstLine="560" w:firstLineChars="200"/>
        <w:rPr>
          <w:rFonts w:ascii="仿宋" w:eastAsia="仿宋" w:hAnsi="仿宋" w:cs="仿宋" w:hint="eastAsia"/>
          <w:sz w:val="28"/>
          <w:lang w:eastAsia="zh-CN"/>
        </w:rPr>
      </w:pPr>
      <w:bookmarkStart w:id="33" w:name="_Toc14758"/>
      <w:r>
        <w:rPr>
          <w:rFonts w:ascii="仿宋" w:eastAsia="仿宋" w:hAnsi="仿宋" w:cs="仿宋" w:hint="eastAsia"/>
          <w:sz w:val="28"/>
          <w:lang w:eastAsia="zh-CN"/>
        </w:rPr>
        <w:t>(二)、社会风险分析</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1. 社会稳定性：</w:t>
      </w:r>
    </w:p>
    <w:p>
      <w:pPr>
        <w:ind w:firstLine="560" w:firstLineChars="200"/>
        <w:rPr>
          <w:rFonts w:ascii="仿宋" w:eastAsia="仿宋" w:hAnsi="仿宋" w:cs="仿宋" w:hint="eastAsia"/>
          <w:sz w:val="28"/>
        </w:rPr>
        <w:sectPr>
          <w:headerReference w:type="default" r:id="rId80"/>
          <w:footerReference w:type="default" r:id="rId81"/>
          <w:type w:val="nextPage"/>
          <w:pgSz w:w="11906" w:h="16838"/>
          <w:pgMar w:top="1440" w:right="1800" w:bottom="1440" w:left="1800" w:header="851" w:footer="992" w:gutter="0"/>
          <w:pgNumType w:start="3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首先，评估所处地区的社会稳定性。社会动荡、示威抗议、劳工纷争等可能对氮化铬铁项目产生负面影响。了解社会的整体稳定水平对风险预测至关重要。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2. 社会关系：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分析氮化铬铁项目可能涉及的社会关系网络。了解关键利益相关者、社区居民、非政府组织（NGO）等的态度和期望，以及氮化铬铁项目对其可能产生的影响。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3. 社会对氮化铬铁项目的接受度：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了解社会对氮化铬铁项目的接受度和态度。有时候，氮化铬铁项目可能面临来自社区居民或其他利益相关者的抵制。评估社会对氮化铬铁项目的整体反应，包括可能的正面和负面反馈。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社会文化背景：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考虑社会文化背景对氮化铬铁项目的影响。不同地区有不同的文化价值观念和行为模式，了解并尊重当地文化有助于减少文化冲突和误解。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5. 社会公平和包容性：</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评估氮化铬铁项目对社会公平和包容性的影响。氮化铬铁项目是否能够促进社会的平等和包容，避免对弱势群体的不利影响。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氮化铬铁项目是否考虑社会责任和可持续发展原则，以确保氮化铬铁项目的可持续性和社会价值。社会责任意识有助于提升氮化铬铁项目在社会中的声誉和认可。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7. 社区参与和沟通：</w:t>
      </w:r>
    </w:p>
    <w:p>
      <w:pPr>
        <w:ind w:firstLine="560" w:firstLineChars="200"/>
        <w:rPr>
          <w:rFonts w:ascii="仿宋" w:eastAsia="仿宋" w:hAnsi="仿宋" w:cs="仿宋" w:hint="eastAsia"/>
          <w:sz w:val="28"/>
        </w:rPr>
        <w:sectPr>
          <w:headerReference w:type="default" r:id="rId82"/>
          <w:footerReference w:type="default" r:id="rId83"/>
          <w:type w:val="nextPage"/>
          <w:pgSz w:w="11906" w:h="16838"/>
          <w:pgMar w:top="1440" w:right="1800" w:bottom="1440" w:left="1800" w:header="851" w:footer="992" w:gutter="0"/>
          <w:pgNumType w:start="4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建立有效的社区参与和沟通机制，以确保氮化铬铁项目的透明度和社区居民对氮化铬铁项目决策的参与。主动与社区进行沟通有助于解决潜在的社会矛盾。</w:t>
      </w:r>
    </w:p>
    <w:p>
      <w:pPr>
        <w:ind w:firstLine="560" w:firstLineChars="200"/>
        <w:rPr>
          <w:rFonts w:ascii="仿宋" w:eastAsia="仿宋" w:hAnsi="仿宋" w:cs="仿宋" w:hint="eastAsia"/>
          <w:sz w:val="28"/>
        </w:rPr>
      </w:pPr>
      <w:r>
        <w:rPr>
          <w:rFonts w:ascii="仿宋" w:eastAsia="仿宋" w:hAnsi="仿宋" w:cs="仿宋" w:hint="eastAsia"/>
          <w:sz w:val="28"/>
          <w:lang w:eastAsia="zh-CN"/>
        </w:rPr>
        <w:t>8. 风险缓解策略：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基于社会风险的评估，制定相应的风险缓解策略。这可能包括社会责任氮化铬铁项目、社区投资、利益相关者参与计划等。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9. 社会舆论监测：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监测社会舆论对氮化铬铁项目的反应，及时了解社会动态，以便及时做出应对调整。</w:t>
      </w:r>
    </w:p>
    <w:p>
      <w:pPr>
        <w:pStyle w:val="Heading2"/>
        <w:ind w:firstLine="560" w:firstLineChars="200"/>
        <w:rPr>
          <w:rFonts w:ascii="仿宋" w:eastAsia="仿宋" w:hAnsi="仿宋" w:cs="仿宋" w:hint="eastAsia"/>
          <w:sz w:val="28"/>
          <w:lang w:eastAsia="zh-CN"/>
        </w:rPr>
      </w:pPr>
      <w:bookmarkStart w:id="34" w:name="_Toc14502"/>
      <w:r>
        <w:rPr>
          <w:rFonts w:ascii="仿宋" w:eastAsia="仿宋" w:hAnsi="仿宋" w:cs="仿宋" w:hint="eastAsia"/>
          <w:sz w:val="28"/>
          <w:lang w:eastAsia="zh-CN"/>
        </w:rPr>
        <w:t>(三)、市场风险分析</w:t>
      </w:r>
      <w:bookmarkEnd w:id="34"/>
    </w:p>
    <w:p>
      <w:pPr>
        <w:ind w:firstLine="560" w:firstLineChars="200"/>
        <w:rPr>
          <w:rFonts w:ascii="仿宋" w:eastAsia="仿宋" w:hAnsi="仿宋" w:cs="仿宋" w:hint="eastAsia"/>
          <w:sz w:val="28"/>
        </w:rPr>
      </w:pPr>
      <w:r>
        <w:rPr>
          <w:rFonts w:ascii="仿宋" w:eastAsia="仿宋" w:hAnsi="仿宋" w:cs="仿宋" w:hint="eastAsia"/>
          <w:sz w:val="28"/>
          <w:lang w:eastAsia="zh-CN"/>
        </w:rPr>
        <w:t>1. 市场需求波动：</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评估目标市场的需求是否存在波动性。市场需求的不稳定性可能导致销售额的波动，影响氮化铬铁项目的盈利能力。了解市场需求的周期性和波动性对风险分析至关重要。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2. 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分析目标市场的竞争格局和竞争对手的强度。竞争压力的增加可能导致价格下降、市场份额减少等问题。了解竞争对手的策略和市场定位，制定相应的竞争策略。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技术变革：</w:t>
      </w:r>
    </w:p>
    <w:p>
      <w:pPr>
        <w:ind w:firstLine="560" w:firstLineChars="200"/>
        <w:rPr>
          <w:rFonts w:ascii="仿宋" w:eastAsia="仿宋" w:hAnsi="仿宋" w:cs="仿宋" w:hint="eastAsia"/>
          <w:sz w:val="28"/>
        </w:rPr>
        <w:sectPr>
          <w:headerReference w:type="default" r:id="rId84"/>
          <w:footerReference w:type="default" r:id="rId85"/>
          <w:type w:val="nextPage"/>
          <w:pgSz w:w="11906" w:h="16838"/>
          <w:pgMar w:top="1440" w:right="1800" w:bottom="1440" w:left="1800" w:header="851" w:footer="992" w:gutter="0"/>
          <w:pgNumType w:start="41"/>
          <w:cols w:num="1" w:space="425"/>
          <w:titlePg w:val="0"/>
          <w:docGrid w:type="lines" w:linePitch="312" w:charSpace="0"/>
        </w:sectPr>
      </w:pPr>
      <w:r>
        <w:rPr>
          <w:rFonts w:ascii="仿宋" w:eastAsia="仿宋" w:hAnsi="仿宋" w:cs="仿宋" w:hint="eastAsia"/>
          <w:sz w:val="28"/>
          <w:lang w:eastAsia="zh-CN"/>
        </w:rPr>
        <w:t>考虑技术的快速变革对市场的影响。技术创新可能导致产品或服务的陈旧，需要不断升级以适应市场的新要求。了解技术趋势，及时调整氮化铬铁项目的技术方向。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法规和政策风险：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分析市场所在地区的法规和政策对氮化铬铁项目的影响。政策的变动可能对市场准入、产品注册、广告宣传等方面产生影响。密切关注相关法规的动态变化。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5. 消费者行为变化：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了解目标市场消费者行为的可能变化。消费趋势、偏好和购买习惯的变动可能影响产品或服务的市场表现。通过市场调研了解目标消费者的实际需求。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6. 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评估氮化铬铁项目所处的供应链的稳定性。供应链中可能存在的问题，如原材料供应不稳定、制造环节问题等，都可能对市场供应和产品交付产生影响。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7. 汇率和国际贸易风险：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如果氮化铬铁项目涉及跨国贸易，需考虑汇率波动和国际贸易政策的变化。这些因素可能对成本、价格和市场准入造成直接的影响。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8. 市场规模和增长预期：</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了解市场的规模和增长预期，评估是否存在市场容量的瓶颈问题。市场规模的估算和增长预期对氮化铬铁项目的定位和发展计划有着重要的指导作用。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9. 市场宏观经济环境：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6" w:history="1">
        <w:r>
          <w:rPr>
            <w:rFonts w:ascii="SimSun" w:eastAsia="SimSun" w:hAnsi="SimSun" w:cs="SimSun"/>
            <w:b/>
            <w:bCs/>
            <w:color w:val="0000EE"/>
            <w:kern w:val="0"/>
            <w:sz w:val="30"/>
            <w:szCs w:val="30"/>
            <w:u w:val="single" w:color="0000EE"/>
          </w:rPr>
          <w:t>https://d.book118.com/688065062141006031</w:t>
        </w:r>
      </w:hyperlink>
    </w:p>
    <w:p>
      <w:pPr>
        <w:ind w:firstLine="560" w:firstLineChars="200"/>
        <w:rPr>
          <w:rFonts w:ascii="仿宋" w:eastAsia="仿宋" w:hAnsi="仿宋" w:cs="仿宋" w:hint="eastAsia"/>
          <w:sz w:val="28"/>
        </w:rPr>
      </w:pPr>
    </w:p>
    <w:sectPr>
      <w:headerReference w:type="default" r:id="rId87"/>
      <w:footerReference w:type="default" r:id="rId88"/>
      <w:type w:val="nextPage"/>
      <w:pgSz w:w="11906" w:h="16838"/>
      <w:pgMar w:top="1440" w:right="1800" w:bottom="1440" w:left="1800" w:header="851" w:footer="992" w:gutter="0"/>
      <w:pgNumType w:start="4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42</w:t>
    </w:r>
    <w:r>
      <w:rPr>
        <w:rStyle w:val="PageNumber"/>
      </w:rPr>
      <w:fldChar w:fldCharType="end"/>
    </w:r>
  </w:p>
  <w:p>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氮化铬铁项目概述报告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氮化铬铁项目概述报告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氮化铬铁项目概述报告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氮化铬铁项目概述报告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氮化铬铁项目概述报告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氮化铬铁项目概述报告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氮化铬铁项目概述报告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氮化铬铁项目概述报告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氮化铬铁项目概述报告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氮化铬铁项目概述报告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氮化铬铁项目概述报告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氮化铬铁项目概述报告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氮化铬铁项目概述报告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氮化铬铁项目概述报告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氮化铬铁项目概述报告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氮化铬铁项目概述报告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氮化铬铁项目概述报告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氮化铬铁项目概述报告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氮化铬铁项目概述报告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氮化铬铁项目概述报告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氮化铬铁项目概述报告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氮化铬铁项目概述报告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氮化铬铁项目概述报告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氮化铬铁项目概述报告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氮化铬铁项目概述报告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氮化铬铁项目概述报告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氮化铬铁项目概述报告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氮化铬铁项目概述报告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氮化铬铁项目概述报告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氮化铬铁项目概述报告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氮化铬铁项目概述报告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氮化铬铁项目概述报告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氮化铬铁项目概述报告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氮化铬铁项目概述报告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氮化铬铁项目概述报告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氮化铬铁项目概述报告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氮化铬铁项目概述报告</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氮化铬铁项目概述报告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氮化铬铁项目概述报告</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氮化铬铁项目概述报告</w: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氮化铬铁项目概述报告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氮化铬铁项目概述报告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D200A8"/>
    <w:rsid w:val="7BD200A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footer" Target="footer37.xml" /><Relationship Id="rId78" Type="http://schemas.openxmlformats.org/officeDocument/2006/relationships/header" Target="header38.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footer" Target="footer40.xml" /><Relationship Id="rId84" Type="http://schemas.openxmlformats.org/officeDocument/2006/relationships/header" Target="header41.xml" /><Relationship Id="rId85" Type="http://schemas.openxmlformats.org/officeDocument/2006/relationships/footer" Target="footer41.xml" /><Relationship Id="rId86" Type="http://schemas.openxmlformats.org/officeDocument/2006/relationships/hyperlink" Target="https://d.book118.com/688065062141006031" TargetMode="External" /><Relationship Id="rId87" Type="http://schemas.openxmlformats.org/officeDocument/2006/relationships/header" Target="header42.xml" /><Relationship Id="rId88" Type="http://schemas.openxmlformats.org/officeDocument/2006/relationships/footer" Target="footer42.xml" /><Relationship Id="rId89" Type="http://schemas.openxmlformats.org/officeDocument/2006/relationships/theme" Target="theme/theme1.xml" /><Relationship Id="rId9" Type="http://schemas.openxmlformats.org/officeDocument/2006/relationships/footer" Target="footer3.xml" /><Relationship Id="rId90"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2024-01-16T08:53:00Z</dcterms:created>
  <dcterms:modified xsi:type="dcterms:W3CDTF">2024-01-16T08:53:14Z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9FA9D27D671E4BC796308A5482B35EDA_11</vt:lpwstr>
  </property>
  <property fmtid="{D5CDD505-2E9C-101B-9397-08002B2CF9AE}" pid="3" name="KSOProductBuildVer">
    <vt:lpwstr>2052-12.1.0.16120</vt:lpwstr>
  </property>
</Properties>
</file>