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before="50" w:line="1565" w:lineRule="exact"/>
      </w:pPr>
      <w:r>
        <w:rPr>
          <w:position w:val="-31"/>
        </w:rPr>
        <w:pict>
          <v:group id="_x0000_i1025" style="width:522.95pt;height:78.3pt;mso-position-horizontal-relative:char;mso-position-vertical-relative:line" coordorigin="0,0" coordsize="10459,1566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0459;height:1566;position:absolute" filled="f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0283;height:1418;left:88;position:absolute;top:166" filled="f" stroked="f">
              <o:lock v:ext="edit" aspectratio="f"/>
              <v:textbox inset="0,0,0,0">
                <w:txbxContent>
                  <w:p>
                    <w:pPr>
                      <w:spacing w:before="20" w:line="219" w:lineRule="auto"/>
                      <w:ind w:left="26"/>
                      <w:rPr>
                        <w:rFonts w:ascii="NSimSun" w:eastAsia="NSimSun" w:hAnsi="NSimSun" w:cs="NSimSun"/>
                        <w:sz w:val="28"/>
                        <w:szCs w:val="28"/>
                      </w:rPr>
                    </w:pPr>
                    <w:r>
                      <w:rPr>
                        <w:rFonts w:ascii="NSimSun" w:eastAsia="NSimSun" w:hAnsi="NSimSun" w:cs="NSimSun"/>
                        <w:spacing w:val="-1"/>
                        <w:sz w:val="28"/>
                        <w:szCs w:val="28"/>
                      </w:rPr>
                      <w:t>债券市场专题研究</w:t>
                    </w:r>
                  </w:p>
                  <w:p>
                    <w:pPr>
                      <w:spacing w:line="18" w:lineRule="exact"/>
                    </w:pPr>
                  </w:p>
                  <w:tbl>
                    <w:tblPr>
                      <w:tblStyle w:val="TableNormal"/>
                      <w:tblW w:w="10242" w:type="dxa"/>
                      <w:tblInd w:w="20" w:type="dxa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Layout w:type="fixed"/>
                    </w:tblPr>
                    <w:tblGrid>
                      <w:gridCol w:w="10242"/>
                    </w:tblGrid>
                    <w:tr>
                      <w:tblPrEx>
                        <w:tblW w:w="10242" w:type="dxa"/>
                        <w:tblInd w:w="20" w:type="dxa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</w:tblPrEx>
                      <w:trPr>
                        <w:trHeight w:val="462"/>
                      </w:trPr>
                      <w:tc>
                        <w:tcPr>
                          <w:tcW w:w="10242" w:type="dxa"/>
                          <w:tcBorders>
                            <w:top w:val="single" w:sz="4" w:space="0" w:color="B60004"/>
                            <w:bottom w:val="single" w:sz="4" w:space="0" w:color="B60004"/>
                          </w:tcBorders>
                          <w:vAlign w:val="top"/>
                        </w:tcPr>
                        <w:p>
                          <w:pPr>
                            <w:spacing w:before="48" w:line="207" w:lineRule="auto"/>
                            <w:ind w:left="22"/>
                            <w:rPr>
                              <w:rFonts w:ascii="SimSun" w:eastAsia="SimSun" w:hAnsi="SimSun" w:cs="SimSun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FFFFFF"/>
                              <w:spacing w:val="-2"/>
                              <w:sz w:val="36"/>
                              <w:szCs w:val="36"/>
                              <w14:textOutline w14:w="6531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10"/>
                              </w14:textOutline>
                            </w:rPr>
                            <w:t>红利资产的底层逻辑</w:t>
                          </w:r>
                        </w:p>
                      </w:tc>
                    </w:tr>
                    <w:tr>
                      <w:tblPrEx>
                        <w:tblW w:w="10242" w:type="dxa"/>
                        <w:tblInd w:w="20" w:type="dxa"/>
                        <w:tblLayout w:type="fixed"/>
                      </w:tblPrEx>
                      <w:trPr>
                        <w:trHeight w:val="535"/>
                      </w:trPr>
                      <w:tc>
                        <w:tcPr>
                          <w:tcW w:w="10242" w:type="dxa"/>
                          <w:tcBorders>
                            <w:top w:val="single" w:sz="4" w:space="0" w:color="B60004"/>
                            <w:bottom w:val="single" w:sz="4" w:space="0" w:color="B60004"/>
                          </w:tcBorders>
                          <w:vAlign w:val="top"/>
                        </w:tcPr>
                        <w:p>
                          <w:pPr>
                            <w:spacing w:before="131" w:line="219" w:lineRule="auto"/>
                            <w:ind w:left="8"/>
                            <w:rPr>
                              <w:rFonts w:ascii="SimSun" w:eastAsia="SimSun" w:hAnsi="SimSun" w:cs="SimSu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FFFFFF"/>
                              <w:spacing w:val="-2"/>
                              <w:sz w:val="28"/>
                              <w:szCs w:val="28"/>
                              <w14:textOutline w14:w="5094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10"/>
                              </w14:textOutline>
                            </w:rPr>
                            <w:t>——</w:t>
                          </w:r>
                          <w:r>
                            <w:rPr>
                              <w:rFonts w:ascii="SimSun" w:eastAsia="SimSun" w:hAnsi="SimSun" w:cs="SimSun"/>
                              <w:color w:val="FFFFFF"/>
                              <w:spacing w:val="-9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 w:hAnsi="SimSun" w:cs="SimSun"/>
                              <w:color w:val="FFFFFF"/>
                              <w:spacing w:val="-2"/>
                              <w:sz w:val="28"/>
                              <w:szCs w:val="28"/>
                              <w14:textOutline w14:w="5094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10"/>
                              </w14:textOutline>
                            </w:rPr>
                            <w:t>固收视角看权益系列一</w:t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v:shape id="_x0000_s1028" type="#_x0000_t202" style="width:2606;height:240;left:7762;position:absolute;top:241" filled="f" stroked="f">
              <o:lock v:ext="edit" aspectratio="f"/>
              <v:textbox inset="0,0,0,0">
                <w:txbxContent>
                  <w:p>
                    <w:pPr>
                      <w:spacing w:before="20" w:line="227" w:lineRule="auto"/>
                      <w:jc w:val="right"/>
                      <w:rPr>
                        <w:rFonts w:ascii="NSimSun" w:eastAsia="NSimSun" w:hAnsi="NSimSun" w:cs="NSimSun"/>
                        <w:sz w:val="18"/>
                        <w:szCs w:val="18"/>
                      </w:rPr>
                    </w:pPr>
                    <w:r>
                      <w:rPr>
                        <w:rFonts w:ascii="NSimSun" w:eastAsia="NSimSun" w:hAnsi="NSimSun" w:cs="NSimSun"/>
                        <w:spacing w:val="-3"/>
                        <w:sz w:val="19"/>
                        <w:szCs w:val="19"/>
                      </w:rPr>
                      <w:t>报告日期：</w:t>
                    </w:r>
                    <w:r>
                      <w:rPr>
                        <w:rFonts w:ascii="Arial" w:eastAsia="Arial" w:hAnsi="Arial" w:cs="Arial"/>
                        <w:spacing w:val="-3"/>
                        <w:sz w:val="18"/>
                        <w:szCs w:val="18"/>
                      </w:rPr>
                      <w:t xml:space="preserve">2024 </w:t>
                    </w:r>
                    <w:r>
                      <w:rPr>
                        <w:rFonts w:ascii="NSimSun" w:eastAsia="NSimSun" w:hAnsi="NSimSun" w:cs="NSimSun"/>
                        <w:spacing w:val="-3"/>
                        <w:sz w:val="18"/>
                        <w:szCs w:val="18"/>
                      </w:rPr>
                      <w:t>年</w:t>
                    </w:r>
                    <w:r>
                      <w:rPr>
                        <w:rFonts w:ascii="NSimSun" w:eastAsia="NSimSun" w:hAnsi="NSimSun" w:cs="NSimSun"/>
                        <w:spacing w:val="-3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  <w:sz w:val="18"/>
                        <w:szCs w:val="18"/>
                      </w:rPr>
                      <w:t>01</w:t>
                    </w:r>
                    <w:r>
                      <w:rPr>
                        <w:rFonts w:ascii="Arial" w:eastAsia="Arial" w:hAnsi="Arial" w:cs="Arial"/>
                        <w:spacing w:val="13"/>
                        <w:w w:val="10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NSimSun" w:eastAsia="NSimSun" w:hAnsi="NSimSun" w:cs="NSimSun"/>
                        <w:spacing w:val="-3"/>
                        <w:sz w:val="18"/>
                        <w:szCs w:val="18"/>
                      </w:rPr>
                      <w:t>月</w:t>
                    </w:r>
                    <w:r>
                      <w:rPr>
                        <w:rFonts w:ascii="NSimSun" w:eastAsia="NSimSun" w:hAnsi="NSimSun" w:cs="NSimSun"/>
                        <w:spacing w:val="-2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Arial" w:eastAsia="Arial" w:hAnsi="Arial" w:cs="Arial"/>
                        <w:spacing w:val="3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NSimSun" w:eastAsia="NSimSun" w:hAnsi="NSimSun" w:cs="NSimSun"/>
                        <w:spacing w:val="-3"/>
                        <w:sz w:val="18"/>
                        <w:szCs w:val="18"/>
                      </w:rPr>
                      <w:t>日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185" w:lineRule="exact"/>
      </w:pPr>
    </w:p>
    <w:p>
      <w:pPr>
        <w:spacing w:line="185" w:lineRule="exact"/>
        <w:sectPr>
          <w:headerReference w:type="default" r:id="rId5"/>
          <w:footerReference w:type="default" r:id="rId6"/>
          <w:pgSz w:w="11907" w:h="16839"/>
          <w:pgMar w:top="1327" w:right="727" w:bottom="1027" w:left="720" w:header="851" w:footer="791" w:gutter="0"/>
          <w:cols w:num="1" w:space="708" w:equalWidth="0">
            <w:col w:w="10459" w:space="0"/>
          </w:cols>
        </w:sectPr>
      </w:pPr>
    </w:p>
    <w:p>
      <w:pPr>
        <w:spacing w:before="1" w:line="184" w:lineRule="auto"/>
        <w:ind w:left="110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Microsoft YaHei" w:eastAsia="Microsoft YaHei" w:hAnsi="Microsoft YaHei" w:cs="Microsoft YaHei"/>
          <w:b/>
          <w:bCs/>
          <w:color w:val="B70004"/>
          <w:sz w:val="28"/>
          <w:szCs w:val="28"/>
          <w14:textOutline w14:w="5094">
            <w14:solidFill>
              <w14:srgbClr w14:val="B70004"/>
            </w14:solidFill>
            <w14:prstDash w14:val="solid"/>
            <w14:miter w14:lim="10"/>
          </w14:textOutline>
        </w:rPr>
        <w:t>核心观点</w:t>
      </w:r>
    </w:p>
    <w:p>
      <w:pPr>
        <w:spacing w:before="141" w:line="210" w:lineRule="auto"/>
        <w:ind w:left="108" w:right="113" w:firstLine="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b/>
          <w:bCs/>
          <w:color w:val="B70004"/>
          <w:spacing w:val="6"/>
          <w:sz w:val="19"/>
          <w:szCs w:val="19"/>
          <w14:textOutline w14:w="3614">
            <w14:solidFill>
              <w14:srgbClr w14:val="B70004"/>
            </w14:solidFill>
            <w14:prstDash w14:val="solid"/>
            <w14:miter w14:lim="10"/>
          </w14:textOutline>
        </w:rPr>
        <w:t>基于固收视角看权益，</w:t>
      </w:r>
      <w:r>
        <w:rPr>
          <w:rFonts w:ascii="Microsoft YaHei" w:eastAsia="Microsoft YaHei" w:hAnsi="Microsoft YaHei" w:cs="Microsoft YaHei"/>
          <w:b/>
          <w:bCs/>
          <w:color w:val="B70004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70004"/>
          <w:spacing w:val="6"/>
          <w:sz w:val="19"/>
          <w:szCs w:val="19"/>
        </w:rPr>
        <w:t xml:space="preserve">2023 </w:t>
      </w:r>
      <w:r>
        <w:rPr>
          <w:rFonts w:ascii="Microsoft YaHei" w:eastAsia="Microsoft YaHei" w:hAnsi="Microsoft YaHei" w:cs="Microsoft YaHei"/>
          <w:b/>
          <w:bCs/>
          <w:color w:val="B70004"/>
          <w:spacing w:val="6"/>
          <w:sz w:val="19"/>
          <w:szCs w:val="19"/>
          <w14:textOutline w14:w="3614">
            <w14:solidFill>
              <w14:srgbClr w14:val="B70004"/>
            </w14:solidFill>
            <w14:prstDash w14:val="solid"/>
            <w14:miter w14:lim="10"/>
          </w14:textOutline>
        </w:rPr>
        <w:t>年资金对债市配置需求较强，</w:t>
      </w:r>
      <w:r>
        <w:rPr>
          <w:rFonts w:ascii="Times New Roman" w:eastAsia="Times New Roman" w:hAnsi="Times New Roman" w:cs="Times New Roman"/>
          <w:b/>
          <w:bCs/>
          <w:color w:val="B70004"/>
          <w:spacing w:val="6"/>
          <w:sz w:val="19"/>
          <w:szCs w:val="19"/>
        </w:rPr>
        <w:t xml:space="preserve">2024 </w:t>
      </w:r>
      <w:r>
        <w:rPr>
          <w:rFonts w:ascii="Microsoft YaHei" w:eastAsia="Microsoft YaHei" w:hAnsi="Microsoft YaHei" w:cs="Microsoft YaHei"/>
          <w:b/>
          <w:bCs/>
          <w:color w:val="B70004"/>
          <w:spacing w:val="6"/>
          <w:sz w:val="19"/>
          <w:szCs w:val="19"/>
          <w14:textOutline w14:w="3614">
            <w14:solidFill>
              <w14:srgbClr w14:val="B70004"/>
            </w14:solidFill>
            <w14:prstDash w14:val="solid"/>
            <w14:miter w14:lim="10"/>
          </w14:textOutline>
        </w:rPr>
        <w:t>年红利资产有望成为资</w:t>
      </w:r>
      <w:r>
        <w:rPr>
          <w:rFonts w:ascii="Microsoft YaHei" w:eastAsia="Microsoft YaHei" w:hAnsi="Microsoft YaHei" w:cs="Microsoft YaHei"/>
          <w:b/>
          <w:bCs/>
          <w:color w:val="B7000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b/>
          <w:bCs/>
          <w:color w:val="B70004"/>
          <w:spacing w:val="9"/>
          <w:sz w:val="19"/>
          <w:szCs w:val="19"/>
          <w14:textOutline w14:w="3614">
            <w14:solidFill>
              <w14:srgbClr w14:val="B70004"/>
            </w14:solidFill>
            <w14:prstDash w14:val="solid"/>
            <w14:miter w14:lim="10"/>
          </w14:textOutline>
        </w:rPr>
        <w:t>金青睐的新方向，</w:t>
      </w:r>
      <w:r>
        <w:rPr>
          <w:rFonts w:ascii="Microsoft YaHei" w:eastAsia="Microsoft YaHei" w:hAnsi="Microsoft YaHei" w:cs="Microsoft YaHei"/>
          <w:b/>
          <w:bCs/>
          <w:color w:val="B70004"/>
          <w:spacing w:val="-2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b/>
          <w:bCs/>
          <w:color w:val="B70004"/>
          <w:spacing w:val="9"/>
          <w:sz w:val="19"/>
          <w:szCs w:val="19"/>
          <w14:textOutline w14:w="3614">
            <w14:solidFill>
              <w14:srgbClr w14:val="B70004"/>
            </w14:solidFill>
            <w14:prstDash w14:val="solid"/>
            <w14:miter w14:lim="10"/>
          </w14:textOutline>
        </w:rPr>
        <w:t>并成为春季行情兼具进攻与防守属性的资产。</w:t>
      </w:r>
    </w:p>
    <w:p>
      <w:pPr>
        <w:pStyle w:val="BodyText"/>
        <w:spacing w:before="112" w:line="228" w:lineRule="auto"/>
        <w:ind w:left="124"/>
      </w:pPr>
      <w:r>
        <w:drawing>
          <wp:inline distT="0" distB="0" distL="0" distR="0">
            <wp:extent cx="102079" cy="9284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079" cy="9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3"/>
        </w:rPr>
        <w:t xml:space="preserve">  </w:t>
      </w:r>
      <w:r>
        <w:t>回顾</w:t>
      </w:r>
      <w:r>
        <w:t xml:space="preserve"> </w:t>
      </w:r>
      <w:r>
        <w:rPr>
          <w:rFonts w:ascii="Times New Roman" w:eastAsia="Times New Roman" w:hAnsi="Times New Roman" w:cs="Times New Roman"/>
        </w:rPr>
        <w:t>2023</w:t>
      </w:r>
      <w:r>
        <w:rPr>
          <w:rFonts w:ascii="Times New Roman" w:eastAsia="Times New Roman" w:hAnsi="Times New Roman" w:cs="Times New Roman"/>
          <w:spacing w:val="41"/>
          <w:w w:val="101"/>
        </w:rPr>
        <w:t xml:space="preserve"> </w:t>
      </w:r>
      <w:r>
        <w:t>年，</w:t>
      </w:r>
      <w: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  <w:spacing w:val="41"/>
          <w:w w:val="101"/>
        </w:rPr>
        <w:t xml:space="preserve"> </w:t>
      </w:r>
      <w:r>
        <w:t>年国债表现亮眼，</w:t>
      </w:r>
      <w:r>
        <w:rPr>
          <w:spacing w:val="57"/>
        </w:rPr>
        <w:t xml:space="preserve"> </w:t>
      </w:r>
      <w:r>
        <w:t>且其相对于</w:t>
      </w:r>
      <w: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t>年国债的期限利差被持续压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58" w:lineRule="exact"/>
      </w:pPr>
    </w:p>
    <w:tbl>
      <w:tblPr>
        <w:tblStyle w:val="TableNormal"/>
        <w:tblW w:w="25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2580"/>
      </w:tblGrid>
      <w:tr>
        <w:tblPrEx>
          <w:tblW w:w="2580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1130"/>
        </w:trPr>
        <w:tc>
          <w:tcPr>
            <w:tcW w:w="2580" w:type="dxa"/>
            <w:tcBorders>
              <w:bottom w:val="single" w:sz="2" w:space="0" w:color="C00000"/>
            </w:tcBorders>
            <w:vAlign w:val="top"/>
          </w:tcPr>
          <w:p>
            <w:pPr>
              <w:spacing w:line="199" w:lineRule="exact"/>
              <w:ind w:left="20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spacing w:val="-1"/>
                <w:sz w:val="18"/>
                <w:szCs w:val="18"/>
                <w14:textOutline w14:w="3265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分析师：覃汉</w:t>
            </w:r>
          </w:p>
          <w:p>
            <w:pPr>
              <w:spacing w:before="1" w:line="226" w:lineRule="auto"/>
              <w:ind w:left="19" w:right="215" w:hanging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NSimSun" w:eastAsia="NSimSun" w:hAnsi="NSimSun" w:cs="NSimSun"/>
                <w:spacing w:val="-8"/>
                <w:sz w:val="18"/>
                <w:szCs w:val="18"/>
              </w:rPr>
              <w:t>执业证书号：</w:t>
            </w:r>
            <w:r>
              <w:rPr>
                <w:rFonts w:ascii="NSimSun" w:eastAsia="NSimSun" w:hAnsi="NSimSun" w:cs="NSimSun"/>
                <w:spacing w:val="6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>S1230523080005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qinhan@stocke.com.cn</w:t>
            </w:r>
          </w:p>
          <w:p>
            <w:pPr>
              <w:spacing w:before="262" w:line="185" w:lineRule="auto"/>
              <w:ind w:left="15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/>
                <w:b/>
                <w:bCs/>
                <w:sz w:val="18"/>
                <w:szCs w:val="18"/>
                <w14:textOutline w14:w="3265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相关报告</w:t>
            </w:r>
          </w:p>
        </w:tc>
      </w:tr>
      <w:tr>
        <w:tblPrEx>
          <w:tblW w:w="2580" w:type="dxa"/>
          <w:tblInd w:w="0" w:type="dxa"/>
          <w:tblLayout w:type="fixed"/>
        </w:tblPrEx>
        <w:trPr>
          <w:trHeight w:val="246"/>
        </w:trPr>
        <w:tc>
          <w:tcPr>
            <w:tcW w:w="2580" w:type="dxa"/>
            <w:tcBorders>
              <w:top w:val="single" w:sz="2" w:space="0" w:color="C00000"/>
            </w:tcBorders>
            <w:vAlign w:val="top"/>
          </w:tcPr>
          <w:p>
            <w:pPr>
              <w:spacing w:before="67" w:line="173" w:lineRule="auto"/>
              <w:ind w:left="61"/>
              <w:rPr>
                <w:rFonts w:ascii="NSimSun" w:eastAsia="NSimSun" w:hAnsi="NSimSun" w:cs="NSimSu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1    </w:t>
            </w:r>
            <w:r>
              <w:rPr>
                <w:rFonts w:ascii="NSimSun" w:eastAsia="NSimSun" w:hAnsi="NSimSun" w:cs="NSimSun"/>
                <w:spacing w:val="-7"/>
                <w:sz w:val="18"/>
                <w:szCs w:val="18"/>
              </w:rPr>
              <w:t>《对跨年行情强度的再评估》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eastAsia="Arial" w:hAnsi="Arial" w:cs="Arial"/>
          <w:sz w:val="2"/>
          <w:szCs w:val="2"/>
        </w:rPr>
        <w:sectPr>
          <w:headerReference w:type="default" r:id="rId8"/>
          <w:footerReference w:type="default" r:id="rId9"/>
          <w:type w:val="continuous"/>
          <w:pgSz w:w="11907" w:h="16839"/>
          <w:pgMar w:top="1327" w:right="727" w:bottom="1027" w:left="720" w:header="851" w:footer="791" w:gutter="0"/>
          <w:pgNumType w:start="2"/>
          <w:cols w:num="2" w:space="708" w:equalWidth="0">
            <w:col w:w="7651" w:space="100"/>
            <w:col w:w="2708" w:space="0"/>
          </w:cols>
        </w:sectPr>
      </w:pPr>
    </w:p>
    <w:p>
      <w:pPr>
        <w:spacing w:line="23" w:lineRule="exact"/>
      </w:pPr>
    </w:p>
    <w:p>
      <w:pPr>
        <w:spacing w:line="23" w:lineRule="exact"/>
        <w:sectPr>
          <w:headerReference w:type="default" r:id="rId10"/>
          <w:footerReference w:type="default" r:id="rId11"/>
          <w:type w:val="continuous"/>
          <w:pgSz w:w="11907" w:h="16839"/>
          <w:pgMar w:top="1327" w:right="727" w:bottom="1027" w:left="720" w:header="851" w:footer="791" w:gutter="0"/>
          <w:pgNumType w:start="3"/>
          <w:cols w:num="1" w:space="708" w:equalWidth="0">
            <w:col w:w="10459" w:space="0"/>
          </w:cols>
        </w:sectPr>
      </w:pPr>
    </w:p>
    <w:p>
      <w:pPr>
        <w:pStyle w:val="BodyText"/>
        <w:spacing w:before="38" w:line="285" w:lineRule="auto"/>
        <w:ind w:left="536" w:right="156" w:firstLine="7"/>
        <w:jc w:val="both"/>
      </w:pPr>
      <w:r>
        <w:rPr>
          <w:spacing w:val="10"/>
        </w:rPr>
        <w:t>缩，信用利差也持续被压缩，本质上是机构配置需求较强下</w:t>
      </w:r>
      <w:r>
        <w:rPr>
          <w:spacing w:val="9"/>
        </w:rPr>
        <w:t>市场寻求高票息资产</w:t>
      </w:r>
      <w:r>
        <w:t xml:space="preserve"> </w:t>
      </w:r>
      <w:r>
        <w:rPr>
          <w:spacing w:val="5"/>
        </w:rPr>
        <w:t>的表现，但当前利率绝对水平、</w:t>
      </w:r>
      <w:r>
        <w:rPr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30Y-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10Y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spacing w:val="5"/>
        </w:rPr>
        <w:t>期限利差以及信用利差均已压缩到</w:t>
      </w:r>
      <w:r>
        <w:rPr>
          <w:spacing w:val="4"/>
        </w:rPr>
        <w:t>历史</w:t>
      </w:r>
      <w:r>
        <w:t xml:space="preserve"> </w:t>
      </w:r>
      <w:r>
        <w:rPr>
          <w:spacing w:val="7"/>
        </w:rPr>
        <w:t>低位，</w:t>
      </w:r>
      <w:r>
        <w:rPr>
          <w:spacing w:val="7"/>
        </w:rPr>
        <w:t xml:space="preserve"> </w:t>
      </w:r>
      <w:r>
        <w:rPr>
          <w:spacing w:val="7"/>
        </w:rPr>
        <w:t>后续资金配置需求扩散的新方向值得关注。基于固收视角看权益，我们认</w:t>
      </w:r>
      <w:r>
        <w:rPr>
          <w:spacing w:val="1"/>
        </w:rPr>
        <w:t xml:space="preserve"> </w:t>
      </w:r>
      <w:r>
        <w:rPr>
          <w:spacing w:val="6"/>
        </w:rPr>
        <w:t>为红利资产有望成为新的扩散方向。</w:t>
      </w:r>
    </w:p>
    <w:p>
      <w:pPr>
        <w:spacing w:line="312" w:lineRule="auto"/>
        <w:rPr>
          <w:rFonts w:ascii="Arial"/>
          <w:sz w:val="21"/>
        </w:rPr>
      </w:pPr>
    </w:p>
    <w:p>
      <w:pPr>
        <w:spacing w:before="83" w:line="191" w:lineRule="auto"/>
        <w:ind w:left="12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drawing>
          <wp:inline distT="0" distB="0" distL="0" distR="0">
            <wp:extent cx="102079" cy="9284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079" cy="9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eastAsia="Microsoft YaHei" w:hAnsi="Microsoft YaHei" w:cs="Microsoft YaHei"/>
          <w:b/>
          <w:bCs/>
          <w:spacing w:val="10"/>
          <w:sz w:val="19"/>
          <w:szCs w:val="19"/>
        </w:rPr>
        <w:t xml:space="preserve">    </w:t>
      </w:r>
      <w:r>
        <w:rPr>
          <w:rFonts w:ascii="Microsoft YaHei" w:eastAsia="Microsoft YaHei" w:hAnsi="Microsoft YaHei" w:cs="Microsoft YaHei"/>
          <w:b/>
          <w:bCs/>
          <w:spacing w:val="7"/>
          <w:sz w:val="19"/>
          <w:szCs w:val="19"/>
          <w14:textOutline w14:w="3614">
            <w14:solidFill>
              <w14:srgbClr w14:val="000000"/>
            </w14:solidFill>
            <w14:prstDash w14:val="solid"/>
            <w14:miter w14:lim="10"/>
          </w14:textOutline>
        </w:rPr>
        <w:t>资金配置需求持续，</w:t>
      </w:r>
      <w:r>
        <w:rPr>
          <w:rFonts w:ascii="Microsoft YaHei" w:eastAsia="Microsoft YaHei" w:hAnsi="Microsoft YaHei" w:cs="Microsoft YaHei"/>
          <w:b/>
          <w:bCs/>
          <w:spacing w:val="-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b/>
          <w:bCs/>
          <w:spacing w:val="7"/>
          <w:sz w:val="19"/>
          <w:szCs w:val="19"/>
          <w14:textOutline w14:w="3614">
            <w14:solidFill>
              <w14:srgbClr w14:val="000000"/>
            </w14:solidFill>
            <w14:prstDash w14:val="solid"/>
            <w14:miter w14:lim="10"/>
          </w14:textOutline>
        </w:rPr>
        <w:t>高票息资产洼地渐平</w:t>
      </w:r>
    </w:p>
    <w:p>
      <w:pPr>
        <w:pStyle w:val="BodyText"/>
        <w:spacing w:before="52" w:line="294" w:lineRule="auto"/>
        <w:ind w:left="535" w:right="156" w:firstLine="1"/>
      </w:pPr>
      <w:r>
        <w:rPr>
          <w:spacing w:val="10"/>
        </w:rPr>
        <w:t>在资金配置需求较强的背景下，高票息资产不仅提供了相对可观的票息</w:t>
      </w:r>
      <w:r>
        <w:rPr>
          <w:spacing w:val="9"/>
        </w:rPr>
        <w:t>，更具可</w:t>
      </w:r>
      <w:r>
        <w:t xml:space="preserve"> </w:t>
      </w:r>
      <w:r>
        <w:rPr>
          <w:spacing w:val="7"/>
        </w:rPr>
        <w:t>观的赔率与获取资本利得的价值，具体表现在</w:t>
      </w:r>
      <w:r>
        <w:rPr>
          <w:spacing w:val="-46"/>
          <w:w w:val="90"/>
        </w:rPr>
        <w:t>：（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spacing w:val="7"/>
        </w:rPr>
        <w:t>）</w:t>
      </w:r>
      <w:r>
        <w:rPr>
          <w:spacing w:val="-51"/>
        </w:rPr>
        <w:t xml:space="preserve"> </w:t>
      </w:r>
      <w:r>
        <w:rPr>
          <w:spacing w:val="7"/>
        </w:rPr>
        <w:t>中小行缺资产背景下，</w:t>
      </w:r>
      <w:r>
        <w:rPr>
          <w:spacing w:val="7"/>
        </w:rPr>
        <w:t xml:space="preserve"> </w:t>
      </w:r>
      <w:r>
        <w:rPr>
          <w:spacing w:val="7"/>
        </w:rPr>
        <w:t>长端</w:t>
      </w:r>
      <w:r>
        <w:t xml:space="preserve"> </w:t>
      </w:r>
      <w:r>
        <w:rPr>
          <w:spacing w:val="7"/>
        </w:rPr>
        <w:t>利率调整空间被压缩，</w:t>
      </w:r>
      <w:r>
        <w:rPr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 xml:space="preserve">10 </w:t>
      </w:r>
      <w:r>
        <w:rPr>
          <w:spacing w:val="7"/>
        </w:rPr>
        <w:t>年国债利率的实际高点低于理论预期高点</w:t>
      </w:r>
      <w:r>
        <w:rPr>
          <w:spacing w:val="-42"/>
          <w:w w:val="83"/>
        </w:rPr>
        <w:t>；（</w:t>
      </w:r>
      <w:r>
        <w:rPr>
          <w:rFonts w:ascii="Times New Roman" w:eastAsia="Times New Roman" w:hAnsi="Times New Roman" w:cs="Times New Roman"/>
          <w:spacing w:val="7"/>
        </w:rPr>
        <w:t>2</w:t>
      </w:r>
      <w:r>
        <w:rPr>
          <w:spacing w:val="7"/>
        </w:rPr>
        <w:t>）新旧动</w:t>
      </w:r>
      <w:r>
        <w:rPr>
          <w:spacing w:val="2"/>
        </w:rPr>
        <w:t xml:space="preserve"> </w:t>
      </w:r>
      <w:r>
        <w:rPr>
          <w:spacing w:val="6"/>
        </w:rPr>
        <w:t>能切换期叠加地方化债背景，信用债供给减少，</w:t>
      </w:r>
      <w:r>
        <w:rPr>
          <w:spacing w:val="42"/>
        </w:rPr>
        <w:t xml:space="preserve"> </w:t>
      </w:r>
      <w:r>
        <w:rPr>
          <w:spacing w:val="6"/>
        </w:rPr>
        <w:t>叠加机构抢配，信用利差持续压</w:t>
      </w:r>
      <w:r>
        <w:t xml:space="preserve"> </w:t>
      </w:r>
      <w:r>
        <w:rPr>
          <w:spacing w:val="8"/>
        </w:rPr>
        <w:t>缩</w:t>
      </w:r>
      <w:r>
        <w:rPr>
          <w:spacing w:val="-47"/>
          <w:w w:val="93"/>
        </w:rPr>
        <w:t>；（</w:t>
      </w:r>
      <w:r>
        <w:rPr>
          <w:rFonts w:ascii="Times New Roman" w:eastAsia="Times New Roman" w:hAnsi="Times New Roman" w:cs="Times New Roman"/>
          <w:spacing w:val="8"/>
        </w:rPr>
        <w:t>3</w:t>
      </w:r>
      <w:r>
        <w:rPr>
          <w:spacing w:val="8"/>
        </w:rPr>
        <w:t>）</w:t>
      </w:r>
      <w:r>
        <w:rPr>
          <w:rFonts w:ascii="Times New Roman" w:eastAsia="Times New Roman" w:hAnsi="Times New Roman" w:cs="Times New Roman"/>
          <w:spacing w:val="8"/>
        </w:rPr>
        <w:t>30Y-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10Y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spacing w:val="8"/>
        </w:rPr>
        <w:t>国债期限利差在配置盘欠配压力释放下也被压缩到历史低位。</w:t>
      </w:r>
      <w:r>
        <w:rPr>
          <w:spacing w:val="1"/>
        </w:rPr>
        <w:t xml:space="preserve"> </w:t>
      </w:r>
      <w:r>
        <w:rPr>
          <w:spacing w:val="10"/>
        </w:rPr>
        <w:t>上述现象意味着在资金较强配置需求驱动下，有合适赔率的高票息资产有较强确</w:t>
      </w:r>
      <w:r>
        <w:t xml:space="preserve"> </w:t>
      </w:r>
      <w:r>
        <w:rPr>
          <w:spacing w:val="7"/>
        </w:rPr>
        <w:t>定性，高票息资产并非仅仅是作为一种防御性策略，</w:t>
      </w:r>
      <w:r>
        <w:rPr>
          <w:spacing w:val="7"/>
        </w:rPr>
        <w:t xml:space="preserve"> </w:t>
      </w:r>
      <w:r>
        <w:rPr>
          <w:spacing w:val="7"/>
        </w:rPr>
        <w:t>更具有一定获得资本利得收</w:t>
      </w:r>
      <w:r>
        <w:t xml:space="preserve"> </w:t>
      </w:r>
      <w:r>
        <w:rPr>
          <w:spacing w:val="7"/>
        </w:rPr>
        <w:t>益的可能性。</w:t>
      </w:r>
    </w:p>
    <w:p>
      <w:pPr>
        <w:spacing w:line="304" w:lineRule="auto"/>
        <w:rPr>
          <w:rFonts w:ascii="Arial"/>
          <w:sz w:val="21"/>
        </w:rPr>
      </w:pPr>
    </w:p>
    <w:p>
      <w:pPr>
        <w:spacing w:before="82" w:line="191" w:lineRule="auto"/>
        <w:ind w:left="12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drawing>
          <wp:inline distT="0" distB="0" distL="0" distR="0">
            <wp:extent cx="102079" cy="9284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079" cy="9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6"/>
          <w:sz w:val="19"/>
          <w:szCs w:val="19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pacing w:val="8"/>
          <w:sz w:val="19"/>
          <w:szCs w:val="19"/>
        </w:rPr>
        <w:t xml:space="preserve">2024 </w:t>
      </w:r>
      <w:r>
        <w:rPr>
          <w:rFonts w:ascii="Microsoft YaHei" w:eastAsia="Microsoft YaHei" w:hAnsi="Microsoft YaHei" w:cs="Microsoft YaHei"/>
          <w:b/>
          <w:bCs/>
          <w:spacing w:val="8"/>
          <w:sz w:val="19"/>
          <w:szCs w:val="19"/>
          <w14:textOutline w14:w="3614">
            <w14:solidFill>
              <w14:srgbClr w14:val="000000"/>
            </w14:solidFill>
            <w14:prstDash w14:val="solid"/>
            <w14:miter w14:lim="10"/>
          </w14:textOutline>
        </w:rPr>
        <w:t>年资金较强的配置需求或将延续，</w:t>
      </w:r>
      <w:r>
        <w:rPr>
          <w:rFonts w:ascii="Microsoft YaHei" w:eastAsia="Microsoft YaHei" w:hAnsi="Microsoft YaHei" w:cs="Microsoft YaHei"/>
          <w:b/>
          <w:bCs/>
          <w:spacing w:val="-2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b/>
          <w:bCs/>
          <w:spacing w:val="8"/>
          <w:sz w:val="19"/>
          <w:szCs w:val="19"/>
          <w14:textOutline w14:w="3614">
            <w14:solidFill>
              <w14:srgbClr w14:val="000000"/>
            </w14:solidFill>
            <w14:prstDash w14:val="solid"/>
            <w14:miter w14:lim="10"/>
          </w14:textOutline>
        </w:rPr>
        <w:t>并有望强化红利资产行情</w:t>
      </w:r>
    </w:p>
    <w:p>
      <w:pPr>
        <w:pStyle w:val="BodyText"/>
        <w:spacing w:before="33" w:line="245" w:lineRule="auto"/>
        <w:ind w:left="510" w:right="157"/>
        <w:jc w:val="both"/>
      </w:pPr>
      <w:r>
        <w:rPr>
          <w:spacing w:val="6"/>
        </w:rPr>
        <w:t>新旧动能切换期大背景下，</w:t>
      </w:r>
      <w:r>
        <w:rPr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 xml:space="preserve">2024 </w:t>
      </w:r>
      <w:r>
        <w:rPr>
          <w:spacing w:val="6"/>
        </w:rPr>
        <w:t>年资金较强的配置需求有望延续，在固收市场高</w:t>
      </w:r>
      <w:r>
        <w:t xml:space="preserve"> </w:t>
      </w:r>
      <w:r>
        <w:rPr>
          <w:spacing w:val="10"/>
        </w:rPr>
        <w:t>票息资产洼地渐平下，机构间业绩区分难度加大，而对收益诉求会驱动资金寻找</w:t>
      </w:r>
      <w:r>
        <w:rPr>
          <w:spacing w:val="15"/>
        </w:rPr>
        <w:t xml:space="preserve"> </w:t>
      </w:r>
      <w:r>
        <w:rPr>
          <w:spacing w:val="4"/>
        </w:rPr>
        <w:t>新的扩散方向，</w:t>
      </w:r>
      <w:r>
        <w:rPr>
          <w:spacing w:val="4"/>
        </w:rPr>
        <w:t xml:space="preserve"> </w:t>
      </w:r>
      <w:r>
        <w:rPr>
          <w:spacing w:val="4"/>
        </w:rPr>
        <w:t>我们认为红利资产的行情趋势有望得以强化。</w:t>
      </w:r>
    </w:p>
    <w:p>
      <w:pPr>
        <w:spacing w:line="351" w:lineRule="auto"/>
        <w:rPr>
          <w:rFonts w:ascii="Arial"/>
          <w:sz w:val="21"/>
        </w:rPr>
      </w:pPr>
    </w:p>
    <w:p>
      <w:pPr>
        <w:pStyle w:val="BodyText"/>
        <w:spacing w:before="62" w:line="288" w:lineRule="auto"/>
        <w:ind w:left="534" w:right="107" w:hanging="410"/>
      </w:pPr>
      <w:r>
        <w:drawing>
          <wp:inline distT="0" distB="0" distL="0" distR="0">
            <wp:extent cx="102079" cy="9284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079" cy="9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</w:rPr>
        <w:t xml:space="preserve">  </w:t>
      </w:r>
      <w:r>
        <w:rPr>
          <w:spacing w:val="6"/>
        </w:rPr>
        <w:t>跨资产交易对许多投资者来讲较为重要，</w:t>
      </w:r>
      <w:r>
        <w:rPr>
          <w:spacing w:val="42"/>
        </w:rPr>
        <w:t xml:space="preserve"> </w:t>
      </w:r>
      <w:r>
        <w:rPr>
          <w:spacing w:val="6"/>
        </w:rPr>
        <w:t>由于债市机构化程度高，市场有效性相</w:t>
      </w:r>
      <w:r>
        <w:t xml:space="preserve"> </w:t>
      </w:r>
      <w:r>
        <w:rPr>
          <w:spacing w:val="6"/>
        </w:rPr>
        <w:t>对更高，对增量信息的反应也更为理性与充分，</w:t>
      </w:r>
      <w:r>
        <w:rPr>
          <w:spacing w:val="44"/>
        </w:rPr>
        <w:t xml:space="preserve"> </w:t>
      </w:r>
      <w:r>
        <w:rPr>
          <w:spacing w:val="6"/>
        </w:rPr>
        <w:t>资金配置需求有望从债市逐渐演</w:t>
      </w:r>
      <w:r>
        <w:t xml:space="preserve"> </w:t>
      </w:r>
      <w:r>
        <w:rPr>
          <w:spacing w:val="7"/>
        </w:rPr>
        <w:t>绎至股市，在此情况下，</w:t>
      </w:r>
      <w:r>
        <w:rPr>
          <w:spacing w:val="7"/>
        </w:rPr>
        <w:t xml:space="preserve"> </w:t>
      </w:r>
      <w:r>
        <w:rPr>
          <w:spacing w:val="7"/>
        </w:rPr>
        <w:t>红利资产有望成为资金青睐的新方向，成为春季行情兼</w:t>
      </w:r>
      <w:r>
        <w:rPr>
          <w:spacing w:val="2"/>
        </w:rPr>
        <w:t xml:space="preserve"> </w:t>
      </w:r>
      <w:r>
        <w:rPr>
          <w:spacing w:val="4"/>
        </w:rPr>
        <w:t>具进攻与防守属性的资产，</w:t>
      </w:r>
      <w:r>
        <w:rPr>
          <w:spacing w:val="-33"/>
        </w:rPr>
        <w:t xml:space="preserve"> </w:t>
      </w:r>
      <w:r>
        <w:rPr>
          <w:spacing w:val="4"/>
        </w:rPr>
        <w:t>在市场对</w:t>
      </w:r>
      <w:r>
        <w:rPr>
          <w:rFonts w:ascii="Times New Roman" w:eastAsia="Times New Roman" w:hAnsi="Times New Roman" w:cs="Times New Roman"/>
          <w:spacing w:val="4"/>
        </w:rPr>
        <w:t>“</w:t>
      </w:r>
      <w:r>
        <w:rPr>
          <w:spacing w:val="4"/>
        </w:rPr>
        <w:t>确定性</w:t>
      </w:r>
      <w:r>
        <w:rPr>
          <w:rFonts w:ascii="Times New Roman" w:eastAsia="Times New Roman" w:hAnsi="Times New Roman" w:cs="Times New Roman"/>
          <w:spacing w:val="4"/>
        </w:rPr>
        <w:t>”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spacing w:val="4"/>
        </w:rPr>
        <w:t>的偏好下，股息率有望持续被压缩，</w:t>
      </w:r>
      <w:r>
        <w:t xml:space="preserve"> </w:t>
      </w:r>
      <w:r>
        <w:rPr>
          <w:spacing w:val="8"/>
        </w:rPr>
        <w:t>对应资本利得也较为可观。</w:t>
      </w:r>
    </w:p>
    <w:p>
      <w:pPr>
        <w:spacing w:line="313" w:lineRule="auto"/>
        <w:rPr>
          <w:rFonts w:ascii="Arial"/>
          <w:sz w:val="21"/>
        </w:rPr>
      </w:pPr>
    </w:p>
    <w:p>
      <w:pPr>
        <w:spacing w:before="82" w:line="191" w:lineRule="auto"/>
        <w:ind w:left="12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drawing>
          <wp:inline distT="0" distB="0" distL="0" distR="0">
            <wp:extent cx="102079" cy="9284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079" cy="9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eastAsia="Microsoft YaHei" w:hAnsi="Microsoft YaHei" w:cs="Microsoft YaHei"/>
          <w:b/>
          <w:bCs/>
          <w:spacing w:val="6"/>
          <w:sz w:val="19"/>
          <w:szCs w:val="19"/>
        </w:rPr>
        <w:t xml:space="preserve">    </w:t>
      </w:r>
      <w:r>
        <w:rPr>
          <w:rFonts w:ascii="Microsoft YaHei" w:eastAsia="Microsoft YaHei" w:hAnsi="Microsoft YaHei" w:cs="Microsoft YaHei"/>
          <w:b/>
          <w:bCs/>
          <w:spacing w:val="10"/>
          <w:sz w:val="19"/>
          <w:szCs w:val="19"/>
          <w14:textOutline w14:w="3614">
            <w14:solidFill>
              <w14:srgbClr w14:val="000000"/>
            </w14:solidFill>
            <w14:prstDash w14:val="solid"/>
            <w14:miter w14:lim="10"/>
          </w14:textOutline>
        </w:rPr>
        <w:t>风险提示</w:t>
      </w:r>
    </w:p>
    <w:p>
      <w:pPr>
        <w:pStyle w:val="BodyText"/>
        <w:spacing w:before="34" w:line="194" w:lineRule="auto"/>
        <w:ind w:left="513"/>
      </w:pPr>
      <w:r>
        <w:rPr>
          <w:spacing w:val="8"/>
        </w:rPr>
        <w:t>地缘政治风险；海外紧缩预期反复。</w:t>
      </w:r>
    </w:p>
    <w:p>
      <w:pPr>
        <w:spacing w:line="14" w:lineRule="auto"/>
        <w:rPr>
          <w:rFonts w:ascii="Arial"/>
          <w:sz w:val="2"/>
        </w:rPr>
        <w:sectPr>
          <w:headerReference w:type="default" r:id="rId13"/>
          <w:footerReference w:type="default" r:id="rId14"/>
          <w:type w:val="continuous"/>
          <w:pgSz w:w="11907" w:h="16839"/>
          <w:pgMar w:top="1327" w:right="727" w:bottom="1027" w:left="720" w:header="851" w:footer="791" w:gutter="0"/>
          <w:pgNumType w:start="4"/>
          <w:cols w:num="2" w:space="708" w:equalWidth="0">
            <w:col w:w="7694" w:space="100"/>
            <w:col w:w="2665" w:space="0"/>
          </w:cols>
        </w:sect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139" w:line="188" w:lineRule="auto"/>
        <w:ind w:left="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2024.01.07</w:t>
      </w:r>
    </w:p>
    <w:p>
      <w:pPr>
        <w:pStyle w:val="BodyText"/>
        <w:spacing w:before="119" w:line="270" w:lineRule="auto"/>
        <w:ind w:right="168" w:firstLine="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2    </w:t>
      </w:r>
      <w:r>
        <w:rPr>
          <w:spacing w:val="-7"/>
          <w:sz w:val="18"/>
          <w:szCs w:val="18"/>
        </w:rPr>
        <w:t>《转债：符合红利特征的标的</w:t>
      </w:r>
      <w:r>
        <w:rPr>
          <w:spacing w:val="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有哪些》</w:t>
      </w:r>
      <w:r>
        <w:rPr>
          <w:spacing w:val="3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2024.01.07</w:t>
      </w:r>
    </w:p>
    <w:p>
      <w:pPr>
        <w:pStyle w:val="BodyText"/>
        <w:spacing w:before="98" w:line="343" w:lineRule="exact"/>
        <w:ind w:left="5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pacing w:val="-6"/>
          <w:position w:val="12"/>
          <w:sz w:val="18"/>
          <w:szCs w:val="18"/>
        </w:rPr>
        <w:t xml:space="preserve">3    </w:t>
      </w:r>
      <w:r>
        <w:rPr>
          <w:spacing w:val="-6"/>
          <w:position w:val="12"/>
          <w:sz w:val="18"/>
          <w:szCs w:val="18"/>
        </w:rPr>
        <w:t>《短端是配置，长端是交易》</w:t>
      </w:r>
    </w:p>
    <w:p>
      <w:pPr>
        <w:spacing w:line="188" w:lineRule="auto"/>
        <w:ind w:left="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2024.01.06</w:t>
      </w:r>
    </w:p>
    <w:p>
      <w:pPr>
        <w:spacing w:line="188" w:lineRule="auto"/>
        <w:rPr>
          <w:rFonts w:ascii="Times New Roman" w:eastAsia="Times New Roman" w:hAnsi="Times New Roman" w:cs="Times New Roman"/>
          <w:sz w:val="18"/>
          <w:szCs w:val="18"/>
        </w:rPr>
        <w:sectPr>
          <w:headerReference w:type="default" r:id="rId15"/>
          <w:footerReference w:type="default" r:id="rId16"/>
          <w:type w:val="nextPage"/>
          <w:pgSz w:w="11907" w:h="16839"/>
          <w:pgMar w:top="1327" w:right="727" w:bottom="1027" w:left="720" w:header="851" w:footer="791" w:gutter="0"/>
          <w:pgNumType w:start="5"/>
          <w:cols w:num="2" w:space="708" w:equalWidth="0">
            <w:col w:w="7694" w:space="100"/>
            <w:col w:w="2665" w:space="0"/>
          </w:cols>
          <w:titlePg w:val="0"/>
        </w:sectPr>
      </w:pPr>
    </w:p>
    <w:p>
      <w:pPr>
        <w:pStyle w:val="BodyText"/>
        <w:spacing w:before="267" w:line="227" w:lineRule="auto"/>
        <w:ind w:left="4602"/>
        <w:rPr>
          <w:sz w:val="31"/>
          <w:szCs w:val="31"/>
        </w:rPr>
      </w:pPr>
      <w:r>
        <w:rPr>
          <w:color w:val="B70004"/>
          <w:spacing w:val="8"/>
          <w:sz w:val="31"/>
          <w:szCs w:val="31"/>
          <w14:textOutline w14:w="5791">
            <w14:solidFill>
              <w14:srgbClr w14:val="B70004"/>
            </w14:solidFill>
            <w14:prstDash w14:val="solid"/>
            <w14:miter w14:lim="10"/>
          </w14:textOutline>
        </w:rPr>
        <w:t>正文目录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54519845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>
          <w:pPr>
            <w:pStyle w:val="BodyText"/>
            <w:tabs>
              <w:tab w:val="right" w:leader="dot" w:pos="10458"/>
            </w:tabs>
            <w:spacing w:before="126" w:line="233" w:lineRule="auto"/>
            <w:ind w:left="15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spacing w:val="-6"/>
              <w:sz w:val="24"/>
              <w:szCs w:val="24"/>
            </w:rPr>
            <w:t xml:space="preserve">1  </w:t>
          </w:r>
          <w:r>
            <w:rPr>
              <w:spacing w:val="-6"/>
              <w:sz w:val="24"/>
              <w:szCs w:val="24"/>
              <w14:textOutline w14:w="4354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红利资产，</w:t>
          </w:r>
          <w:r>
            <w:rPr>
              <w:spacing w:val="-6"/>
              <w:sz w:val="24"/>
              <w:szCs w:val="24"/>
            </w:rPr>
            <w:t xml:space="preserve"> </w:t>
          </w:r>
          <w:r>
            <w:rPr>
              <w:spacing w:val="-6"/>
              <w:sz w:val="24"/>
              <w:szCs w:val="24"/>
              <w14:textOutline w14:w="4354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寻找资金配置需求扩散的方向</w:t>
          </w:r>
          <w:r>
            <w:rPr>
              <w:spacing w:val="-54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hyperlink w:anchor="bookmark1" w:history="1"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4"/>
                <w:szCs w:val="24"/>
              </w:rPr>
              <w:t>4</w:t>
            </w:r>
          </w:hyperlink>
        </w:p>
        <w:p>
          <w:pPr>
            <w:pStyle w:val="BodyText"/>
            <w:tabs>
              <w:tab w:val="right" w:leader="dot" w:pos="10456"/>
            </w:tabs>
            <w:spacing w:before="89" w:line="228" w:lineRule="auto"/>
            <w:ind w:left="443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spacing w:val="7"/>
            </w:rPr>
            <w:t xml:space="preserve">1.1  </w:t>
          </w:r>
          <w:r>
            <w:rPr>
              <w:spacing w:val="7"/>
            </w:rPr>
            <w:t>资金配置需求持续，高票息资产洼地渐平</w:t>
          </w:r>
          <w:r>
            <w:rPr>
              <w:spacing w:val="-68"/>
            </w:rPr>
            <w:t xml:space="preserve"> </w:t>
          </w:r>
          <w:r>
            <w:tab/>
          </w:r>
          <w:r>
            <w:rPr>
              <w:spacing w:val="-53"/>
            </w:rPr>
            <w:t xml:space="preserve"> </w:t>
          </w:r>
          <w:hyperlink w:anchor="bookmark2" w:history="1">
            <w:r>
              <w:rPr>
                <w:rFonts w:ascii="Times New Roman" w:eastAsia="Times New Roman" w:hAnsi="Times New Roman" w:cs="Times New Roman"/>
                <w:spacing w:val="1"/>
              </w:rPr>
              <w:t>4</w:t>
            </w:r>
          </w:hyperlink>
        </w:p>
        <w:p>
          <w:pPr>
            <w:pStyle w:val="BodyText"/>
            <w:tabs>
              <w:tab w:val="right" w:leader="dot" w:pos="10456"/>
            </w:tabs>
            <w:spacing w:before="77" w:line="228" w:lineRule="auto"/>
            <w:ind w:left="443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spacing w:val="8"/>
            </w:rPr>
            <w:t xml:space="preserve">1.2 2024 </w:t>
          </w:r>
          <w:r>
            <w:rPr>
              <w:spacing w:val="8"/>
            </w:rPr>
            <w:t>年资金较强配置需求或将延续</w:t>
          </w:r>
          <w:r>
            <w:rPr>
              <w:spacing w:val="7"/>
            </w:rPr>
            <w:t>，并有望强化红利资产行情</w:t>
          </w:r>
          <w:r>
            <w:rPr>
              <w:spacing w:val="-62"/>
            </w:rPr>
            <w:t xml:space="preserve"> </w:t>
          </w:r>
          <w:r>
            <w:tab/>
          </w:r>
          <w:r>
            <w:rPr>
              <w:spacing w:val="-49"/>
            </w:rPr>
            <w:t xml:space="preserve"> </w:t>
          </w:r>
          <w:hyperlink w:anchor="bookmark3" w:history="1">
            <w:r>
              <w:rPr>
                <w:rFonts w:ascii="Times New Roman" w:eastAsia="Times New Roman" w:hAnsi="Times New Roman" w:cs="Times New Roman"/>
              </w:rPr>
              <w:t>7</w:t>
            </w:r>
          </w:hyperlink>
        </w:p>
        <w:p>
          <w:pPr>
            <w:pStyle w:val="BodyText"/>
            <w:tabs>
              <w:tab w:val="right" w:leader="dot" w:pos="10458"/>
            </w:tabs>
            <w:spacing w:before="56" w:line="233" w:lineRule="auto"/>
            <w:ind w:left="5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2  </w:t>
          </w:r>
          <w:r>
            <w:rPr>
              <w:sz w:val="24"/>
              <w:szCs w:val="24"/>
              <w14:textOutline w14:w="4354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关于当下红利资产拥挤度的一些思考</w:t>
          </w:r>
          <w:r>
            <w:rPr>
              <w:spacing w:val="-56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hyperlink w:anchor="bookmark4" w:history="1"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4"/>
                <w:szCs w:val="24"/>
              </w:rPr>
              <w:t>9</w:t>
            </w:r>
          </w:hyperlink>
        </w:p>
        <w:p>
          <w:pPr>
            <w:pStyle w:val="BodyText"/>
            <w:tabs>
              <w:tab w:val="right" w:leader="dot" w:pos="10458"/>
            </w:tabs>
            <w:spacing w:before="69" w:line="234" w:lineRule="auto"/>
            <w:ind w:left="3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3  </w:t>
          </w:r>
          <w:r>
            <w:rPr>
              <w:sz w:val="24"/>
              <w:szCs w:val="24"/>
              <w14:textOutline w14:w="4354">
                <w14:solidFill>
                  <w14:srgbClr w14:val="000000"/>
                </w14:solidFill>
                <w14:prstDash w14:val="solid"/>
                <w14:miter w14:lim="10"/>
              </w14:textOutline>
            </w:rPr>
            <w:t>风险提示</w:t>
          </w:r>
          <w:r>
            <w:rPr>
              <w:spacing w:val="-54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87"/>
              <w:sz w:val="24"/>
              <w:szCs w:val="24"/>
            </w:rPr>
            <w:t xml:space="preserve"> </w:t>
          </w:r>
          <w:hyperlink w:anchor="bookmark5" w:history="1"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10</w:t>
            </w:r>
          </w:hyperlink>
        </w:p>
      </w:sdtContent>
    </w:sdt>
    <w:p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https://d.book118.com/688075003073006025</w:t>
        </w:r>
      </w:hyperlink>
    </w:p>
    <w:p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>
      <w:headerReference w:type="default" r:id="rId18"/>
      <w:footerReference w:type="default" r:id="rId19"/>
      <w:pgSz w:w="11907" w:h="16839"/>
      <w:pgMar w:top="1264" w:right="725" w:bottom="1027" w:left="720" w:header="788" w:footer="791" w:gutter="0"/>
      <w:pgNumType w:start="6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35" w:line="220" w:lineRule="auto"/>
      <w:ind w:left="7791"/>
      <w:rPr>
        <w:sz w:val="16"/>
        <w:szCs w:val="16"/>
      </w:rPr>
    </w:pPr>
    <w:r>
      <w:pict>
        <v:shape id="_x0000_s2049" style="width:522.95pt;height:0.5pt;margin-top:790.54pt;margin-left:36pt;mso-position-horizontal-relative:page;mso-position-vertical-relative:page;position:absolute;z-index:251659264" coordorigin="0,0" coordsize="10459,10" o:allowincell="f" path="m,9l3485,9l3485,l,l,9xem3485,9l3495,9l3495,l3485,l3485,9xem3495,9l6970,9l6970,l3495,l3495,9xem6970,9l6980,9l6980,l6970,l6970,9xem6980,9l10458,9l10458,l6980,l6980,9xe" filled="t" fillcolor="#b70004" stroked="f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85.7pt;height:9.35pt;margin-top:2.11pt;margin-left:4.45pt;position:absolute;z-index:251658240" filled="f" stroked="f">
          <o:lock v:ext="edit" aspectratio="f"/>
          <v:textbox inset="0,0,0,0">
            <w:txbxContent>
              <w:p>
                <w:pPr>
                  <w:spacing w:before="20" w:line="191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>
                    <w:rPr>
                      <w:rFonts w:ascii="Times New Roman" w:eastAsia="Times New Roman" w:hAnsi="Times New Roman" w:cs="Times New Roman"/>
                      <w:spacing w:val="-1"/>
                      <w:sz w:val="16"/>
                      <w:szCs w:val="16"/>
                    </w:rPr>
                    <w:t>http://www.stocke.com.cn</w:t>
                  </w:r>
                </w:hyperlink>
              </w:p>
            </w:txbxContent>
          </v:textbox>
        </v:shape>
      </w:pict>
    </w:r>
    <w:r>
      <w:pict>
        <v:shape id="_x0000_s2051" type="#_x0000_t202" style="width:15.05pt;height:10.95pt;margin-top:2.11pt;margin-left:254.39pt;position:absolute;z-index:251660288" filled="f" stroked="f">
          <o:lock v:ext="edit" aspectratio="f"/>
          <v:textbox inset="0,0,0,0">
            <w:txbxContent>
              <w:p>
                <w:pPr>
                  <w:spacing w:before="19" w:line="233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-6"/>
                    <w:sz w:val="16"/>
                    <w:szCs w:val="16"/>
                  </w:rPr>
                  <w:t>1/11</w:t>
                </w:r>
              </w:p>
            </w:txbxContent>
          </v:textbox>
        </v:shape>
      </w:pict>
    </w:r>
    <w:r>
      <w:rPr>
        <w:sz w:val="16"/>
        <w:szCs w:val="16"/>
      </w:rPr>
      <w:t>请务必阅读正文之后的免责条款部分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35" w:line="220" w:lineRule="auto"/>
      <w:ind w:left="7791"/>
      <w:rPr>
        <w:sz w:val="16"/>
        <w:szCs w:val="16"/>
      </w:rPr>
    </w:pPr>
    <w:r>
      <w:pict>
        <v:shape id="_x0000_s2052" style="width:522.95pt;height:0.5pt;margin-top:790.54pt;margin-left:36pt;mso-position-horizontal-relative:page;mso-position-vertical-relative:page;position:absolute;z-index:251662336" coordorigin="0,0" coordsize="10459,10" o:allowincell="f" path="m,9l3485,9l3485,l,l,9xem3485,9l3495,9l3495,l3485,l3485,9xem3495,9l6970,9l6970,l3495,l3495,9xem6970,9l6980,9l6980,l6970,l6970,9xem6980,9l10458,9l10458,l6980,l6980,9xe" filled="t" fillcolor="#b70004" stroked="f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85.7pt;height:9.35pt;margin-top:2.11pt;margin-left:4.45pt;position:absolute;z-index:251661312" filled="f" stroked="f">
          <o:lock v:ext="edit" aspectratio="f"/>
          <v:textbox inset="0,0,0,0">
            <w:txbxContent>
              <w:p>
                <w:pPr>
                  <w:spacing w:before="20" w:line="191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>
                    <w:rPr>
                      <w:rFonts w:ascii="Times New Roman" w:eastAsia="Times New Roman" w:hAnsi="Times New Roman" w:cs="Times New Roman"/>
                      <w:spacing w:val="-1"/>
                      <w:sz w:val="16"/>
                      <w:szCs w:val="16"/>
                    </w:rPr>
                    <w:t>http://www.stocke.com.cn</w:t>
                  </w:r>
                </w:hyperlink>
              </w:p>
            </w:txbxContent>
          </v:textbox>
        </v:shape>
      </w:pict>
    </w:r>
    <w:r>
      <w:pict>
        <v:shape id="_x0000_s2054" type="#_x0000_t202" style="width:15.05pt;height:10.95pt;margin-top:2.11pt;margin-left:254.39pt;position:absolute;z-index:251663360" filled="f" stroked="f">
          <o:lock v:ext="edit" aspectratio="f"/>
          <v:textbox inset="0,0,0,0">
            <w:txbxContent>
              <w:p>
                <w:pPr>
                  <w:spacing w:before="19" w:line="233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-6"/>
                    <w:sz w:val="16"/>
                    <w:szCs w:val="16"/>
                  </w:rPr>
                  <w:t>1/11</w:t>
                </w:r>
              </w:p>
            </w:txbxContent>
          </v:textbox>
        </v:shape>
      </w:pict>
    </w:r>
    <w:r>
      <w:rPr>
        <w:sz w:val="16"/>
        <w:szCs w:val="16"/>
      </w:rPr>
      <w:t>请务必阅读正文之后的免责条款部分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35" w:line="220" w:lineRule="auto"/>
      <w:ind w:left="7791"/>
      <w:rPr>
        <w:sz w:val="16"/>
        <w:szCs w:val="16"/>
      </w:rPr>
    </w:pPr>
    <w:r>
      <w:pict>
        <v:shape id="_x0000_s2055" style="width:522.95pt;height:0.5pt;margin-top:790.54pt;margin-left:36pt;mso-position-horizontal-relative:page;mso-position-vertical-relative:page;position:absolute;z-index:251665408" coordorigin="0,0" coordsize="10459,10" o:allowincell="f" path="m,9l3485,9l3485,l,l,9xem3485,9l3495,9l3495,l3485,l3485,9xem3495,9l6970,9l6970,l3495,l3495,9xem6970,9l6980,9l6980,l6970,l6970,9xem6980,9l10458,9l10458,l6980,l6980,9xe" filled="t" fillcolor="#b70004" stroked="f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85.7pt;height:9.35pt;margin-top:2.11pt;margin-left:4.45pt;position:absolute;z-index:251664384" filled="f" stroked="f">
          <o:lock v:ext="edit" aspectratio="f"/>
          <v:textbox inset="0,0,0,0">
            <w:txbxContent>
              <w:p>
                <w:pPr>
                  <w:spacing w:before="20" w:line="191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>
                    <w:rPr>
                      <w:rFonts w:ascii="Times New Roman" w:eastAsia="Times New Roman" w:hAnsi="Times New Roman" w:cs="Times New Roman"/>
                      <w:spacing w:val="-1"/>
                      <w:sz w:val="16"/>
                      <w:szCs w:val="16"/>
                    </w:rPr>
                    <w:t>http://www.stocke.com.cn</w:t>
                  </w:r>
                </w:hyperlink>
              </w:p>
            </w:txbxContent>
          </v:textbox>
        </v:shape>
      </w:pict>
    </w:r>
    <w:r>
      <w:pict>
        <v:shape id="_x0000_s2057" type="#_x0000_t202" style="width:15.05pt;height:10.95pt;margin-top:2.11pt;margin-left:254.39pt;position:absolute;z-index:251666432" filled="f" stroked="f">
          <o:lock v:ext="edit" aspectratio="f"/>
          <v:textbox inset="0,0,0,0">
            <w:txbxContent>
              <w:p>
                <w:pPr>
                  <w:spacing w:before="19" w:line="233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-6"/>
                    <w:sz w:val="16"/>
                    <w:szCs w:val="16"/>
                  </w:rPr>
                  <w:t>1/11</w:t>
                </w:r>
              </w:p>
            </w:txbxContent>
          </v:textbox>
        </v:shape>
      </w:pict>
    </w:r>
    <w:r>
      <w:rPr>
        <w:sz w:val="16"/>
        <w:szCs w:val="16"/>
      </w:rPr>
      <w:t>请务必阅读正文之后的免责条款部分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35" w:line="220" w:lineRule="auto"/>
      <w:ind w:left="7791"/>
      <w:rPr>
        <w:sz w:val="16"/>
        <w:szCs w:val="16"/>
      </w:rPr>
    </w:pPr>
    <w:r>
      <w:pict>
        <v:shape id="_x0000_s2058" style="width:522.95pt;height:0.5pt;margin-top:790.54pt;margin-left:36pt;mso-position-horizontal-relative:page;mso-position-vertical-relative:page;position:absolute;z-index:251668480" coordorigin="0,0" coordsize="10459,10" o:allowincell="f" path="m,9l3485,9l3485,l,l,9xem3485,9l3495,9l3495,l3485,l3485,9xem3495,9l6970,9l6970,l3495,l3495,9xem6970,9l6980,9l6980,l6970,l6970,9xem6980,9l10458,9l10458,l6980,l6980,9xe" filled="t" fillcolor="#b70004" stroked="f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85.7pt;height:9.35pt;margin-top:2.11pt;margin-left:4.45pt;position:absolute;z-index:251667456" filled="f" stroked="f">
          <o:lock v:ext="edit" aspectratio="f"/>
          <v:textbox inset="0,0,0,0">
            <w:txbxContent>
              <w:p>
                <w:pPr>
                  <w:spacing w:before="20" w:line="191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>
                    <w:rPr>
                      <w:rFonts w:ascii="Times New Roman" w:eastAsia="Times New Roman" w:hAnsi="Times New Roman" w:cs="Times New Roman"/>
                      <w:spacing w:val="-1"/>
                      <w:sz w:val="16"/>
                      <w:szCs w:val="16"/>
                    </w:rPr>
                    <w:t>http://www.stocke.com.cn</w:t>
                  </w:r>
                </w:hyperlink>
              </w:p>
            </w:txbxContent>
          </v:textbox>
        </v:shape>
      </w:pict>
    </w:r>
    <w:r>
      <w:pict>
        <v:shape id="_x0000_s2060" type="#_x0000_t202" style="width:15.05pt;height:10.95pt;margin-top:2.11pt;margin-left:254.39pt;position:absolute;z-index:251669504" filled="f" stroked="f">
          <o:lock v:ext="edit" aspectratio="f"/>
          <v:textbox inset="0,0,0,0">
            <w:txbxContent>
              <w:p>
                <w:pPr>
                  <w:spacing w:before="19" w:line="233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-6"/>
                    <w:sz w:val="16"/>
                    <w:szCs w:val="16"/>
                  </w:rPr>
                  <w:t>1/11</w:t>
                </w:r>
              </w:p>
            </w:txbxContent>
          </v:textbox>
        </v:shape>
      </w:pict>
    </w:r>
    <w:r>
      <w:rPr>
        <w:sz w:val="16"/>
        <w:szCs w:val="16"/>
      </w:rPr>
      <w:t>请务必阅读正文之后的免责条款部分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35" w:line="220" w:lineRule="auto"/>
      <w:ind w:left="7791"/>
      <w:rPr>
        <w:sz w:val="16"/>
        <w:szCs w:val="16"/>
      </w:rPr>
    </w:pPr>
    <w:r>
      <w:pict>
        <v:shape id="_x0000_s2061" style="width:522.95pt;height:0.5pt;margin-top:790.54pt;margin-left:36pt;mso-position-horizontal-relative:page;mso-position-vertical-relative:page;position:absolute;z-index:251671552" coordorigin="0,0" coordsize="10459,10" o:allowincell="f" path="m,9l3485,9l3485,l,l,9xem3485,9l3495,9l3495,l3485,l3485,9xem3495,9l6970,9l6970,l3495,l3495,9xem6970,9l6980,9l6980,l6970,l6970,9xem6980,9l10458,9l10458,l6980,l6980,9xe" filled="t" fillcolor="#b70004" stroked="f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85.7pt;height:9.35pt;margin-top:2.11pt;margin-left:4.45pt;position:absolute;z-index:251670528" filled="f" stroked="f">
          <o:lock v:ext="edit" aspectratio="f"/>
          <v:textbox inset="0,0,0,0">
            <w:txbxContent>
              <w:p>
                <w:pPr>
                  <w:spacing w:before="20" w:line="191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>
                    <w:rPr>
                      <w:rFonts w:ascii="Times New Roman" w:eastAsia="Times New Roman" w:hAnsi="Times New Roman" w:cs="Times New Roman"/>
                      <w:spacing w:val="-1"/>
                      <w:sz w:val="16"/>
                      <w:szCs w:val="16"/>
                    </w:rPr>
                    <w:t>http://www.stocke.com.cn</w:t>
                  </w:r>
                </w:hyperlink>
              </w:p>
            </w:txbxContent>
          </v:textbox>
        </v:shape>
      </w:pict>
    </w:r>
    <w:r>
      <w:pict>
        <v:shape id="_x0000_s2063" type="#_x0000_t202" style="width:15.05pt;height:10.95pt;margin-top:2.11pt;margin-left:254.39pt;position:absolute;z-index:251672576" filled="f" stroked="f">
          <o:lock v:ext="edit" aspectratio="f"/>
          <v:textbox inset="0,0,0,0">
            <w:txbxContent>
              <w:p>
                <w:pPr>
                  <w:spacing w:before="19" w:line="233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-6"/>
                    <w:sz w:val="16"/>
                    <w:szCs w:val="16"/>
                  </w:rPr>
                  <w:t>1/11</w:t>
                </w:r>
              </w:p>
            </w:txbxContent>
          </v:textbox>
        </v:shape>
      </w:pict>
    </w:r>
    <w:r>
      <w:rPr>
        <w:sz w:val="16"/>
        <w:szCs w:val="16"/>
      </w:rPr>
      <w:t>请务必阅读正文之后的免责条款部分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35" w:line="220" w:lineRule="auto"/>
      <w:ind w:left="7791"/>
      <w:rPr>
        <w:sz w:val="16"/>
        <w:szCs w:val="16"/>
      </w:rPr>
    </w:pPr>
    <w:r>
      <w:pict>
        <v:shape id="_x0000_s2065" style="width:522.95pt;height:0.5pt;margin-top:790.54pt;margin-left:36pt;mso-position-horizontal-relative:page;mso-position-vertical-relative:page;position:absolute;z-index:251674624" coordorigin="0,0" coordsize="10459,10" o:allowincell="f" path="m,9l3485,9l3485,l,l,9xem3485,9l3495,9l3495,l3485,l3485,9xem3495,9l6970,9l6970,l3495,l3495,9xem6970,9l6980,9l6980,l6970,l6970,9xem6980,9l10458,9l10458,l6980,l6980,9xe" filled="t" fillcolor="#b70004" stroked="f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85.7pt;height:9.35pt;margin-top:2.11pt;margin-left:4.45pt;position:absolute;z-index:251673600" filled="f" stroked="f">
          <o:lock v:ext="edit" aspectratio="f"/>
          <v:textbox inset="0,0,0,0">
            <w:txbxContent>
              <w:p>
                <w:pPr>
                  <w:spacing w:before="20" w:line="191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>
                    <w:rPr>
                      <w:rFonts w:ascii="Times New Roman" w:eastAsia="Times New Roman" w:hAnsi="Times New Roman" w:cs="Times New Roman"/>
                      <w:spacing w:val="-1"/>
                      <w:sz w:val="16"/>
                      <w:szCs w:val="16"/>
                    </w:rPr>
                    <w:t>http://www.stocke.com.cn</w:t>
                  </w:r>
                </w:hyperlink>
              </w:p>
            </w:txbxContent>
          </v:textbox>
        </v:shape>
      </w:pict>
    </w:r>
    <w:r>
      <w:pict>
        <v:shape id="_x0000_s2067" type="#_x0000_t202" style="width:15.85pt;height:10.95pt;margin-top:2.11pt;margin-left:253.62pt;position:absolute;z-index:251675648" filled="f" stroked="f">
          <o:lock v:ext="edit" aspectratio="f"/>
          <v:textbox inset="0,0,0,0">
            <w:txbxContent>
              <w:p>
                <w:pPr>
                  <w:spacing w:before="19" w:line="233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2/11</w:t>
                </w:r>
              </w:p>
            </w:txbxContent>
          </v:textbox>
        </v:shape>
      </w:pict>
    </w:r>
    <w:r>
      <w:rPr>
        <w:sz w:val="16"/>
        <w:szCs w:val="16"/>
      </w:rPr>
      <w:t>请务必阅读正文之后的免责条款部分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14" w:line="212" w:lineRule="auto"/>
      <w:ind w:right="32"/>
      <w:jc w:val="right"/>
      <w:rPr>
        <w:sz w:val="24"/>
        <w:szCs w:val="24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457200</wp:posOffset>
          </wp:positionH>
          <wp:positionV relativeFrom="page">
            <wp:posOffset>540385</wp:posOffset>
          </wp:positionV>
          <wp:extent cx="1079500" cy="302259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302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B70004"/>
        <w:spacing w:val="-1"/>
        <w:sz w:val="24"/>
        <w:szCs w:val="24"/>
      </w:rPr>
      <w:t>证券研究报告</w:t>
    </w:r>
    <w:r>
      <w:rPr>
        <w:color w:val="B70004"/>
        <w:spacing w:val="-1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B70004"/>
        <w:spacing w:val="-1"/>
        <w:sz w:val="24"/>
        <w:szCs w:val="24"/>
      </w:rPr>
      <w:t xml:space="preserve">|  </w:t>
    </w:r>
    <w:r>
      <w:rPr>
        <w:color w:val="B70004"/>
        <w:spacing w:val="-1"/>
        <w:sz w:val="24"/>
        <w:szCs w:val="24"/>
      </w:rPr>
      <w:t>债券市场专题研究</w:t>
    </w:r>
    <w:r>
      <w:rPr>
        <w:color w:val="B70004"/>
        <w:spacing w:val="23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B70004"/>
        <w:spacing w:val="-1"/>
        <w:sz w:val="24"/>
        <w:szCs w:val="24"/>
      </w:rPr>
      <w:t xml:space="preserve">|  </w:t>
    </w:r>
    <w:r>
      <w:rPr>
        <w:color w:val="B70004"/>
        <w:spacing w:val="-1"/>
        <w:sz w:val="24"/>
        <w:szCs w:val="24"/>
      </w:rPr>
      <w:t>债券研究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14" w:line="212" w:lineRule="auto"/>
      <w:ind w:right="32"/>
      <w:jc w:val="right"/>
      <w:rPr>
        <w:sz w:val="24"/>
        <w:szCs w:val="24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457200</wp:posOffset>
          </wp:positionH>
          <wp:positionV relativeFrom="page">
            <wp:posOffset>540385</wp:posOffset>
          </wp:positionV>
          <wp:extent cx="1079500" cy="302259"/>
          <wp:effectExtent l="0" t="0" r="0" b="0"/>
          <wp:wrapNone/>
          <wp:docPr id="207191485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91485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302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B70004"/>
        <w:spacing w:val="-1"/>
        <w:sz w:val="24"/>
        <w:szCs w:val="24"/>
      </w:rPr>
      <w:t>证券研究报告</w:t>
    </w:r>
    <w:r>
      <w:rPr>
        <w:color w:val="B70004"/>
        <w:spacing w:val="-1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B70004"/>
        <w:spacing w:val="-1"/>
        <w:sz w:val="24"/>
        <w:szCs w:val="24"/>
      </w:rPr>
      <w:t xml:space="preserve">|  </w:t>
    </w:r>
    <w:r>
      <w:rPr>
        <w:color w:val="B70004"/>
        <w:spacing w:val="-1"/>
        <w:sz w:val="24"/>
        <w:szCs w:val="24"/>
      </w:rPr>
      <w:t>债券市场专题研究</w:t>
    </w:r>
    <w:r>
      <w:rPr>
        <w:color w:val="B70004"/>
        <w:spacing w:val="23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B70004"/>
        <w:spacing w:val="-1"/>
        <w:sz w:val="24"/>
        <w:szCs w:val="24"/>
      </w:rPr>
      <w:t xml:space="preserve">|  </w:t>
    </w:r>
    <w:r>
      <w:rPr>
        <w:color w:val="B70004"/>
        <w:spacing w:val="-1"/>
        <w:sz w:val="24"/>
        <w:szCs w:val="24"/>
      </w:rPr>
      <w:t>债券研究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14" w:line="212" w:lineRule="auto"/>
      <w:ind w:right="32"/>
      <w:jc w:val="right"/>
      <w:rPr>
        <w:sz w:val="24"/>
        <w:szCs w:val="24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457200</wp:posOffset>
          </wp:positionH>
          <wp:positionV relativeFrom="page">
            <wp:posOffset>540385</wp:posOffset>
          </wp:positionV>
          <wp:extent cx="1079500" cy="302259"/>
          <wp:effectExtent l="0" t="0" r="0" b="0"/>
          <wp:wrapNone/>
          <wp:docPr id="164417542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175420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302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B70004"/>
        <w:spacing w:val="-1"/>
        <w:sz w:val="24"/>
        <w:szCs w:val="24"/>
      </w:rPr>
      <w:t>证券研究报告</w:t>
    </w:r>
    <w:r>
      <w:rPr>
        <w:color w:val="B70004"/>
        <w:spacing w:val="-1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B70004"/>
        <w:spacing w:val="-1"/>
        <w:sz w:val="24"/>
        <w:szCs w:val="24"/>
      </w:rPr>
      <w:t xml:space="preserve">|  </w:t>
    </w:r>
    <w:r>
      <w:rPr>
        <w:color w:val="B70004"/>
        <w:spacing w:val="-1"/>
        <w:sz w:val="24"/>
        <w:szCs w:val="24"/>
      </w:rPr>
      <w:t>债券市场专题研究</w:t>
    </w:r>
    <w:r>
      <w:rPr>
        <w:color w:val="B70004"/>
        <w:spacing w:val="23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B70004"/>
        <w:spacing w:val="-1"/>
        <w:sz w:val="24"/>
        <w:szCs w:val="24"/>
      </w:rPr>
      <w:t xml:space="preserve">|  </w:t>
    </w:r>
    <w:r>
      <w:rPr>
        <w:color w:val="B70004"/>
        <w:spacing w:val="-1"/>
        <w:sz w:val="24"/>
        <w:szCs w:val="24"/>
      </w:rPr>
      <w:t>债券研究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14" w:line="212" w:lineRule="auto"/>
      <w:ind w:right="32"/>
      <w:jc w:val="right"/>
      <w:rPr>
        <w:sz w:val="24"/>
        <w:szCs w:val="24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457200</wp:posOffset>
          </wp:positionH>
          <wp:positionV relativeFrom="page">
            <wp:posOffset>540385</wp:posOffset>
          </wp:positionV>
          <wp:extent cx="1079500" cy="302259"/>
          <wp:effectExtent l="0" t="0" r="0" b="0"/>
          <wp:wrapNone/>
          <wp:docPr id="575877291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877291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302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B70004"/>
        <w:spacing w:val="-1"/>
        <w:sz w:val="24"/>
        <w:szCs w:val="24"/>
      </w:rPr>
      <w:t>证券研究报告</w:t>
    </w:r>
    <w:r>
      <w:rPr>
        <w:color w:val="B70004"/>
        <w:spacing w:val="-1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B70004"/>
        <w:spacing w:val="-1"/>
        <w:sz w:val="24"/>
        <w:szCs w:val="24"/>
      </w:rPr>
      <w:t xml:space="preserve">|  </w:t>
    </w:r>
    <w:r>
      <w:rPr>
        <w:color w:val="B70004"/>
        <w:spacing w:val="-1"/>
        <w:sz w:val="24"/>
        <w:szCs w:val="24"/>
      </w:rPr>
      <w:t>债券市场专题研究</w:t>
    </w:r>
    <w:r>
      <w:rPr>
        <w:color w:val="B70004"/>
        <w:spacing w:val="23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B70004"/>
        <w:spacing w:val="-1"/>
        <w:sz w:val="24"/>
        <w:szCs w:val="24"/>
      </w:rPr>
      <w:t xml:space="preserve">|  </w:t>
    </w:r>
    <w:r>
      <w:rPr>
        <w:color w:val="B70004"/>
        <w:spacing w:val="-1"/>
        <w:sz w:val="24"/>
        <w:szCs w:val="24"/>
      </w:rPr>
      <w:t>债券研究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114" w:line="212" w:lineRule="auto"/>
      <w:ind w:right="32"/>
      <w:jc w:val="right"/>
      <w:rPr>
        <w:sz w:val="24"/>
        <w:szCs w:val="24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457200</wp:posOffset>
          </wp:positionH>
          <wp:positionV relativeFrom="page">
            <wp:posOffset>540385</wp:posOffset>
          </wp:positionV>
          <wp:extent cx="1079500" cy="302259"/>
          <wp:effectExtent l="0" t="0" r="0" b="0"/>
          <wp:wrapNone/>
          <wp:docPr id="1039038736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038736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302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B70004"/>
        <w:spacing w:val="-1"/>
        <w:sz w:val="24"/>
        <w:szCs w:val="24"/>
      </w:rPr>
      <w:t>证券研究报告</w:t>
    </w:r>
    <w:r>
      <w:rPr>
        <w:color w:val="B70004"/>
        <w:spacing w:val="-1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B70004"/>
        <w:spacing w:val="-1"/>
        <w:sz w:val="24"/>
        <w:szCs w:val="24"/>
      </w:rPr>
      <w:t xml:space="preserve">|  </w:t>
    </w:r>
    <w:r>
      <w:rPr>
        <w:color w:val="B70004"/>
        <w:spacing w:val="-1"/>
        <w:sz w:val="24"/>
        <w:szCs w:val="24"/>
      </w:rPr>
      <w:t>债券市场专题研究</w:t>
    </w:r>
    <w:r>
      <w:rPr>
        <w:color w:val="B70004"/>
        <w:spacing w:val="23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B70004"/>
        <w:spacing w:val="-1"/>
        <w:sz w:val="24"/>
        <w:szCs w:val="24"/>
      </w:rPr>
      <w:t xml:space="preserve">|  </w:t>
    </w:r>
    <w:r>
      <w:rPr>
        <w:color w:val="B70004"/>
        <w:spacing w:val="-1"/>
        <w:sz w:val="24"/>
        <w:szCs w:val="24"/>
      </w:rPr>
      <w:t>债券研究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06" w:line="220" w:lineRule="auto"/>
      <w:ind w:left="9149"/>
      <w:rPr>
        <w:sz w:val="16"/>
        <w:szCs w:val="16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467994</wp:posOffset>
          </wp:positionH>
          <wp:positionV relativeFrom="page">
            <wp:posOffset>500380</wp:posOffset>
          </wp:positionV>
          <wp:extent cx="1079500" cy="302259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302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1"/>
        <w:sz w:val="16"/>
        <w:szCs w:val="16"/>
      </w:rPr>
      <w:t>债券市场专题研究</w:t>
    </w:r>
  </w:p>
  <w:p>
    <w:pPr>
      <w:spacing w:before="51" w:line="17" w:lineRule="exact"/>
      <w:ind w:firstLine="1793"/>
    </w:pPr>
    <w:r>
      <w:pict>
        <v:shape id="_x0000_i2064" style="width:433.4pt;height:1pt;mso-position-horizontal-relative:char;mso-position-vertical-relative:line" coordorigin="0,0" coordsize="8667,20" path="m,10l8667,10e" filled="f" strokecolor="#b70004" strokeweight="1pt">
          <v:stroke joinstyle="miter"/>
          <w10:wrap type="non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NSimSun" w:eastAsia="NSimSun" w:hAnsi="NSimSun" w:cs="NSimSun"/>
      <w:sz w:val="19"/>
      <w:szCs w:val="19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12"/>
      <w:szCs w:val="1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image" Target="media/image4.png" /><Relationship Id="rId13" Type="http://schemas.openxmlformats.org/officeDocument/2006/relationships/header" Target="header4.xml" /><Relationship Id="rId14" Type="http://schemas.openxmlformats.org/officeDocument/2006/relationships/footer" Target="footer4.xml" /><Relationship Id="rId15" Type="http://schemas.openxmlformats.org/officeDocument/2006/relationships/header" Target="header5.xml" /><Relationship Id="rId16" Type="http://schemas.openxmlformats.org/officeDocument/2006/relationships/footer" Target="footer5.xml" /><Relationship Id="rId17" Type="http://schemas.openxmlformats.org/officeDocument/2006/relationships/hyperlink" Target="https://d.book118.com/688075003073006025" TargetMode="External" /><Relationship Id="rId18" Type="http://schemas.openxmlformats.org/officeDocument/2006/relationships/header" Target="header6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3.png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stocke.com.cn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stocke.com.cn" TargetMode="Externa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://www.stocke.com.cn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://www.stocke.com.cn" TargetMode="External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hyperlink" Target="http://www.stocke.com.cn" TargetMode="External" 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hyperlink" Target="http://www.stocke.com.cn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浙商证券-固收视角看权益系列一：红利资产的底层逻辑-240110.pdf</dc:title>
  <cp:revision>0</cp:revision>
  <dcterms:created xsi:type="dcterms:W3CDTF">2024-01-12T18:01:36Z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2024-01-12T18:04:44Z</vt:filetime>
  </property>
  <property fmtid="{D5CDD505-2E9C-101B-9397-08002B2CF9AE}" pid="3" name="CRO">
    <vt:lpwstr>wqlLaW5nc29mdCBQREYgdG8gV1BTIDkw</vt:lpwstr>
  </property>
</Properties>
</file>