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75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3556010</wp:posOffset>
            </wp:positionH>
            <wp:positionV relativeFrom="page">
              <wp:posOffset>6534123</wp:posOffset>
            </wp:positionV>
            <wp:extent cx="507968" cy="35565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968" cy="355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1" w:line="221" w:lineRule="auto"/>
        <w:ind w:left="2890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29"/>
          <w:sz w:val="28"/>
          <w:szCs w:val="28"/>
        </w:rPr>
        <w:t>反射式光密度计校准规范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72" w:line="223" w:lineRule="auto"/>
        <w:ind w:left="4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1"/>
          <w:sz w:val="22"/>
          <w:szCs w:val="22"/>
        </w:rPr>
        <w:t>1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11"/>
          <w:sz w:val="22"/>
          <w:szCs w:val="22"/>
        </w:rPr>
        <w:t>范</w:t>
      </w:r>
      <w:r>
        <w:rPr>
          <w:rFonts w:ascii="SimHei" w:eastAsia="SimHei" w:hAnsi="SimHei" w:cs="SimHei"/>
          <w:spacing w:val="-2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1"/>
          <w:sz w:val="22"/>
          <w:szCs w:val="22"/>
        </w:rPr>
        <w:t>围</w:t>
      </w:r>
    </w:p>
    <w:p>
      <w:pPr>
        <w:pStyle w:val="BodyText"/>
        <w:spacing w:before="292" w:line="540" w:lineRule="exact"/>
        <w:ind w:left="510"/>
      </w:pPr>
      <w:r>
        <w:rPr>
          <w:spacing w:val="20"/>
          <w:position w:val="24"/>
        </w:rPr>
        <w:t>本规范用于反射式光密度计视觉反射密度和彩色反射密度的校准。</w:t>
      </w:r>
    </w:p>
    <w:p>
      <w:pPr>
        <w:spacing w:line="221" w:lineRule="auto"/>
        <w:ind w:left="1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4"/>
          <w:sz w:val="22"/>
          <w:szCs w:val="22"/>
        </w:rPr>
        <w:t>2</w:t>
      </w:r>
      <w:r>
        <w:rPr>
          <w:rFonts w:ascii="SimHei" w:eastAsia="SimHei" w:hAnsi="SimHei" w:cs="SimHei"/>
          <w:spacing w:val="19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4"/>
          <w:sz w:val="22"/>
          <w:szCs w:val="22"/>
        </w:rPr>
        <w:t>引用文件</w:t>
      </w:r>
    </w:p>
    <w:p>
      <w:pPr>
        <w:pStyle w:val="BodyText"/>
        <w:spacing w:before="274" w:line="218" w:lineRule="auto"/>
        <w:ind w:left="510"/>
      </w:pPr>
      <w:r>
        <w:t>JJF</w:t>
      </w:r>
      <w:r>
        <w:rPr>
          <w:spacing w:val="120"/>
        </w:rPr>
        <w:t xml:space="preserve"> </w:t>
      </w:r>
      <w:r>
        <w:rPr>
          <w:spacing w:val="10"/>
        </w:rPr>
        <w:t>1032—2005  光学辐射计量名词术语及定义</w:t>
      </w:r>
    </w:p>
    <w:p>
      <w:pPr>
        <w:pStyle w:val="BodyText"/>
        <w:spacing w:before="87" w:line="212" w:lineRule="auto"/>
        <w:ind w:right="4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7"/>
        </w:rPr>
        <w:t>/T        11501—2008/</w:t>
      </w:r>
      <w:r>
        <w:rPr>
          <w:rFonts w:ascii="Times New Roman" w:eastAsia="Times New Roman" w:hAnsi="Times New Roman" w:cs="Times New Roman"/>
        </w:rPr>
        <w:t>ISO</w:t>
      </w:r>
      <w:r>
        <w:rPr>
          <w:rFonts w:ascii="Times New Roman" w:eastAsia="Times New Roman" w:hAnsi="Times New Roman" w:cs="Times New Roman"/>
          <w:spacing w:val="7"/>
        </w:rPr>
        <w:t xml:space="preserve">5-3:1995    </w:t>
      </w:r>
      <w:r>
        <w:rPr>
          <w:spacing w:val="7"/>
        </w:rPr>
        <w:t>摄影  密度测量  第3部分：光谱条件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(</w:t>
      </w:r>
      <w:r>
        <w:rPr>
          <w:rFonts w:ascii="Times New Roman" w:eastAsia="Times New Roman" w:hAnsi="Times New Roman" w:cs="Times New Roman"/>
        </w:rPr>
        <w:t>ISO</w:t>
      </w:r>
      <w:r>
        <w:rPr>
          <w:rFonts w:ascii="Times New Roman" w:eastAsia="Times New Roman" w:hAnsi="Times New Roman" w:cs="Times New Roman"/>
          <w:spacing w:val="6"/>
        </w:rPr>
        <w:t xml:space="preserve">   5-3:</w:t>
      </w:r>
    </w:p>
    <w:p>
      <w:pPr>
        <w:spacing w:before="142" w:line="192" w:lineRule="auto"/>
        <w:ind w:left="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1995,IDT)</w:t>
      </w:r>
    </w:p>
    <w:p>
      <w:pPr>
        <w:pStyle w:val="BodyText"/>
        <w:spacing w:before="158" w:line="219" w:lineRule="auto"/>
        <w:ind w:right="35"/>
        <w:jc w:val="right"/>
      </w:pP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12"/>
        </w:rPr>
        <w:t>/T12823.4—2008/</w:t>
      </w:r>
      <w:r>
        <w:rPr>
          <w:rFonts w:ascii="Times New Roman" w:eastAsia="Times New Roman" w:hAnsi="Times New Roman" w:cs="Times New Roman"/>
        </w:rPr>
        <w:t>ISO</w:t>
      </w:r>
      <w:r>
        <w:rPr>
          <w:rFonts w:ascii="Times New Roman" w:eastAsia="Times New Roman" w:hAnsi="Times New Roman" w:cs="Times New Roman"/>
          <w:spacing w:val="12"/>
        </w:rPr>
        <w:t xml:space="preserve">             </w:t>
      </w:r>
      <w:r>
        <w:rPr>
          <w:rFonts w:ascii="Times New Roman" w:eastAsia="Times New Roman" w:hAnsi="Times New Roman" w:cs="Times New Roman"/>
          <w:spacing w:val="11"/>
        </w:rPr>
        <w:t xml:space="preserve">5-4:1995    </w:t>
      </w:r>
      <w:r>
        <w:rPr>
          <w:spacing w:val="11"/>
        </w:rPr>
        <w:t>摄</w:t>
      </w:r>
      <w:r>
        <w:rPr>
          <w:spacing w:val="-23"/>
        </w:rPr>
        <w:t xml:space="preserve"> </w:t>
      </w:r>
      <w:r>
        <w:rPr>
          <w:spacing w:val="11"/>
        </w:rPr>
        <w:t>影  密度测量  第4部分：反射密度的</w:t>
      </w:r>
    </w:p>
    <w:p>
      <w:pPr>
        <w:pStyle w:val="BodyText"/>
        <w:spacing w:before="106" w:line="216" w:lineRule="auto"/>
        <w:ind w:left="40"/>
      </w:pPr>
      <w:r>
        <w:rPr>
          <w:spacing w:val="1"/>
        </w:rPr>
        <w:t>几何条件 (</w:t>
      </w:r>
      <w:r>
        <w:t>ISO</w:t>
      </w:r>
      <w:r>
        <w:rPr>
          <w:spacing w:val="20"/>
        </w:rPr>
        <w:t xml:space="preserve">     </w:t>
      </w:r>
      <w:r>
        <w:rPr>
          <w:spacing w:val="1"/>
        </w:rPr>
        <w:t>5-4:1995,</w:t>
      </w:r>
      <w:r>
        <w:t>IDT</w:t>
      </w:r>
      <w:r>
        <w:rPr>
          <w:spacing w:val="1"/>
        </w:rPr>
        <w:t>)</w:t>
      </w:r>
    </w:p>
    <w:p>
      <w:pPr>
        <w:pStyle w:val="BodyText"/>
        <w:spacing w:before="106" w:line="219" w:lineRule="auto"/>
        <w:ind w:right="12"/>
        <w:jc w:val="right"/>
      </w:pPr>
      <w:r>
        <w:t>GB</w:t>
      </w:r>
      <w:r>
        <w:rPr>
          <w:spacing w:val="12"/>
        </w:rPr>
        <w:t>/T   23649—2009/</w:t>
      </w:r>
      <w:r>
        <w:t>ISO</w:t>
      </w:r>
      <w:r>
        <w:rPr>
          <w:spacing w:val="24"/>
        </w:rPr>
        <w:t xml:space="preserve">   </w:t>
      </w:r>
      <w:r>
        <w:rPr>
          <w:spacing w:val="12"/>
        </w:rPr>
        <w:t>14981:2000  印刷</w:t>
      </w:r>
      <w:r>
        <w:rPr>
          <w:spacing w:val="11"/>
        </w:rPr>
        <w:t>技术</w:t>
      </w:r>
      <w:r>
        <w:rPr>
          <w:spacing w:val="15"/>
        </w:rPr>
        <w:t xml:space="preserve">  </w:t>
      </w:r>
      <w:r>
        <w:rPr>
          <w:spacing w:val="11"/>
        </w:rPr>
        <w:t>过程控制</w:t>
      </w:r>
      <w:r>
        <w:rPr>
          <w:spacing w:val="16"/>
        </w:rPr>
        <w:t xml:space="preserve">  </w:t>
      </w:r>
      <w:r>
        <w:rPr>
          <w:spacing w:val="11"/>
        </w:rPr>
        <w:t>印刷用反射密度计</w:t>
      </w:r>
    </w:p>
    <w:p>
      <w:pPr>
        <w:pStyle w:val="BodyText"/>
        <w:spacing w:before="96" w:line="216" w:lineRule="auto"/>
        <w:ind w:left="40"/>
      </w:pPr>
      <w:r>
        <w:rPr>
          <w:spacing w:val="7"/>
        </w:rPr>
        <w:t>的光学、几何学和测量学要求 (</w:t>
      </w:r>
      <w:r>
        <w:t>ISO</w:t>
      </w:r>
      <w:r>
        <w:rPr>
          <w:spacing w:val="7"/>
        </w:rPr>
        <w:t xml:space="preserve">      14981:2000,</w:t>
      </w:r>
      <w:r>
        <w:t>IDT</w:t>
      </w:r>
      <w:r>
        <w:rPr>
          <w:spacing w:val="7"/>
        </w:rPr>
        <w:t>)</w:t>
      </w:r>
    </w:p>
    <w:p>
      <w:pPr>
        <w:pStyle w:val="BodyText"/>
        <w:spacing w:before="125" w:line="260" w:lineRule="auto"/>
        <w:ind w:left="30" w:firstLine="499"/>
      </w:pPr>
      <w:r>
        <w:rPr>
          <w:spacing w:val="28"/>
        </w:rPr>
        <w:t>凡是注日期的引用文件，仅注日期的版本适用于本规范；凡</w:t>
      </w:r>
      <w:r>
        <w:rPr>
          <w:spacing w:val="27"/>
        </w:rPr>
        <w:t>是不注日期的引用文</w:t>
      </w:r>
      <w:r>
        <w:t xml:space="preserve"> </w:t>
      </w:r>
      <w:r>
        <w:rPr>
          <w:spacing w:val="28"/>
        </w:rPr>
        <w:t>件，其最新版本(包括所有的修改单)适用于本规范。</w:t>
      </w:r>
    </w:p>
    <w:p>
      <w:pPr>
        <w:spacing w:before="271" w:line="222" w:lineRule="auto"/>
        <w:ind w:left="3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7"/>
          <w:sz w:val="22"/>
          <w:szCs w:val="22"/>
        </w:rPr>
        <w:t>3</w:t>
      </w:r>
      <w:r>
        <w:rPr>
          <w:rFonts w:ascii="SimHei" w:eastAsia="SimHei" w:hAnsi="SimHei" w:cs="SimHei"/>
          <w:spacing w:val="17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7"/>
          <w:sz w:val="22"/>
          <w:szCs w:val="22"/>
        </w:rPr>
        <w:t>术语和计量单位</w:t>
      </w:r>
    </w:p>
    <w:p>
      <w:pPr>
        <w:pStyle w:val="BodyText"/>
        <w:spacing w:before="295" w:line="219" w:lineRule="auto"/>
        <w:ind w:left="40"/>
      </w:pPr>
      <w:r>
        <w:rPr>
          <w:spacing w:val="4"/>
        </w:rPr>
        <w:t>3.1  反射因数</w:t>
      </w:r>
      <w:r>
        <w:rPr>
          <w:spacing w:val="23"/>
        </w:rPr>
        <w:t xml:space="preserve"> </w:t>
      </w:r>
      <w:r>
        <w:rPr>
          <w:spacing w:val="4"/>
        </w:rPr>
        <w:t>(R)</w:t>
      </w:r>
      <w:r>
        <w:t>reflectance</w:t>
      </w:r>
      <w:r>
        <w:rPr>
          <w:spacing w:val="79"/>
        </w:rPr>
        <w:t xml:space="preserve"> </w:t>
      </w:r>
      <w:r>
        <w:t>factor</w:t>
      </w:r>
    </w:p>
    <w:p>
      <w:pPr>
        <w:pStyle w:val="BodyText"/>
        <w:spacing w:before="108" w:line="257" w:lineRule="auto"/>
        <w:ind w:left="30" w:right="1" w:firstLine="489"/>
      </w:pPr>
      <w:r>
        <w:rPr>
          <w:spacing w:val="21"/>
        </w:rPr>
        <w:t>在入射辐射的光谱组成、偏振状态和几何分布指定条件下，待测反射体在指定的圆</w:t>
      </w:r>
      <w:r>
        <w:rPr>
          <w:spacing w:val="3"/>
        </w:rPr>
        <w:t xml:space="preserve"> </w:t>
      </w:r>
      <w:r>
        <w:rPr>
          <w:spacing w:val="32"/>
        </w:rPr>
        <w:t>锥所限定的方向反射的辐通量(或光通量)与完全相同照射(或照明)条件下理想漫反</w:t>
      </w:r>
    </w:p>
    <w:p>
      <w:pPr>
        <w:pStyle w:val="BodyText"/>
        <w:spacing w:before="99" w:line="219" w:lineRule="auto"/>
        <w:ind w:left="40"/>
      </w:pPr>
      <w:r>
        <w:rPr>
          <w:spacing w:val="22"/>
        </w:rPr>
        <w:t>射体在同一方向反射的通量之比，见公式(1)。</w:t>
      </w:r>
    </w:p>
    <w:p>
      <w:pPr>
        <w:pStyle w:val="BodyText"/>
        <w:spacing w:before="262" w:line="222" w:lineRule="auto"/>
        <w:ind w:left="8839"/>
      </w:pPr>
      <w:r>
        <w:rPr>
          <w:spacing w:val="-11"/>
        </w:rPr>
        <w:t>(1)</w:t>
      </w:r>
    </w:p>
    <w:p>
      <w:pPr>
        <w:pStyle w:val="BodyText"/>
        <w:spacing w:before="253" w:line="220" w:lineRule="auto"/>
        <w:ind w:left="510"/>
      </w:pPr>
      <w:r>
        <w:rPr>
          <w:spacing w:val="-1"/>
        </w:rPr>
        <w:t>式中：</w:t>
      </w:r>
    </w:p>
    <w:p>
      <w:pPr>
        <w:pStyle w:val="BodyText"/>
        <w:spacing w:before="93" w:line="212" w:lineRule="auto"/>
        <w:ind w:left="529"/>
        <w:rPr>
          <w:rFonts w:ascii="Times New Roman" w:eastAsia="Times New Roman" w:hAnsi="Times New Roman" w:cs="Times New Roman"/>
        </w:rPr>
      </w:pPr>
      <w:r>
        <w:rPr>
          <w:spacing w:val="9"/>
        </w:rPr>
        <w:t>φ.——反射的辐通量或光通量，1</w:t>
      </w:r>
      <w:r>
        <w:rPr>
          <w:rFonts w:ascii="Times New Roman" w:eastAsia="Times New Roman" w:hAnsi="Times New Roman" w:cs="Times New Roman"/>
          <w:spacing w:val="9"/>
        </w:rPr>
        <w:t>m;</w:t>
      </w:r>
    </w:p>
    <w:p>
      <w:pPr>
        <w:pStyle w:val="BodyText"/>
        <w:spacing w:before="152" w:line="220" w:lineRule="auto"/>
        <w:ind w:left="510"/>
      </w:pPr>
      <w:r>
        <w:rPr>
          <w:spacing w:val="8"/>
        </w:rPr>
        <w:t xml:space="preserve">φ;——理想漫反射体在同一方向反射的通量， </w:t>
      </w:r>
      <w:r>
        <w:rPr>
          <w:rFonts w:ascii="Times New Roman" w:eastAsia="Times New Roman" w:hAnsi="Times New Roman" w:cs="Times New Roman"/>
        </w:rPr>
        <w:t>lm</w:t>
      </w:r>
      <w:r>
        <w:rPr>
          <w:spacing w:val="8"/>
        </w:rPr>
        <w:t>。</w:t>
      </w:r>
    </w:p>
    <w:p>
      <w:pPr>
        <w:pStyle w:val="BodyText"/>
        <w:spacing w:before="73" w:line="275" w:lineRule="auto"/>
        <w:ind w:left="519" w:right="3140" w:hanging="489"/>
      </w:pPr>
      <w:r>
        <w:rPr>
          <w:rFonts w:ascii="Times New Roman" w:eastAsia="Times New Roman" w:hAnsi="Times New Roman" w:cs="Times New Roman"/>
          <w:spacing w:val="3"/>
        </w:rPr>
        <w:t xml:space="preserve">3.2      </w:t>
      </w:r>
      <w:r>
        <w:rPr>
          <w:spacing w:val="3"/>
        </w:rPr>
        <w:t xml:space="preserve">反射密度 </w:t>
      </w:r>
      <w:r>
        <w:rPr>
          <w:rFonts w:ascii="Times New Roman" w:eastAsia="Times New Roman" w:hAnsi="Times New Roman" w:cs="Times New Roman"/>
          <w:spacing w:val="3"/>
        </w:rPr>
        <w:t>(</w:t>
      </w:r>
      <w:r>
        <w:rPr>
          <w:rFonts w:ascii="Times New Roman" w:eastAsia="Times New Roman" w:hAnsi="Times New Roman" w:cs="Times New Roman"/>
        </w:rPr>
        <w:t>Dg</w:t>
      </w:r>
      <w:r>
        <w:rPr>
          <w:rFonts w:ascii="Times New Roman" w:eastAsia="Times New Roman" w:hAnsi="Times New Roman" w:cs="Times New Roman"/>
          <w:spacing w:val="3"/>
        </w:rPr>
        <w:t>)</w:t>
      </w:r>
      <w:r>
        <w:rPr>
          <w:rFonts w:ascii="Times New Roman" w:eastAsia="Times New Roman" w:hAnsi="Times New Roman" w:cs="Times New Roman"/>
        </w:rPr>
        <w:t>reflectance</w:t>
      </w:r>
      <w:r>
        <w:rPr>
          <w:rFonts w:ascii="Times New Roman" w:eastAsia="Times New Roman" w:hAnsi="Times New Roman" w:cs="Times New Roman"/>
          <w:spacing w:val="3"/>
        </w:rPr>
        <w:t xml:space="preserve">                   </w:t>
      </w:r>
      <w:r>
        <w:rPr>
          <w:rFonts w:ascii="Times New Roman" w:eastAsia="Times New Roman" w:hAnsi="Times New Roman" w:cs="Times New Roman"/>
        </w:rPr>
        <w:t>factor</w:t>
      </w:r>
      <w:r>
        <w:rPr>
          <w:rFonts w:ascii="Times New Roman" w:eastAsia="Times New Roman" w:hAnsi="Times New Roman" w:cs="Times New Roman"/>
          <w:spacing w:val="3"/>
        </w:rPr>
        <w:t>(</w:t>
      </w:r>
      <w:r>
        <w:rPr>
          <w:rFonts w:ascii="Times New Roman" w:eastAsia="Times New Roman" w:hAnsi="Times New Roman" w:cs="Times New Roman"/>
        </w:rPr>
        <w:t>optical</w:t>
      </w:r>
      <w:r>
        <w:rPr>
          <w:rFonts w:ascii="Times New Roman" w:eastAsia="Times New Roman" w:hAnsi="Times New Roman" w:cs="Times New Roman"/>
          <w:spacing w:val="3"/>
        </w:rPr>
        <w:t>)</w:t>
      </w:r>
      <w:r>
        <w:rPr>
          <w:rFonts w:ascii="Times New Roman" w:eastAsia="Times New Roman" w:hAnsi="Times New Roman" w:cs="Times New Roman"/>
        </w:rPr>
        <w:t>density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25"/>
        </w:rPr>
        <w:t>反射因数的倒数取10为底的对数，即</w:t>
      </w:r>
    </w:p>
    <w:p>
      <w:pPr>
        <w:spacing w:before="90" w:line="510" w:lineRule="exact"/>
        <w:ind w:firstLine="3239"/>
      </w:pPr>
      <w:r>
        <w:rPr>
          <w:position w:val="-10"/>
        </w:rPr>
        <w:drawing>
          <wp:inline distT="0" distB="0" distL="0" distR="0">
            <wp:extent cx="1701858" cy="32388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1858" cy="323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0" w:line="220" w:lineRule="auto"/>
        <w:ind w:left="510"/>
      </w:pPr>
      <w:r>
        <w:rPr>
          <w:spacing w:val="-1"/>
        </w:rPr>
        <w:t>式中：</w:t>
      </w:r>
    </w:p>
    <w:p>
      <w:pPr>
        <w:pStyle w:val="BodyText"/>
        <w:spacing w:before="81" w:line="405" w:lineRule="exact"/>
        <w:ind w:left="519"/>
      </w:pPr>
      <w:r>
        <w:rPr>
          <w:rFonts w:ascii="Times New Roman" w:eastAsia="Times New Roman" w:hAnsi="Times New Roman" w:cs="Times New Roman"/>
          <w:position w:val="14"/>
        </w:rPr>
        <w:t>Dg</w:t>
      </w:r>
      <w:r>
        <w:rPr>
          <w:rFonts w:ascii="Times New Roman" w:eastAsia="Times New Roman" w:hAnsi="Times New Roman" w:cs="Times New Roman"/>
          <w:spacing w:val="21"/>
          <w:position w:val="14"/>
        </w:rPr>
        <w:t>——</w:t>
      </w:r>
      <w:r>
        <w:rPr>
          <w:rFonts w:ascii="Times New Roman" w:eastAsia="Times New Roman" w:hAnsi="Times New Roman" w:cs="Times New Roman"/>
          <w:spacing w:val="39"/>
          <w:w w:val="101"/>
          <w:position w:val="14"/>
        </w:rPr>
        <w:t xml:space="preserve"> </w:t>
      </w:r>
      <w:r>
        <w:rPr>
          <w:spacing w:val="21"/>
          <w:position w:val="14"/>
        </w:rPr>
        <w:t>反射密度，单位为1;</w:t>
      </w:r>
    </w:p>
    <w:p>
      <w:pPr>
        <w:pStyle w:val="BodyText"/>
        <w:spacing w:before="1" w:line="219" w:lineRule="auto"/>
        <w:ind w:left="649"/>
      </w:pPr>
      <w:r>
        <w:rPr>
          <w:spacing w:val="13"/>
        </w:rPr>
        <w:t>R—— 反射因数，单位为1。</w:t>
      </w:r>
    </w:p>
    <w:p>
      <w:pPr>
        <w:pStyle w:val="BodyText"/>
        <w:spacing w:before="83" w:line="212" w:lineRule="auto"/>
        <w:ind w:left="50"/>
        <w:rPr>
          <w:rFonts w:ascii="Times New Roman" w:eastAsia="Times New Roman" w:hAnsi="Times New Roman" w:cs="Times New Roman"/>
        </w:rPr>
        <w:sectPr>
          <w:headerReference w:type="default" r:id="rId6"/>
          <w:pgSz w:w="11920" w:h="16850"/>
          <w:pgMar w:top="1660" w:right="1327" w:bottom="0" w:left="1389" w:header="1390" w:footer="0" w:gutter="0"/>
          <w:cols w:space="708"/>
        </w:sectPr>
      </w:pPr>
      <w:r>
        <w:rPr>
          <w:rFonts w:ascii="Times New Roman" w:eastAsia="Times New Roman" w:hAnsi="Times New Roman" w:cs="Times New Roman"/>
          <w:spacing w:val="6"/>
        </w:rPr>
        <w:t xml:space="preserve">3.3     </w:t>
      </w:r>
      <w:r>
        <w:rPr>
          <w:spacing w:val="6"/>
        </w:rPr>
        <w:t>视觉密度</w:t>
      </w:r>
      <w:r>
        <w:rPr>
          <w:spacing w:val="19"/>
        </w:rPr>
        <w:t xml:space="preserve">  </w:t>
      </w:r>
      <w:r>
        <w:rPr>
          <w:rFonts w:ascii="Times New Roman" w:eastAsia="Times New Roman" w:hAnsi="Times New Roman" w:cs="Times New Roman"/>
        </w:rPr>
        <w:t>visual</w:t>
      </w:r>
      <w:r>
        <w:rPr>
          <w:rFonts w:ascii="Times New Roman" w:eastAsia="Times New Roman" w:hAnsi="Times New Roman" w:cs="Times New Roman"/>
          <w:spacing w:val="12"/>
        </w:rPr>
        <w:t xml:space="preserve">    </w:t>
      </w:r>
      <w:r>
        <w:rPr>
          <w:rFonts w:ascii="Times New Roman" w:eastAsia="Times New Roman" w:hAnsi="Times New Roman" w:cs="Times New Roman"/>
        </w:rPr>
        <w:t>density</w:t>
      </w:r>
    </w:p>
    <w:p>
      <w:pPr>
        <w:pStyle w:val="BodyText"/>
        <w:spacing w:before="130" w:line="216" w:lineRule="auto"/>
        <w:jc w:val="right"/>
      </w:pPr>
      <w:r>
        <w:rPr>
          <w:spacing w:val="9"/>
        </w:rPr>
        <w:t>用光谱响应度与</w:t>
      </w:r>
      <w:r>
        <w:rPr>
          <w:spacing w:val="-48"/>
        </w:rPr>
        <w:t xml:space="preserve"> </w:t>
      </w:r>
      <w:r>
        <w:t>CIEV</w:t>
      </w:r>
      <w:r>
        <w:rPr>
          <w:spacing w:val="9"/>
        </w:rPr>
        <w:t>(λ)  相符合的探测器测得的透射和反射密度〔</w:t>
      </w:r>
      <w:r>
        <w:t>JJF</w:t>
      </w:r>
      <w:r>
        <w:rPr>
          <w:spacing w:val="9"/>
        </w:rPr>
        <w:t xml:space="preserve"> 1032—2005,</w:t>
      </w:r>
    </w:p>
    <w:p>
      <w:pPr>
        <w:pStyle w:val="BodyText"/>
        <w:spacing w:before="91" w:line="212" w:lineRule="auto"/>
        <w:ind w:left="20"/>
      </w:pPr>
      <w:r>
        <w:rPr>
          <w:spacing w:val="4"/>
        </w:rPr>
        <w:t>一般术语4.87]。它用</w:t>
      </w:r>
      <w:r>
        <w:rPr>
          <w:rFonts w:ascii="Times New Roman" w:eastAsia="Times New Roman" w:hAnsi="Times New Roman" w:cs="Times New Roman"/>
        </w:rPr>
        <w:t>DR</w:t>
      </w:r>
      <w:r>
        <w:rPr>
          <w:rFonts w:ascii="Times New Roman" w:eastAsia="Times New Roman" w:hAnsi="Times New Roman" w:cs="Times New Roman"/>
          <w:spacing w:val="4"/>
        </w:rPr>
        <w:t>(</w:t>
      </w:r>
      <w:r>
        <w:rPr>
          <w:rFonts w:ascii="Times New Roman" w:eastAsia="Times New Roman" w:hAnsi="Times New Roman" w:cs="Times New Roman"/>
        </w:rPr>
        <w:t>SA</w:t>
      </w:r>
      <w:r>
        <w:rPr>
          <w:rFonts w:ascii="Times New Roman" w:eastAsia="Times New Roman" w:hAnsi="Times New Roman" w:cs="Times New Roman"/>
          <w:spacing w:val="4"/>
        </w:rPr>
        <w:t xml:space="preserve">:V)         </w:t>
      </w:r>
      <w:r>
        <w:rPr>
          <w:spacing w:val="4"/>
        </w:rPr>
        <w:t xml:space="preserve">来表示 </w:t>
      </w:r>
      <w:r>
        <w:rPr>
          <w:rFonts w:ascii="Times New Roman" w:eastAsia="Times New Roman" w:hAnsi="Times New Roman" w:cs="Times New Roman"/>
          <w:spacing w:val="4"/>
        </w:rPr>
        <w:t>[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4"/>
        </w:rPr>
        <w:t>/T          11501-2008/</w:t>
      </w:r>
      <w:r>
        <w:rPr>
          <w:rFonts w:ascii="Times New Roman" w:eastAsia="Times New Roman" w:hAnsi="Times New Roman" w:cs="Times New Roman"/>
        </w:rPr>
        <w:t>ISO</w:t>
      </w:r>
      <w:r>
        <w:rPr>
          <w:rFonts w:ascii="Times New Roman" w:eastAsia="Times New Roman" w:hAnsi="Times New Roman" w:cs="Times New Roman"/>
          <w:spacing w:val="4"/>
        </w:rPr>
        <w:t xml:space="preserve">         5-3:</w:t>
      </w:r>
      <w:r>
        <w:rPr>
          <w:rFonts w:ascii="Times New Roman" w:eastAsia="Times New Roman" w:hAnsi="Times New Roman" w:cs="Times New Roman"/>
          <w:spacing w:val="3"/>
        </w:rPr>
        <w:t>19958.1]</w:t>
      </w:r>
      <w:r>
        <w:rPr>
          <w:spacing w:val="3"/>
        </w:rPr>
        <w:t>。</w:t>
      </w:r>
    </w:p>
    <w:p>
      <w:pPr>
        <w:spacing w:line="212" w:lineRule="auto"/>
        <w:sectPr>
          <w:headerReference w:type="default" r:id="rId7"/>
          <w:type w:val="nextPage"/>
          <w:pgSz w:w="11920" w:h="16850"/>
          <w:pgMar w:top="1660" w:right="1327" w:bottom="0" w:left="1389" w:header="1390" w:footer="0" w:gutter="0"/>
          <w:pgNumType w:start="2"/>
          <w:cols w:space="708"/>
          <w:titlePg w:val="0"/>
        </w:sectPr>
      </w:pPr>
    </w:p>
    <w:p>
      <w:pPr>
        <w:pStyle w:val="BodyText"/>
        <w:spacing w:before="234" w:line="220" w:lineRule="auto"/>
        <w:ind w:left="470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z w:val="20"/>
          <w:szCs w:val="20"/>
        </w:rPr>
        <w:t>注</w:t>
      </w:r>
      <w:r>
        <w:rPr>
          <w:rFonts w:ascii="FangSong" w:eastAsia="FangSong" w:hAnsi="FangSong" w:cs="FangSong"/>
          <w:spacing w:val="-25"/>
          <w:sz w:val="20"/>
          <w:szCs w:val="20"/>
        </w:rPr>
        <w:t xml:space="preserve"> </w:t>
      </w:r>
      <w:r>
        <w:rPr>
          <w:rFonts w:ascii="FangSong" w:eastAsia="FangSong" w:hAnsi="FangSong" w:cs="FangSong"/>
          <w:sz w:val="20"/>
          <w:szCs w:val="20"/>
        </w:rPr>
        <w:t>：</w:t>
      </w:r>
      <w:r>
        <w:rPr>
          <w:sz w:val="20"/>
          <w:szCs w:val="20"/>
        </w:rPr>
        <w:t>SA</w:t>
      </w:r>
      <w:r>
        <w:rPr>
          <w:spacing w:val="28"/>
          <w:sz w:val="20"/>
          <w:szCs w:val="20"/>
        </w:rPr>
        <w:t xml:space="preserve"> </w:t>
      </w:r>
      <w:r>
        <w:rPr>
          <w:rFonts w:ascii="FangSong" w:eastAsia="FangSong" w:hAnsi="FangSong" w:cs="FangSong"/>
          <w:sz w:val="20"/>
          <w:szCs w:val="20"/>
        </w:rPr>
        <w:t>表示</w:t>
      </w:r>
      <w:r>
        <w:rPr>
          <w:rFonts w:ascii="FangSong" w:eastAsia="FangSong" w:hAnsi="FangSong" w:cs="FangSong"/>
          <w:spacing w:val="-35"/>
          <w:sz w:val="20"/>
          <w:szCs w:val="20"/>
        </w:rPr>
        <w:t xml:space="preserve"> </w:t>
      </w:r>
      <w:r>
        <w:rPr>
          <w:sz w:val="20"/>
          <w:szCs w:val="20"/>
        </w:rPr>
        <w:t xml:space="preserve">A </w:t>
      </w:r>
      <w:r>
        <w:rPr>
          <w:rFonts w:ascii="FangSong" w:eastAsia="FangSong" w:hAnsi="FangSong" w:cs="FangSong"/>
          <w:sz w:val="20"/>
          <w:szCs w:val="20"/>
        </w:rPr>
        <w:t>光源下的光谱功率分布，</w:t>
      </w:r>
      <w:r>
        <w:rPr>
          <w:rFonts w:ascii="FangSong" w:eastAsia="FangSong" w:hAnsi="FangSong" w:cs="FangSong"/>
          <w:sz w:val="20"/>
          <w:szCs w:val="20"/>
        </w:rPr>
        <w:t xml:space="preserve"> </w:t>
      </w:r>
      <w:r>
        <w:rPr>
          <w:sz w:val="20"/>
          <w:szCs w:val="20"/>
        </w:rPr>
        <w:t xml:space="preserve">V </w:t>
      </w:r>
      <w:r>
        <w:rPr>
          <w:rFonts w:ascii="FangSong" w:eastAsia="FangSong" w:hAnsi="FangSong" w:cs="FangSong"/>
          <w:sz w:val="20"/>
          <w:szCs w:val="20"/>
        </w:rPr>
        <w:t>表示视觉密度。</w:t>
      </w:r>
    </w:p>
    <w:p>
      <w:pPr>
        <w:pStyle w:val="BodyText"/>
        <w:spacing w:before="59" w:line="212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pacing w:val="-2"/>
          <w:sz w:val="24"/>
          <w:szCs w:val="24"/>
        </w:rPr>
        <w:t>3.4</w:t>
      </w:r>
      <w:r>
        <w:rPr>
          <w:spacing w:val="19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 xml:space="preserve">彩色密度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colour</w:t>
      </w:r>
      <w:r>
        <w:rPr>
          <w:rFonts w:ascii="Times New Roman" w:eastAsia="Times New Roman" w:hAnsi="Times New Roman" w:cs="Times New Roman"/>
          <w:spacing w:val="15"/>
          <w:w w:val="10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density</w:t>
      </w:r>
    </w:p>
    <w:p>
      <w:pPr>
        <w:pStyle w:val="BodyText"/>
        <w:spacing w:before="94" w:line="212" w:lineRule="auto"/>
        <w:ind w:left="47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pacing w:val="11"/>
          <w:sz w:val="24"/>
          <w:szCs w:val="24"/>
        </w:rPr>
        <w:t>黑和灰以外的颜色，而在印刷中以青、品红、黄为彩色三原色。它用</w:t>
      </w:r>
      <w:r>
        <w:rPr>
          <w:spacing w:val="-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Dg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SA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:</w:t>
      </w:r>
    </w:p>
    <w:p>
      <w:pPr>
        <w:pStyle w:val="BodyText"/>
        <w:spacing w:before="104" w:line="212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Tg);Dg(Sʌ:Tc);Dg(S₄:TR)                </w:t>
      </w:r>
      <w:r>
        <w:rPr>
          <w:spacing w:val="-1"/>
          <w:sz w:val="24"/>
          <w:szCs w:val="24"/>
        </w:rPr>
        <w:t>来表示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[GB/T   11501</w:t>
      </w:r>
      <w:r>
        <w:rPr>
          <w:spacing w:val="-2"/>
          <w:sz w:val="24"/>
          <w:szCs w:val="24"/>
        </w:rPr>
        <w:t>—2008/ISO  5-3:19958.5]。</w:t>
      </w:r>
    </w:p>
    <w:p>
      <w:pPr>
        <w:pStyle w:val="BodyText"/>
        <w:spacing w:before="97" w:line="278" w:lineRule="auto"/>
        <w:ind w:left="849" w:right="53" w:hanging="400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pacing w:val="1"/>
          <w:sz w:val="20"/>
          <w:szCs w:val="20"/>
        </w:rPr>
        <w:t>注</w:t>
      </w:r>
      <w:r>
        <w:rPr>
          <w:rFonts w:ascii="FangSong" w:eastAsia="FangSong" w:hAnsi="FangSong" w:cs="FangSong"/>
          <w:spacing w:val="-28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1"/>
          <w:sz w:val="20"/>
          <w:szCs w:val="20"/>
        </w:rPr>
        <w:t>：</w:t>
      </w:r>
      <w:r>
        <w:rPr>
          <w:rFonts w:ascii="Times New Roman" w:eastAsia="Times New Roman" w:hAnsi="Times New Roman" w:cs="Times New Roman"/>
          <w:sz w:val="20"/>
          <w:szCs w:val="20"/>
        </w:rPr>
        <w:t>SA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1"/>
          <w:sz w:val="20"/>
          <w:szCs w:val="20"/>
        </w:rPr>
        <w:t>表</w:t>
      </w:r>
      <w:r>
        <w:rPr>
          <w:rFonts w:ascii="FangSong" w:eastAsia="FangSong" w:hAnsi="FangSong" w:cs="FangSong"/>
          <w:spacing w:val="-37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1"/>
          <w:sz w:val="20"/>
          <w:szCs w:val="20"/>
        </w:rPr>
        <w:t>示</w:t>
      </w:r>
      <w:r>
        <w:rPr>
          <w:rFonts w:ascii="FangSong" w:eastAsia="FangSong" w:hAnsi="FangSong" w:cs="FangSong"/>
          <w:spacing w:val="-5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7"/>
          <w:w w:val="101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1"/>
          <w:sz w:val="20"/>
          <w:szCs w:val="20"/>
        </w:rPr>
        <w:t>光源下的光谱功率分布，</w:t>
      </w:r>
      <w:r>
        <w:rPr>
          <w:rFonts w:ascii="Times New Roman" w:eastAsia="Times New Roman" w:hAnsi="Times New Roman" w:cs="Times New Roman"/>
          <w:sz w:val="20"/>
          <w:szCs w:val="20"/>
        </w:rPr>
        <w:t>Tg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</w:t>
      </w:r>
      <w:r>
        <w:rPr>
          <w:rFonts w:ascii="FangSong" w:eastAsia="FangSong" w:hAnsi="FangSong" w:cs="FangSong"/>
          <w:spacing w:val="1"/>
          <w:sz w:val="20"/>
          <w:szCs w:val="20"/>
        </w:rPr>
        <w:t>表</w:t>
      </w:r>
      <w:r>
        <w:rPr>
          <w:rFonts w:ascii="FangSong" w:eastAsia="FangSong" w:hAnsi="FangSong" w:cs="FangSong"/>
          <w:spacing w:val="-26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1"/>
          <w:sz w:val="20"/>
          <w:szCs w:val="20"/>
        </w:rPr>
        <w:t>示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T  </w:t>
      </w:r>
      <w:r>
        <w:rPr>
          <w:rFonts w:ascii="FangSong" w:eastAsia="FangSong" w:hAnsi="FangSong" w:cs="FangSong"/>
          <w:spacing w:val="1"/>
          <w:sz w:val="20"/>
          <w:szCs w:val="20"/>
        </w:rPr>
        <w:t>状态反射密度的蓝光谱响应，</w:t>
      </w:r>
      <w:r>
        <w:rPr>
          <w:rFonts w:ascii="FangSong" w:eastAsia="FangSong" w:hAnsi="FangSong" w:cs="FangSong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</w:t>
      </w:r>
      <w:r>
        <w:rPr>
          <w:rFonts w:ascii="FangSong" w:eastAsia="FangSong" w:hAnsi="FangSong" w:cs="FangSong"/>
          <w:spacing w:val="1"/>
          <w:sz w:val="20"/>
          <w:szCs w:val="20"/>
        </w:rPr>
        <w:t>表</w:t>
      </w:r>
      <w:r>
        <w:rPr>
          <w:rFonts w:ascii="FangSong" w:eastAsia="FangSong" w:hAnsi="FangSong" w:cs="FangSong"/>
          <w:spacing w:val="-17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1"/>
          <w:sz w:val="20"/>
          <w:szCs w:val="20"/>
        </w:rPr>
        <w:t>示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T  </w:t>
      </w:r>
      <w:r>
        <w:rPr>
          <w:rFonts w:ascii="FangSong" w:eastAsia="FangSong" w:hAnsi="FangSong" w:cs="FangSong"/>
          <w:spacing w:val="1"/>
          <w:sz w:val="20"/>
          <w:szCs w:val="20"/>
        </w:rPr>
        <w:t>状</w:t>
      </w:r>
      <w:r>
        <w:rPr>
          <w:rFonts w:ascii="FangSong" w:eastAsia="FangSong" w:hAnsi="FangSong" w:cs="FangSong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8"/>
          <w:sz w:val="20"/>
          <w:szCs w:val="20"/>
        </w:rPr>
        <w:t>态反射密度的绿光谱响应，</w:t>
      </w:r>
      <w:r>
        <w:rPr>
          <w:sz w:val="20"/>
          <w:szCs w:val="20"/>
        </w:rPr>
        <w:t>TR</w:t>
      </w:r>
      <w:r>
        <w:rPr>
          <w:spacing w:val="8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8"/>
          <w:sz w:val="20"/>
          <w:szCs w:val="20"/>
        </w:rPr>
        <w:t>表示</w:t>
      </w:r>
      <w:r>
        <w:rPr>
          <w:rFonts w:ascii="FangSong" w:eastAsia="FangSong" w:hAnsi="FangSong" w:cs="FangSong"/>
          <w:spacing w:val="-52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 xml:space="preserve">T </w:t>
      </w:r>
      <w:r>
        <w:rPr>
          <w:rFonts w:ascii="FangSong" w:eastAsia="FangSong" w:hAnsi="FangSong" w:cs="FangSong"/>
          <w:spacing w:val="8"/>
          <w:sz w:val="20"/>
          <w:szCs w:val="20"/>
        </w:rPr>
        <w:t>状态反射密度的红光谱响应。</w:t>
      </w:r>
    </w:p>
    <w:p>
      <w:pPr>
        <w:spacing w:before="226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4</w:t>
      </w:r>
      <w:r>
        <w:rPr>
          <w:rFonts w:ascii="SimHei" w:eastAsia="SimHei" w:hAnsi="SimHei" w:cs="SimHei"/>
          <w:spacing w:val="11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概述</w:t>
      </w:r>
    </w:p>
    <w:p>
      <w:pPr>
        <w:pStyle w:val="BodyText"/>
        <w:spacing w:before="274" w:line="266" w:lineRule="auto"/>
        <w:ind w:right="60" w:firstLine="470"/>
        <w:jc w:val="both"/>
        <w:rPr>
          <w:sz w:val="24"/>
          <w:szCs w:val="24"/>
        </w:rPr>
      </w:pPr>
      <w:r>
        <w:rPr>
          <w:spacing w:val="7"/>
          <w:sz w:val="24"/>
          <w:szCs w:val="24"/>
        </w:rPr>
        <w:t>反射式光密度计(以下简称密度计)是通过测量物体表面反射特性来确定</w:t>
      </w:r>
      <w:r>
        <w:rPr>
          <w:spacing w:val="6"/>
          <w:sz w:val="24"/>
          <w:szCs w:val="24"/>
        </w:rPr>
        <w:t>物体反射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密度值的仪器。在印刷行业里反射式光密度计是用来控制产</w:t>
      </w:r>
      <w:r>
        <w:rPr>
          <w:spacing w:val="-1"/>
          <w:sz w:val="24"/>
          <w:szCs w:val="24"/>
        </w:rPr>
        <w:t>品质量的一种仪器。当印刷</w:t>
      </w:r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品上同一颜色的油墨厚度越厚，油墨吸收光的能力越大，反射光的能力就越小，测量得</w:t>
      </w:r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到的密度就越大，颜色就越深黑；当印刷品上同一油墨厚度越</w:t>
      </w:r>
      <w:r>
        <w:rPr>
          <w:spacing w:val="6"/>
          <w:sz w:val="24"/>
          <w:szCs w:val="24"/>
        </w:rPr>
        <w:t>薄，油墨吸收光的能力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小，反射光就越大，测量得到的密度就越小，颜色就越浅白。</w:t>
      </w:r>
    </w:p>
    <w:p>
      <w:pPr>
        <w:pStyle w:val="BodyText"/>
        <w:spacing w:before="71" w:line="266" w:lineRule="auto"/>
        <w:ind w:right="55" w:firstLine="470"/>
        <w:jc w:val="both"/>
        <w:rPr>
          <w:sz w:val="24"/>
          <w:szCs w:val="24"/>
        </w:rPr>
      </w:pPr>
      <w:r>
        <w:rPr>
          <w:spacing w:val="8"/>
          <w:sz w:val="24"/>
          <w:szCs w:val="24"/>
        </w:rPr>
        <w:t>仪器的测量原理是由一组入射角为45°的环形照射光或(垂直照射光</w:t>
      </w:r>
      <w:r>
        <w:rPr>
          <w:spacing w:val="7"/>
          <w:sz w:val="24"/>
          <w:szCs w:val="24"/>
        </w:rPr>
        <w:t>)照射物体表</w:t>
      </w:r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面，从物体表面反射的光由垂直或(45°环形几何位置上)的探测器采集，经过一组滤</w:t>
      </w:r>
      <w:r>
        <w:rPr>
          <w:spacing w:val="9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光片分光或者光栅、棱镜分光后，投射到感光器</w:t>
      </w:r>
      <w:r>
        <w:rPr>
          <w:spacing w:val="7"/>
          <w:sz w:val="24"/>
          <w:szCs w:val="24"/>
        </w:rPr>
        <w:t>上，光信号的强弱转化为电信号的大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小，通过数据采集器进行数据采集及处理，经过仪器里</w:t>
      </w:r>
      <w:r>
        <w:rPr>
          <w:spacing w:val="7"/>
          <w:sz w:val="24"/>
          <w:szCs w:val="24"/>
        </w:rPr>
        <w:t>设定的数学公式计算得出密度</w:t>
      </w:r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值，此两种条件测得的密度值是可逆的。密度计原理见图1、图2。</w:t>
      </w:r>
    </w:p>
    <w:p>
      <w:pPr>
        <w:pStyle w:val="BodyText"/>
        <w:spacing w:before="93" w:line="263" w:lineRule="auto"/>
        <w:ind w:right="56" w:firstLine="470"/>
        <w:jc w:val="both"/>
        <w:rPr>
          <w:sz w:val="24"/>
          <w:szCs w:val="24"/>
        </w:rPr>
      </w:pPr>
      <w:r>
        <w:rPr>
          <w:spacing w:val="6"/>
          <w:sz w:val="24"/>
          <w:szCs w:val="24"/>
        </w:rPr>
        <w:t>密度计照明光源的光谱功率分布应与国际照明委</w:t>
      </w:r>
      <w:r>
        <w:rPr>
          <w:spacing w:val="5"/>
          <w:sz w:val="24"/>
          <w:szCs w:val="24"/>
        </w:rPr>
        <w:t>员会规定的标准</w:t>
      </w:r>
      <w:r>
        <w:rPr>
          <w:spacing w:val="-7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A 光源一致，光</w:t>
      </w:r>
      <w:r>
        <w:rPr>
          <w:sz w:val="24"/>
          <w:szCs w:val="24"/>
        </w:rPr>
        <w:t xml:space="preserve"> </w:t>
      </w:r>
      <w:r>
        <w:rPr>
          <w:spacing w:val="29"/>
          <w:sz w:val="24"/>
          <w:szCs w:val="24"/>
        </w:rPr>
        <w:t>探测器光谱响应度应符合明视觉光谱光效率函数</w:t>
      </w:r>
      <w:r>
        <w:rPr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V(a),       </w:t>
      </w:r>
      <w:r>
        <w:rPr>
          <w:spacing w:val="29"/>
          <w:sz w:val="24"/>
          <w:szCs w:val="24"/>
        </w:rPr>
        <w:t>其光谱乘积应符合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GB/T  11501—2008的规定。彩色反射密度计进行青、品红、黄色测量时，青色用红色滤</w:t>
      </w:r>
      <w:r>
        <w:rPr>
          <w:spacing w:val="1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光片的红光谱响应，品红色用绿色滤光片的绿光谱响应，黄色用蓝色滤光片的蓝光响应。</w:t>
      </w:r>
    </w:p>
    <w:p>
      <w:pPr>
        <w:pStyle w:val="BodyText"/>
        <w:spacing w:before="125" w:line="4360" w:lineRule="exact"/>
        <w:ind w:firstLine="1630"/>
      </w:pPr>
      <w:r>
        <w:rPr>
          <w:position w:val="-87"/>
        </w:rPr>
        <w:pict>
          <v:group id="_x0000_i1025" style="width:302pt;height:218pt;mso-position-horizontal-relative:char;mso-position-vertical-relative:line" coordorigin="0,0" coordsize="6040,436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720;height:4360;left:319;position:absolute" filled="f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445;height:4008;left:-20;position:absolute;top:307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3059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探测器</w:t>
                    </w: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19" w:lineRule="auto"/>
                      <w:ind w:left="1859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16"/>
                        <w:szCs w:val="16"/>
                      </w:rPr>
                      <w:t>滤光片</w:t>
                    </w:r>
                  </w:p>
                  <w:p>
                    <w:pPr>
                      <w:spacing w:line="3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20" w:lineRule="auto"/>
                      <w:ind w:left="2289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透镜</w:t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18" w:lineRule="exact"/>
                      <w:ind w:right="17"/>
                      <w:jc w:val="right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position w:val="1"/>
                        <w:sz w:val="16"/>
                        <w:szCs w:val="16"/>
                      </w:rPr>
                      <w:t>45°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1"/>
                        <w:sz w:val="16"/>
                        <w:szCs w:val="16"/>
                      </w:rPr>
                      <w:t xml:space="preserve">                                    </w:t>
                    </w:r>
                    <w:r>
                      <w:rPr>
                        <w:rFonts w:ascii="SimSun" w:eastAsia="SimSun" w:hAnsi="SimSun" w:cs="SimSun"/>
                        <w:spacing w:val="1"/>
                        <w:position w:val="1"/>
                        <w:sz w:val="16"/>
                        <w:szCs w:val="16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2"/>
                        <w:position w:val="1"/>
                        <w:sz w:val="16"/>
                        <w:szCs w:val="16"/>
                      </w:rPr>
                      <w:t>45°</w:t>
                    </w:r>
                  </w:p>
                  <w:p>
                    <w:pPr>
                      <w:spacing w:before="86" w:line="219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样品</w:t>
                    </w:r>
                  </w:p>
                </w:txbxContent>
              </v:textbox>
            </v:shape>
            <v:shape id="_x0000_s1028" type="#_x0000_t75" style="width:171;height:300;left:1229;position:absolute;top:2180" filled="f" stroked="f">
              <v:imagedata r:id="rId9" o:title=""/>
            </v:shape>
            <v:shape id="_x0000_s1029" type="#_x0000_t202" style="width:352;height:200;left:399;position:absolute;top:2266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光源</w:t>
                    </w:r>
                  </w:p>
                </w:txbxContent>
              </v:textbox>
            </v:shape>
            <v:shape id="_x0000_s1030" type="#_x0000_t202" style="width:352;height:200;left:4629;position:absolute;top:2276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光源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6" w:line="222" w:lineRule="auto"/>
        <w:ind w:left="4470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pacing w:val="-5"/>
          <w:sz w:val="16"/>
          <w:szCs w:val="16"/>
        </w:rPr>
        <w:t>45°/0条件</w:t>
      </w:r>
    </w:p>
    <w:p>
      <w:pPr>
        <w:pStyle w:val="BodyText"/>
        <w:spacing w:before="191" w:line="221" w:lineRule="auto"/>
        <w:ind w:left="4390"/>
        <w:rPr>
          <w:sz w:val="20"/>
          <w:szCs w:val="20"/>
        </w:rPr>
      </w:pPr>
      <w:r>
        <w:rPr>
          <w:spacing w:val="-14"/>
          <w:sz w:val="20"/>
          <w:szCs w:val="20"/>
        </w:rPr>
        <w:t>图</w:t>
      </w:r>
      <w:r>
        <w:rPr>
          <w:spacing w:val="40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1</w:t>
      </w:r>
    </w:p>
    <w:p>
      <w:pPr>
        <w:spacing w:line="221" w:lineRule="auto"/>
        <w:rPr>
          <w:sz w:val="20"/>
          <w:szCs w:val="20"/>
        </w:rPr>
        <w:sectPr>
          <w:headerReference w:type="default" r:id="rId10"/>
          <w:footerReference w:type="default" r:id="rId11"/>
          <w:pgSz w:w="11920" w:h="16850"/>
          <w:pgMar w:top="1690" w:right="1310" w:bottom="1142" w:left="1389" w:header="1384" w:footer="983" w:gutter="0"/>
          <w:pgNumType w:start="3"/>
          <w:cols w:space="708"/>
        </w:sectPr>
      </w:pPr>
    </w:p>
    <w:p>
      <w:pPr>
        <w:spacing w:line="308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3666937</wp:posOffset>
                </wp:positionH>
                <wp:positionV relativeFrom="page">
                  <wp:posOffset>3000008</wp:posOffset>
                </wp:positionV>
                <wp:extent cx="254634" cy="147320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3666937" y="3000008"/>
                          <a:ext cx="254634" cy="147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5" w:line="219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pacing w:val="-4"/>
                                <w:sz w:val="14"/>
                                <w:szCs w:val="14"/>
                              </w:rPr>
                              <w:t>州</w:t>
                            </w:r>
                            <w:r>
                              <w:rPr>
                                <w:spacing w:val="9"/>
                                <w:sz w:val="14"/>
                                <w:szCs w:val="14"/>
                              </w:rPr>
                              <w:t xml:space="preserve">  </w:t>
                            </w:r>
                            <w:r>
                              <w:rPr>
                                <w:spacing w:val="-4"/>
                                <w:sz w:val="14"/>
                                <w:szCs w:val="14"/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31" type="#_x0000_t202" style="width:20.05pt;height:11.6pt;margin-top:236.22pt;margin-left:288.74pt;mso-position-horizontal-relative:page;mso-position-vertical-relative:page;mso-wrap-distance-bottom:0;mso-wrap-distance-left:0;mso-wrap-distance-right:0;mso-wrap-distance-top:0;position:absolute;rotation:90;v-text-anchor:top;z-index:25165926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5" w:line="219" w:lineRule="auto"/>
                        <w:ind w:left="2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pacing w:val="-4"/>
                          <w:sz w:val="14"/>
                          <w:szCs w:val="14"/>
                        </w:rPr>
                        <w:t>州</w:t>
                      </w:r>
                      <w:r>
                        <w:rPr>
                          <w:spacing w:val="9"/>
                          <w:sz w:val="14"/>
                          <w:szCs w:val="14"/>
                        </w:rPr>
                        <w:t xml:space="preserve">  </w:t>
                      </w:r>
                      <w:r>
                        <w:rPr>
                          <w:spacing w:val="-4"/>
                          <w:sz w:val="14"/>
                          <w:szCs w:val="14"/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line="4930" w:lineRule="exact"/>
        <w:ind w:firstLine="1520"/>
      </w:pPr>
      <w:r>
        <w:rPr>
          <w:position w:val="-98"/>
        </w:rPr>
        <w:pict>
          <v:group id="_x0000_i1032" style="width:310.5pt;height:246.5pt;mso-position-horizontal-relative:char;mso-position-vertical-relative:line" coordorigin="0,0" coordsize="6210,4930" filled="f" stroked="f">
            <v:shape id="_x0000_s1033" type="#_x0000_t75" style="width:6210;height:4930;position:absolute" filled="f" stroked="f">
              <v:imagedata r:id="rId12" o:title=""/>
            </v:shape>
            <v:shape id="_x0000_s1034" type="#_x0000_t202" style="width:4545;height:4460;left:380;position:absolute;top:416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79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pacing w:val="5"/>
                        <w:sz w:val="15"/>
                        <w:szCs w:val="15"/>
                      </w:rPr>
                      <w:t>探测器</w:t>
                    </w: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8" w:line="219" w:lineRule="auto"/>
                      <w:ind w:left="3509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15"/>
                        <w:szCs w:val="15"/>
                      </w:rPr>
                      <w:t>滤光片</w:t>
                    </w:r>
                  </w:p>
                  <w:p>
                    <w:pPr>
                      <w:spacing w:line="4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8" w:line="220" w:lineRule="auto"/>
                      <w:ind w:left="99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5"/>
                        <w:szCs w:val="15"/>
                      </w:rPr>
                      <w:t>透镜</w:t>
                    </w:r>
                  </w:p>
                  <w:p>
                    <w:pPr>
                      <w:spacing w:before="120" w:line="219" w:lineRule="auto"/>
                      <w:ind w:left="2109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15"/>
                        <w:szCs w:val="15"/>
                      </w:rPr>
                      <w:t>光源</w:t>
                    </w: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0"/>
                      <w:ind w:right="17"/>
                      <w:jc w:val="right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5"/>
                        <w:szCs w:val="15"/>
                      </w:rPr>
                      <w:t>45°</w:t>
                    </w:r>
                    <w:r>
                      <w:rPr>
                        <w:rFonts w:ascii="SimSun" w:eastAsia="SimSun" w:hAnsi="SimSun" w:cs="SimSun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15"/>
                        <w:szCs w:val="15"/>
                      </w:rPr>
                      <w:t>45°</w:t>
                    </w:r>
                  </w:p>
                  <w:p>
                    <w:pPr>
                      <w:spacing w:before="120" w:line="219" w:lineRule="auto"/>
                      <w:ind w:left="20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5"/>
                        <w:szCs w:val="15"/>
                      </w:rPr>
                      <w:t>样品</w:t>
                    </w:r>
                  </w:p>
                </w:txbxContent>
              </v:textbox>
            </v:shape>
            <v:shape id="_x0000_s1035" type="#_x0000_t75" style="width:390;height:570;left:3419;position:absolute;top:2239" filled="f" stroked="f">
              <v:imagedata r:id="rId13" o:title=""/>
            </v:shape>
            <v:shape id="_x0000_s1036" type="#_x0000_t202" style="width:485;height:190;left:4960;position:absolute;top:397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5"/>
                        <w:szCs w:val="15"/>
                      </w:rPr>
                      <w:t>探测器</w:t>
                    </w:r>
                  </w:p>
                </w:txbxContent>
              </v:textbox>
            </v:shape>
            <v:shape id="_x0000_s1037" type="#_x0000_t202" style="width:482;height:190;left:69;position:absolute;top:1555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5"/>
                        <w:szCs w:val="15"/>
                      </w:rPr>
                      <w:t>溏光片</w:t>
                    </w:r>
                  </w:p>
                </w:txbxContent>
              </v:textbox>
            </v:shape>
            <v:shape id="_x0000_s1038" type="#_x0000_t202" style="width:335;height:192;left:4210;position:absolute;top:2185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15"/>
                        <w:szCs w:val="15"/>
                      </w:rPr>
                      <w:t>透镜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85" w:lineRule="exact"/>
      </w:pPr>
    </w:p>
    <w:p>
      <w:pPr>
        <w:spacing w:line="85" w:lineRule="exact"/>
        <w:sectPr>
          <w:headerReference w:type="default" r:id="rId14"/>
          <w:footerReference w:type="default" r:id="rId15"/>
          <w:pgSz w:w="11920" w:h="16850"/>
          <w:pgMar w:top="1670" w:right="1335" w:bottom="1125" w:left="1359" w:header="1364" w:footer="976" w:gutter="0"/>
          <w:pgNumType w:start="4"/>
          <w:cols w:num="1" w:space="708" w:equalWidth="0">
            <w:col w:w="9226" w:space="0"/>
          </w:cols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65" w:line="221" w:lineRule="auto"/>
        <w:jc w:val="right"/>
        <w:rPr>
          <w:sz w:val="20"/>
          <w:szCs w:val="20"/>
        </w:rPr>
      </w:pPr>
      <w:r>
        <w:rPr>
          <w:spacing w:val="-25"/>
          <w:sz w:val="20"/>
          <w:szCs w:val="20"/>
        </w:rPr>
        <w:t>图</w:t>
      </w:r>
      <w:r>
        <w:rPr>
          <w:sz w:val="20"/>
          <w:szCs w:val="20"/>
        </w:rPr>
        <w:t xml:space="preserve"> </w:t>
      </w:r>
      <w:r>
        <w:rPr>
          <w:spacing w:val="-13"/>
          <w:sz w:val="20"/>
          <w:szCs w:val="20"/>
        </w:rPr>
        <w:t>2</w:t>
      </w:r>
    </w:p>
    <w:p>
      <w:pPr>
        <w:spacing w:before="297" w:line="222" w:lineRule="auto"/>
        <w:ind w:left="5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5</w:t>
      </w:r>
      <w:r>
        <w:rPr>
          <w:rFonts w:ascii="SimHei" w:eastAsia="SimHei" w:hAnsi="SimHei" w:cs="SimHei"/>
          <w:spacing w:val="9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计量特性</w:t>
      </w:r>
    </w:p>
    <w:p>
      <w:pPr>
        <w:pStyle w:val="BodyText"/>
        <w:spacing w:before="246" w:line="219" w:lineRule="auto"/>
        <w:ind w:left="50"/>
        <w:rPr>
          <w:sz w:val="24"/>
          <w:szCs w:val="24"/>
        </w:rPr>
      </w:pPr>
      <w:r>
        <w:rPr>
          <w:spacing w:val="1"/>
          <w:sz w:val="24"/>
          <w:szCs w:val="24"/>
        </w:rPr>
        <w:t>5.1</w:t>
      </w:r>
      <w:r>
        <w:rPr>
          <w:spacing w:val="10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示值误差</w:t>
      </w:r>
    </w:p>
    <w:p>
      <w:pPr>
        <w:pStyle w:val="BodyText"/>
        <w:spacing w:before="95" w:line="219" w:lineRule="auto"/>
        <w:ind w:left="520"/>
        <w:rPr>
          <w:sz w:val="24"/>
          <w:szCs w:val="24"/>
        </w:rPr>
      </w:pPr>
      <w:r>
        <w:rPr>
          <w:spacing w:val="6"/>
          <w:sz w:val="24"/>
          <w:szCs w:val="24"/>
        </w:rPr>
        <w:t>示值误差一般不超过表1的规定。</w:t>
      </w:r>
    </w:p>
    <w:p>
      <w:pPr>
        <w:spacing w:before="100" w:line="187" w:lineRule="auto"/>
        <w:ind w:left="371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8"/>
          <w:sz w:val="20"/>
          <w:szCs w:val="20"/>
        </w:rPr>
        <w:t>表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0"/>
          <w:szCs w:val="20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312" w:lineRule="exact"/>
        <w:ind w:left="447"/>
        <w:rPr>
          <w:sz w:val="15"/>
          <w:szCs w:val="15"/>
        </w:rPr>
      </w:pPr>
      <w:r>
        <w:rPr>
          <w:spacing w:val="-1"/>
          <w:position w:val="12"/>
          <w:sz w:val="15"/>
          <w:szCs w:val="15"/>
        </w:rPr>
        <w:t>0/45°条件</w:t>
      </w:r>
    </w:p>
    <w:p>
      <w:pPr>
        <w:pStyle w:val="BodyText"/>
        <w:spacing w:line="219" w:lineRule="auto"/>
        <w:ind w:left="107"/>
        <w:rPr>
          <w:sz w:val="20"/>
          <w:szCs w:val="20"/>
        </w:rPr>
      </w:pPr>
      <w:r>
        <w:rPr>
          <w:spacing w:val="13"/>
          <w:sz w:val="20"/>
          <w:szCs w:val="20"/>
        </w:rPr>
        <w:t>仪器原理图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66" w:line="187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仪器示值误差</w:t>
      </w:r>
    </w:p>
    <w:p>
      <w:pPr>
        <w:spacing w:line="187" w:lineRule="auto"/>
        <w:rPr>
          <w:rFonts w:ascii="SimHei" w:eastAsia="SimHei" w:hAnsi="SimHei" w:cs="SimHei"/>
          <w:sz w:val="20"/>
          <w:szCs w:val="20"/>
        </w:rPr>
        <w:sectPr>
          <w:headerReference w:type="default" r:id="rId16"/>
          <w:footerReference w:type="default" r:id="rId17"/>
          <w:type w:val="continuous"/>
          <w:pgSz w:w="11920" w:h="16850"/>
          <w:pgMar w:top="1670" w:right="1335" w:bottom="1125" w:left="1359" w:header="1364" w:footer="976" w:gutter="0"/>
          <w:pgNumType w:start="5"/>
          <w:cols w:num="2" w:space="708" w:equalWidth="0">
            <w:col w:w="4183" w:space="100"/>
            <w:col w:w="4943" w:space="0"/>
          </w:cols>
        </w:sectPr>
      </w:pPr>
    </w:p>
    <w:p>
      <w:pPr>
        <w:spacing w:line="147" w:lineRule="exact"/>
      </w:pPr>
    </w:p>
    <w:tbl>
      <w:tblPr>
        <w:tblStyle w:val="TableNormal0"/>
        <w:tblW w:w="9179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210"/>
        <w:gridCol w:w="4969"/>
      </w:tblGrid>
      <w:tr>
        <w:tblPrEx>
          <w:tblW w:w="9179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1"/>
        </w:trPr>
        <w:tc>
          <w:tcPr>
            <w:tcW w:w="4210" w:type="dxa"/>
            <w:vAlign w:val="top"/>
          </w:tcPr>
          <w:p>
            <w:pPr>
              <w:spacing w:before="114" w:line="220" w:lineRule="auto"/>
              <w:ind w:left="16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范</w:t>
            </w:r>
            <w:r>
              <w:rPr>
                <w:rFonts w:ascii="SimSun" w:eastAsia="SimSun" w:hAnsi="SimSun" w:cs="SimSun"/>
                <w:spacing w:val="15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围</w:t>
            </w:r>
          </w:p>
        </w:tc>
        <w:tc>
          <w:tcPr>
            <w:tcW w:w="4969" w:type="dxa"/>
            <w:vAlign w:val="top"/>
          </w:tcPr>
          <w:p>
            <w:pPr>
              <w:spacing w:before="113" w:line="219" w:lineRule="auto"/>
              <w:ind w:left="158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示值误差(单位为1)</w:t>
            </w:r>
          </w:p>
        </w:tc>
      </w:tr>
      <w:tr>
        <w:tblPrEx>
          <w:tblW w:w="9179" w:type="dxa"/>
          <w:tblInd w:w="40" w:type="dxa"/>
          <w:tblLayout w:type="fixed"/>
        </w:tblPrEx>
        <w:trPr>
          <w:trHeight w:val="397"/>
        </w:trPr>
        <w:tc>
          <w:tcPr>
            <w:tcW w:w="4210" w:type="dxa"/>
            <w:vAlign w:val="top"/>
          </w:tcPr>
          <w:p>
            <w:pPr>
              <w:spacing w:before="120" w:line="234" w:lineRule="auto"/>
              <w:ind w:left="15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0.0&lt;D≤1.0</w:t>
            </w:r>
          </w:p>
        </w:tc>
        <w:tc>
          <w:tcPr>
            <w:tcW w:w="4969" w:type="dxa"/>
            <w:vAlign w:val="top"/>
          </w:tcPr>
          <w:p>
            <w:pPr>
              <w:spacing w:before="120" w:line="234" w:lineRule="auto"/>
              <w:ind w:left="21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±0.04</w:t>
            </w:r>
          </w:p>
        </w:tc>
      </w:tr>
      <w:tr>
        <w:tblPrEx>
          <w:tblW w:w="9179" w:type="dxa"/>
          <w:tblInd w:w="40" w:type="dxa"/>
          <w:tblLayout w:type="fixed"/>
        </w:tblPrEx>
        <w:trPr>
          <w:trHeight w:val="412"/>
        </w:trPr>
        <w:tc>
          <w:tcPr>
            <w:tcW w:w="4210" w:type="dxa"/>
            <w:vAlign w:val="top"/>
          </w:tcPr>
          <w:p>
            <w:pPr>
              <w:spacing w:before="124" w:line="236" w:lineRule="auto"/>
              <w:ind w:left="15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1.0&lt;D≤2.0</w:t>
            </w:r>
          </w:p>
        </w:tc>
        <w:tc>
          <w:tcPr>
            <w:tcW w:w="4969" w:type="dxa"/>
            <w:vAlign w:val="top"/>
          </w:tcPr>
          <w:p>
            <w:pPr>
              <w:spacing w:before="123" w:line="235" w:lineRule="auto"/>
              <w:ind w:left="21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±0.05</w:t>
            </w:r>
          </w:p>
        </w:tc>
      </w:tr>
    </w:tbl>
    <w:p>
      <w:pPr>
        <w:pStyle w:val="BodyText"/>
        <w:spacing w:before="125" w:line="219" w:lineRule="auto"/>
        <w:ind w:left="50"/>
        <w:rPr>
          <w:sz w:val="24"/>
          <w:szCs w:val="24"/>
        </w:rPr>
      </w:pPr>
      <w:r>
        <w:rPr>
          <w:spacing w:val="-1"/>
          <w:sz w:val="24"/>
          <w:szCs w:val="24"/>
        </w:rPr>
        <w:t>5.2</w:t>
      </w:r>
      <w:r>
        <w:rPr>
          <w:spacing w:val="1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示值漂移</w:t>
      </w:r>
    </w:p>
    <w:p>
      <w:pPr>
        <w:pStyle w:val="BodyText"/>
        <w:spacing w:before="85" w:line="371" w:lineRule="exact"/>
        <w:ind w:left="520"/>
        <w:rPr>
          <w:sz w:val="24"/>
          <w:szCs w:val="24"/>
        </w:rPr>
      </w:pPr>
      <w:r>
        <w:rPr>
          <w:spacing w:val="4"/>
          <w:position w:val="9"/>
          <w:sz w:val="24"/>
          <w:szCs w:val="24"/>
        </w:rPr>
        <w:t xml:space="preserve">示值漂移每20 </w:t>
      </w:r>
      <w:r>
        <w:rPr>
          <w:rFonts w:ascii="Times New Roman" w:eastAsia="Times New Roman" w:hAnsi="Times New Roman" w:cs="Times New Roman"/>
          <w:position w:val="9"/>
          <w:sz w:val="24"/>
          <w:szCs w:val="24"/>
        </w:rPr>
        <w:t>min</w:t>
      </w:r>
      <w:r>
        <w:rPr>
          <w:spacing w:val="4"/>
          <w:position w:val="9"/>
          <w:sz w:val="24"/>
          <w:szCs w:val="24"/>
        </w:rPr>
        <w:t>一般不超过±0.02。</w:t>
      </w:r>
    </w:p>
    <w:p>
      <w:pPr>
        <w:pStyle w:val="BodyText"/>
        <w:spacing w:line="220" w:lineRule="auto"/>
        <w:ind w:left="50"/>
        <w:rPr>
          <w:sz w:val="24"/>
          <w:szCs w:val="24"/>
        </w:rPr>
        <w:sectPr>
          <w:headerReference w:type="default" r:id="rId18"/>
          <w:footerReference w:type="default" r:id="rId19"/>
          <w:type w:val="continuous"/>
          <w:pgSz w:w="11920" w:h="16850"/>
          <w:pgMar w:top="1670" w:right="1335" w:bottom="1125" w:left="1359" w:header="1364" w:footer="976" w:gutter="0"/>
          <w:pgNumType w:start="6"/>
          <w:cols w:num="1" w:space="708" w:equalWidth="0">
            <w:col w:w="9226" w:space="0"/>
          </w:cols>
        </w:sectPr>
      </w:pPr>
      <w:r>
        <w:rPr>
          <w:spacing w:val="-4"/>
          <w:sz w:val="24"/>
          <w:szCs w:val="24"/>
        </w:rPr>
        <w:t>5.3</w:t>
      </w:r>
      <w:r>
        <w:rPr>
          <w:spacing w:val="11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重复性</w:t>
      </w:r>
    </w:p>
    <w:p>
      <w:pPr>
        <w:pStyle w:val="BodyText"/>
        <w:spacing w:before="85" w:line="221" w:lineRule="auto"/>
        <w:ind w:left="520"/>
        <w:rPr>
          <w:sz w:val="24"/>
          <w:szCs w:val="24"/>
        </w:rPr>
      </w:pPr>
      <w:r>
        <w:rPr>
          <w:spacing w:val="2"/>
          <w:sz w:val="24"/>
          <w:szCs w:val="24"/>
        </w:rPr>
        <w:t>一般不超过0.02。</w:t>
      </w:r>
    </w:p>
    <w:p>
      <w:pPr>
        <w:pStyle w:val="BodyText"/>
        <w:spacing w:before="81" w:line="255" w:lineRule="auto"/>
        <w:ind w:left="50" w:right="44" w:firstLine="470"/>
        <w:rPr>
          <w:sz w:val="24"/>
          <w:szCs w:val="24"/>
        </w:rPr>
      </w:pPr>
      <w:r>
        <w:rPr>
          <w:spacing w:val="1"/>
          <w:sz w:val="24"/>
          <w:szCs w:val="24"/>
        </w:rPr>
        <w:t>被测对象的具体技术指标与以上性能有区别</w:t>
      </w:r>
      <w:r>
        <w:rPr>
          <w:sz w:val="24"/>
          <w:szCs w:val="24"/>
        </w:rPr>
        <w:t xml:space="preserve">时，以具体指标为计量性能要求。以上 </w:t>
      </w:r>
      <w:r>
        <w:rPr>
          <w:spacing w:val="-2"/>
          <w:sz w:val="24"/>
          <w:szCs w:val="24"/>
        </w:rPr>
        <w:t>性能要求不用于合格判定，仅供参考。</w:t>
      </w:r>
    </w:p>
    <w:p>
      <w:pPr>
        <w:spacing w:before="254" w:line="222" w:lineRule="auto"/>
        <w:ind w:left="5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6"/>
          <w:sz w:val="24"/>
          <w:szCs w:val="24"/>
        </w:rPr>
        <w:t>6</w:t>
      </w:r>
      <w:r>
        <w:rPr>
          <w:rFonts w:ascii="SimHei" w:eastAsia="SimHei" w:hAnsi="SimHei" w:cs="SimHei"/>
          <w:spacing w:val="5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4"/>
          <w:szCs w:val="24"/>
        </w:rPr>
        <w:t>校准条件</w:t>
      </w:r>
    </w:p>
    <w:p>
      <w:pPr>
        <w:pStyle w:val="BodyText"/>
        <w:spacing w:before="254" w:line="219" w:lineRule="auto"/>
        <w:ind w:left="50"/>
        <w:rPr>
          <w:sz w:val="24"/>
          <w:szCs w:val="24"/>
        </w:rPr>
      </w:pPr>
      <w:r>
        <w:rPr>
          <w:spacing w:val="-3"/>
          <w:sz w:val="24"/>
          <w:szCs w:val="24"/>
        </w:rPr>
        <w:t>6.1</w:t>
      </w:r>
      <w:r>
        <w:rPr>
          <w:spacing w:val="11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环境条件</w:t>
      </w:r>
    </w:p>
    <w:p>
      <w:pPr>
        <w:pStyle w:val="BodyText"/>
        <w:spacing w:before="15" w:line="425" w:lineRule="exact"/>
        <w:ind w:left="520"/>
        <w:rPr>
          <w:rFonts w:ascii="Arial" w:eastAsia="Arial" w:hAnsi="Arial" w:cs="Arial"/>
          <w:sz w:val="24"/>
          <w:szCs w:val="24"/>
        </w:rPr>
      </w:pPr>
      <w:r>
        <w:rPr>
          <w:position w:val="10"/>
          <w:sz w:val="24"/>
          <w:szCs w:val="24"/>
        </w:rPr>
        <w:t>环境温度：</w:t>
      </w:r>
      <w:r>
        <w:rPr>
          <w:rFonts w:ascii="Times New Roman" w:eastAsia="Times New Roman" w:hAnsi="Times New Roman" w:cs="Times New Roman"/>
          <w:position w:val="10"/>
          <w:sz w:val="24"/>
          <w:szCs w:val="24"/>
        </w:rPr>
        <w:t>(20±5</w:t>
      </w:r>
      <w:r>
        <w:rPr>
          <w:rFonts w:ascii="Times New Roman" w:eastAsia="Times New Roman" w:hAnsi="Times New Roman" w:cs="Times New Roman"/>
          <w:spacing w:val="21"/>
          <w:position w:val="10"/>
          <w:sz w:val="24"/>
          <w:szCs w:val="24"/>
        </w:rPr>
        <w:t xml:space="preserve">  </w:t>
      </w:r>
      <w:r>
        <w:rPr>
          <w:rFonts w:ascii="Arial" w:eastAsia="Arial" w:hAnsi="Arial" w:cs="Arial"/>
          <w:position w:val="10"/>
          <w:sz w:val="24"/>
          <w:szCs w:val="24"/>
        </w:rPr>
        <w:t>)</w:t>
      </w:r>
      <w:r>
        <w:rPr>
          <w:position w:val="10"/>
          <w:sz w:val="24"/>
          <w:szCs w:val="24"/>
        </w:rPr>
        <w:t>℃</w:t>
      </w:r>
      <w:r>
        <w:rPr>
          <w:rFonts w:ascii="Arial" w:eastAsia="Arial" w:hAnsi="Arial" w:cs="Arial"/>
          <w:position w:val="10"/>
          <w:sz w:val="24"/>
          <w:szCs w:val="24"/>
        </w:rPr>
        <w:t>;</w:t>
      </w:r>
    </w:p>
    <w:p>
      <w:pPr>
        <w:pStyle w:val="BodyText"/>
        <w:spacing w:line="212" w:lineRule="auto"/>
        <w:ind w:left="5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pacing w:val="-3"/>
          <w:sz w:val="24"/>
          <w:szCs w:val="24"/>
        </w:rPr>
        <w:t>相对湿度：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≤80%;</w:t>
      </w:r>
    </w:p>
    <w:p>
      <w:pPr>
        <w:pStyle w:val="BodyText"/>
        <w:spacing w:before="106" w:line="184" w:lineRule="auto"/>
        <w:ind w:left="523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周围环境无影响密度计正常工作的电磁场干扰和震动，无直接阳光照</w:t>
      </w:r>
      <w:r>
        <w:rPr>
          <w:b/>
          <w:bCs/>
          <w:spacing w:val="-4"/>
          <w:sz w:val="24"/>
          <w:szCs w:val="24"/>
        </w:rPr>
        <w:t>射。</w:t>
      </w:r>
    </w:p>
    <w:p>
      <w:pPr>
        <w:spacing w:line="184" w:lineRule="auto"/>
        <w:rPr>
          <w:sz w:val="24"/>
          <w:szCs w:val="24"/>
        </w:rPr>
        <w:sectPr>
          <w:headerReference w:type="default" r:id="rId20"/>
          <w:footerReference w:type="default" r:id="rId21"/>
          <w:type w:val="nextPage"/>
          <w:pgSz w:w="11920" w:h="16850"/>
          <w:pgMar w:top="1670" w:right="1335" w:bottom="1125" w:left="1359" w:header="1364" w:footer="976" w:gutter="0"/>
          <w:pgNumType w:start="7"/>
          <w:cols w:num="1" w:space="708" w:equalWidth="0">
            <w:col w:w="9226" w:space="0"/>
          </w:cols>
          <w:titlePg w:val="0"/>
        </w:sectPr>
      </w:pPr>
    </w:p>
    <w:p>
      <w:pPr>
        <w:pStyle w:val="BodyText"/>
        <w:spacing w:before="220" w:line="220" w:lineRule="auto"/>
        <w:rPr>
          <w:sz w:val="23"/>
          <w:szCs w:val="23"/>
        </w:rPr>
      </w:pPr>
      <w:r>
        <w:rPr>
          <w:sz w:val="23"/>
          <w:szCs w:val="23"/>
        </w:rPr>
        <w:t>6.2</w:t>
      </w:r>
      <w:r>
        <w:rPr>
          <w:spacing w:val="22"/>
          <w:sz w:val="23"/>
          <w:szCs w:val="23"/>
        </w:rPr>
        <w:t xml:space="preserve">  </w:t>
      </w:r>
      <w:r>
        <w:rPr>
          <w:sz w:val="23"/>
          <w:szCs w:val="23"/>
        </w:rPr>
        <w:t>校准设备</w:t>
      </w:r>
    </w:p>
    <w:p>
      <w:pPr>
        <w:pStyle w:val="BodyText"/>
        <w:spacing w:before="101" w:line="251" w:lineRule="auto"/>
        <w:ind w:right="35" w:firstLine="459"/>
        <w:rPr>
          <w:sz w:val="23"/>
          <w:szCs w:val="23"/>
        </w:rPr>
      </w:pPr>
      <w:r>
        <w:rPr>
          <w:spacing w:val="15"/>
          <w:sz w:val="23"/>
          <w:szCs w:val="23"/>
        </w:rPr>
        <w:t>黑白标准反射板，量程范围(0～2),包含密度值约为0.0、0.1、0.2、0.3、0.</w:t>
      </w:r>
      <w:r>
        <w:rPr>
          <w:spacing w:val="14"/>
          <w:sz w:val="23"/>
          <w:szCs w:val="23"/>
        </w:rPr>
        <w:t>5、</w:t>
      </w:r>
      <w:r>
        <w:rPr>
          <w:sz w:val="23"/>
          <w:szCs w:val="23"/>
        </w:rPr>
        <w:t xml:space="preserve"> </w:t>
      </w:r>
      <w:r>
        <w:rPr>
          <w:spacing w:val="12"/>
          <w:sz w:val="23"/>
          <w:szCs w:val="23"/>
        </w:rPr>
        <w:t>0.7、1.0、1.3、1.6、2.0一共10级密度值的标准板。</w:t>
      </w:r>
    </w:p>
    <w:p>
      <w:pPr>
        <w:pStyle w:val="BodyText"/>
        <w:spacing w:before="77" w:line="254" w:lineRule="auto"/>
        <w:ind w:right="97" w:firstLine="459"/>
        <w:rPr>
          <w:sz w:val="23"/>
          <w:szCs w:val="23"/>
        </w:rPr>
      </w:pPr>
      <w:r>
        <w:rPr>
          <w:spacing w:val="11"/>
          <w:sz w:val="23"/>
          <w:szCs w:val="23"/>
        </w:rPr>
        <w:t>彩色反射标准板，它的颜色有品红、黄、青，用</w:t>
      </w:r>
      <w:r>
        <w:rPr>
          <w:spacing w:val="10"/>
          <w:sz w:val="23"/>
          <w:szCs w:val="23"/>
        </w:rPr>
        <w:t>于反射密度计彩色通道的示值误差</w:t>
      </w:r>
      <w:r>
        <w:rPr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的校准。品红、黄、青色坐标见表2。</w:t>
      </w:r>
    </w:p>
    <w:p>
      <w:pPr>
        <w:spacing w:before="83" w:line="221" w:lineRule="auto"/>
        <w:ind w:left="325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6"/>
          <w:w w:val="97"/>
          <w:sz w:val="23"/>
          <w:szCs w:val="23"/>
        </w:rPr>
        <w:t>表</w:t>
      </w:r>
      <w:r>
        <w:rPr>
          <w:rFonts w:ascii="SimHei" w:eastAsia="SimHei" w:hAnsi="SimHei" w:cs="SimHei"/>
          <w:spacing w:val="-29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6"/>
          <w:w w:val="97"/>
          <w:sz w:val="23"/>
          <w:szCs w:val="23"/>
        </w:rPr>
        <w:t>2</w:t>
      </w:r>
      <w:r>
        <w:rPr>
          <w:rFonts w:ascii="SimHei" w:eastAsia="SimHei" w:hAnsi="SimHei" w:cs="SimHei"/>
          <w:spacing w:val="88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6"/>
          <w:w w:val="97"/>
          <w:sz w:val="23"/>
          <w:szCs w:val="23"/>
        </w:rPr>
        <w:t>彩色标准反射板色坐标</w:t>
      </w:r>
    </w:p>
    <w:p>
      <w:pPr>
        <w:spacing w:line="75" w:lineRule="exact"/>
      </w:pPr>
    </w:p>
    <w:tbl>
      <w:tblPr>
        <w:tblStyle w:val="TableNormal1"/>
        <w:tblW w:w="914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73"/>
        <w:gridCol w:w="1788"/>
        <w:gridCol w:w="1778"/>
        <w:gridCol w:w="1788"/>
        <w:gridCol w:w="2013"/>
      </w:tblGrid>
      <w:tr>
        <w:tblPrEx>
          <w:tblW w:w="914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32"/>
        </w:trPr>
        <w:tc>
          <w:tcPr>
            <w:tcW w:w="1773" w:type="dxa"/>
            <w:tcBorders>
              <w:tl2br w:val="single" w:sz="4" w:space="0" w:color="000000"/>
            </w:tcBorders>
            <w:vAlign w:val="top"/>
          </w:tcPr>
          <w:p>
            <w:pPr>
              <w:pStyle w:val="TableText"/>
              <w:spacing w:before="164" w:line="220" w:lineRule="auto"/>
              <w:ind w:left="1004"/>
            </w:pPr>
            <w:r>
              <w:rPr>
                <w:spacing w:val="-3"/>
              </w:rPr>
              <w:t>色坐标</w:t>
            </w:r>
          </w:p>
          <w:p>
            <w:pPr>
              <w:pStyle w:val="TableText"/>
              <w:spacing w:before="58" w:line="221" w:lineRule="auto"/>
              <w:ind w:left="254"/>
            </w:pPr>
            <w:r>
              <w:rPr>
                <w:spacing w:val="-2"/>
              </w:rPr>
              <w:t>颜色</w:t>
            </w:r>
          </w:p>
        </w:tc>
        <w:tc>
          <w:tcPr>
            <w:tcW w:w="178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2" w:lineRule="auto"/>
              <w:ind w:left="772"/>
            </w:pPr>
            <w:r>
              <w:rPr>
                <w:spacing w:val="-2"/>
              </w:rPr>
              <w:t>L*</w:t>
            </w:r>
          </w:p>
        </w:tc>
        <w:tc>
          <w:tcPr>
            <w:tcW w:w="177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/>
              <w:ind w:left="774"/>
            </w:pPr>
            <w:r>
              <w:rPr>
                <w:spacing w:val="-3"/>
              </w:rPr>
              <w:t>a"</w:t>
            </w:r>
          </w:p>
        </w:tc>
        <w:tc>
          <w:tcPr>
            <w:tcW w:w="178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/>
              <w:ind w:left="775"/>
            </w:pPr>
            <w:r>
              <w:rPr>
                <w:spacing w:val="-2"/>
              </w:rPr>
              <w:t>b*</w:t>
            </w:r>
          </w:p>
        </w:tc>
        <w:tc>
          <w:tcPr>
            <w:tcW w:w="201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67"/>
            </w:pPr>
            <w:r>
              <w:rPr>
                <w:spacing w:val="-3"/>
              </w:rPr>
              <w:t>密度值</w:t>
            </w:r>
          </w:p>
        </w:tc>
      </w:tr>
      <w:tr>
        <w:tblPrEx>
          <w:tblW w:w="9140" w:type="dxa"/>
          <w:tblInd w:w="29" w:type="dxa"/>
          <w:tblLayout w:type="fixed"/>
        </w:tblPrEx>
        <w:trPr>
          <w:trHeight w:val="408"/>
        </w:trPr>
        <w:tc>
          <w:tcPr>
            <w:tcW w:w="1773" w:type="dxa"/>
            <w:vAlign w:val="top"/>
          </w:tcPr>
          <w:p>
            <w:pPr>
              <w:pStyle w:val="TableText"/>
              <w:spacing w:before="100" w:line="219" w:lineRule="auto"/>
              <w:ind w:left="765"/>
            </w:pPr>
            <w:r>
              <w:t>青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158" w:line="183" w:lineRule="auto"/>
              <w:ind w:left="772"/>
            </w:pPr>
            <w:r>
              <w:rPr>
                <w:spacing w:val="-4"/>
              </w:rPr>
              <w:t>54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58" w:line="183" w:lineRule="auto"/>
              <w:ind w:left="713"/>
            </w:pPr>
            <w:r>
              <w:rPr>
                <w:spacing w:val="-2"/>
              </w:rPr>
              <w:t>-37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158" w:line="183" w:lineRule="auto"/>
              <w:ind w:left="726"/>
            </w:pPr>
            <w:r>
              <w:rPr>
                <w:spacing w:val="-2"/>
              </w:rPr>
              <w:t>-50</w:t>
            </w:r>
          </w:p>
        </w:tc>
        <w:tc>
          <w:tcPr>
            <w:tcW w:w="2013" w:type="dxa"/>
            <w:vAlign w:val="top"/>
          </w:tcPr>
          <w:p>
            <w:pPr>
              <w:pStyle w:val="TableText"/>
              <w:spacing w:before="158" w:line="183" w:lineRule="auto"/>
              <w:ind w:left="838"/>
            </w:pPr>
            <w:r>
              <w:rPr>
                <w:spacing w:val="-3"/>
              </w:rPr>
              <w:t>0.7</w:t>
            </w:r>
          </w:p>
        </w:tc>
      </w:tr>
      <w:tr>
        <w:tblPrEx>
          <w:tblW w:w="9140" w:type="dxa"/>
          <w:tblInd w:w="29" w:type="dxa"/>
          <w:tblLayout w:type="fixed"/>
        </w:tblPrEx>
        <w:trPr>
          <w:trHeight w:val="409"/>
        </w:trPr>
        <w:tc>
          <w:tcPr>
            <w:tcW w:w="1773" w:type="dxa"/>
            <w:vAlign w:val="top"/>
          </w:tcPr>
          <w:p>
            <w:pPr>
              <w:pStyle w:val="TableText"/>
              <w:spacing w:before="108" w:line="224" w:lineRule="auto"/>
              <w:ind w:left="655"/>
            </w:pPr>
            <w:r>
              <w:rPr>
                <w:spacing w:val="5"/>
              </w:rPr>
              <w:t>品红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160" w:line="183" w:lineRule="auto"/>
              <w:ind w:left="772"/>
            </w:pPr>
            <w:r>
              <w:rPr>
                <w:spacing w:val="-2"/>
              </w:rPr>
              <w:t>47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61" w:line="182" w:lineRule="auto"/>
              <w:ind w:left="774"/>
            </w:pPr>
            <w:r>
              <w:rPr>
                <w:spacing w:val="-4"/>
              </w:rPr>
              <w:t>75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160" w:line="183" w:lineRule="auto"/>
              <w:ind w:left="775"/>
            </w:pPr>
            <w:r>
              <w:rPr>
                <w:spacing w:val="-2"/>
              </w:rPr>
              <w:t>-6</w:t>
            </w:r>
          </w:p>
        </w:tc>
        <w:tc>
          <w:tcPr>
            <w:tcW w:w="2013" w:type="dxa"/>
            <w:vAlign w:val="top"/>
          </w:tcPr>
          <w:p>
            <w:pPr>
              <w:pStyle w:val="TableText"/>
              <w:spacing w:before="160" w:line="183" w:lineRule="auto"/>
              <w:ind w:left="838"/>
            </w:pPr>
            <w:r>
              <w:rPr>
                <w:spacing w:val="-3"/>
              </w:rPr>
              <w:t>0.8</w:t>
            </w:r>
          </w:p>
        </w:tc>
      </w:tr>
      <w:tr>
        <w:tblPrEx>
          <w:tblW w:w="9140" w:type="dxa"/>
          <w:tblInd w:w="29" w:type="dxa"/>
          <w:tblLayout w:type="fixed"/>
        </w:tblPrEx>
        <w:trPr>
          <w:trHeight w:val="399"/>
        </w:trPr>
        <w:tc>
          <w:tcPr>
            <w:tcW w:w="1773" w:type="dxa"/>
            <w:vAlign w:val="top"/>
          </w:tcPr>
          <w:p>
            <w:pPr>
              <w:pStyle w:val="TableText"/>
              <w:spacing w:before="95" w:line="219" w:lineRule="auto"/>
              <w:ind w:left="765"/>
            </w:pPr>
            <w:r>
              <w:t>黄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151" w:line="183" w:lineRule="auto"/>
              <w:ind w:left="772"/>
            </w:pPr>
            <w:r>
              <w:rPr>
                <w:spacing w:val="-3"/>
              </w:rPr>
              <w:t>88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51" w:line="183" w:lineRule="auto"/>
              <w:ind w:left="774"/>
            </w:pPr>
            <w:r>
              <w:rPr>
                <w:spacing w:val="-2"/>
              </w:rPr>
              <w:t>-6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151" w:line="183" w:lineRule="auto"/>
              <w:ind w:left="775"/>
            </w:pPr>
            <w:r>
              <w:rPr>
                <w:spacing w:val="-3"/>
              </w:rPr>
              <w:t>95</w:t>
            </w:r>
          </w:p>
        </w:tc>
        <w:tc>
          <w:tcPr>
            <w:tcW w:w="2013" w:type="dxa"/>
            <w:vAlign w:val="top"/>
          </w:tcPr>
          <w:p>
            <w:pPr>
              <w:pStyle w:val="TableText"/>
              <w:spacing w:before="150" w:line="184" w:lineRule="auto"/>
              <w:ind w:left="838"/>
            </w:pPr>
            <w:r>
              <w:rPr>
                <w:spacing w:val="-3"/>
              </w:rPr>
              <w:t>0.1</w:t>
            </w:r>
          </w:p>
        </w:tc>
      </w:tr>
      <w:tr>
        <w:tblPrEx>
          <w:tblW w:w="9140" w:type="dxa"/>
          <w:tblInd w:w="29" w:type="dxa"/>
          <w:tblLayout w:type="fixed"/>
        </w:tblPrEx>
        <w:trPr>
          <w:trHeight w:val="1151"/>
        </w:trPr>
        <w:tc>
          <w:tcPr>
            <w:tcW w:w="9140" w:type="dxa"/>
            <w:gridSpan w:val="5"/>
            <w:vAlign w:val="top"/>
          </w:tcPr>
          <w:p>
            <w:pPr>
              <w:pStyle w:val="TableText"/>
              <w:spacing w:before="144" w:line="219" w:lineRule="auto"/>
              <w:ind w:left="105"/>
            </w:pPr>
            <w:r>
              <w:t>测量在黑色衬底，2°视场标准观察者、D50光源、0/45或45/0几何条件下进行。</w:t>
            </w:r>
          </w:p>
          <w:p>
            <w:pPr>
              <w:pStyle w:val="TableText"/>
              <w:spacing w:before="68" w:line="250" w:lineRule="auto"/>
              <w:ind w:left="105" w:right="335"/>
            </w:pPr>
            <w:r>
              <w:rPr>
                <w:spacing w:val="2"/>
              </w:rPr>
              <w:t>L*、a*、b*测量值与表内给出的L"、a*、b*数值的允差在士5以内，青色密度值范围(0.6~</w:t>
            </w:r>
            <w:r>
              <w:rPr>
                <w:spacing w:val="12"/>
              </w:rPr>
              <w:t xml:space="preserve"> </w:t>
            </w:r>
            <w:r>
              <w:t>0.8),品红色密度范围(0.7～0.9),黄色密度值范围(0.1～0.2)。</w:t>
            </w:r>
          </w:p>
        </w:tc>
      </w:tr>
    </w:tbl>
    <w:p>
      <w:pPr>
        <w:pStyle w:val="BodyText"/>
        <w:spacing w:before="133" w:line="219" w:lineRule="auto"/>
        <w:ind w:left="459"/>
        <w:rPr>
          <w:sz w:val="23"/>
          <w:szCs w:val="23"/>
        </w:rPr>
      </w:pPr>
      <w:r>
        <w:rPr>
          <w:spacing w:val="9"/>
          <w:sz w:val="23"/>
          <w:szCs w:val="23"/>
        </w:rPr>
        <w:t>黑白标准反射板及彩色标准反射板必须经过溯源，其年稳定性≤0.01。</w:t>
      </w:r>
    </w:p>
    <w:p>
      <w:pPr>
        <w:spacing w:before="233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3"/>
          <w:sz w:val="23"/>
          <w:szCs w:val="23"/>
        </w:rPr>
        <w:t>7</w:t>
      </w:r>
      <w:r>
        <w:rPr>
          <w:rFonts w:ascii="SimHei" w:eastAsia="SimHei" w:hAnsi="SimHei" w:cs="SimHei"/>
          <w:spacing w:val="17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3"/>
          <w:szCs w:val="23"/>
        </w:rPr>
        <w:t>校准项目和校准方法</w:t>
      </w:r>
    </w:p>
    <w:p>
      <w:pPr>
        <w:pStyle w:val="BodyText"/>
        <w:spacing w:before="280" w:line="220" w:lineRule="auto"/>
        <w:rPr>
          <w:sz w:val="23"/>
          <w:szCs w:val="23"/>
        </w:rPr>
      </w:pPr>
      <w:r>
        <w:rPr>
          <w:sz w:val="23"/>
          <w:szCs w:val="23"/>
        </w:rPr>
        <w:t>7.1</w:t>
      </w:r>
      <w:r>
        <w:rPr>
          <w:spacing w:val="32"/>
          <w:sz w:val="23"/>
          <w:szCs w:val="23"/>
        </w:rPr>
        <w:t xml:space="preserve">  </w:t>
      </w:r>
      <w:r>
        <w:rPr>
          <w:sz w:val="23"/>
          <w:szCs w:val="23"/>
        </w:rPr>
        <w:t>校准前的准备</w:t>
      </w:r>
    </w:p>
    <w:p>
      <w:pPr>
        <w:pStyle w:val="BodyText"/>
        <w:spacing w:before="96" w:line="265" w:lineRule="auto"/>
        <w:ind w:right="101" w:firstLine="459"/>
        <w:jc w:val="both"/>
        <w:rPr>
          <w:sz w:val="23"/>
          <w:szCs w:val="23"/>
        </w:rPr>
      </w:pPr>
      <w:r>
        <w:rPr>
          <w:spacing w:val="10"/>
          <w:sz w:val="23"/>
          <w:szCs w:val="23"/>
        </w:rPr>
        <w:t>密度计预热前需观察仪器测量口上是否装上偏振装置，若有此装置，须将偏振装置</w:t>
      </w:r>
      <w:r>
        <w:rPr>
          <w:spacing w:val="16"/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 xml:space="preserve">取下否则会对校准数据的准确性造成影响，然后按密度计说明书规定的时间进行预热 </w:t>
      </w:r>
      <w:r>
        <w:rPr>
          <w:spacing w:val="9"/>
          <w:sz w:val="23"/>
          <w:szCs w:val="23"/>
        </w:rPr>
        <w:t>仪器预热后，用随机配备的标准板调校仪器，调校完毕后，进入测量状态。</w:t>
      </w:r>
    </w:p>
    <w:p>
      <w:pPr>
        <w:pStyle w:val="BodyText"/>
        <w:spacing w:before="49" w:line="219" w:lineRule="auto"/>
        <w:rPr>
          <w:sz w:val="23"/>
          <w:szCs w:val="23"/>
        </w:rPr>
      </w:pPr>
      <w:r>
        <w:rPr>
          <w:spacing w:val="-4"/>
          <w:sz w:val="23"/>
          <w:szCs w:val="23"/>
        </w:rPr>
        <w:t>7.2</w:t>
      </w:r>
      <w:r>
        <w:rPr>
          <w:spacing w:val="32"/>
          <w:sz w:val="23"/>
          <w:szCs w:val="23"/>
        </w:rPr>
        <w:t xml:space="preserve">  </w:t>
      </w:r>
      <w:r>
        <w:rPr>
          <w:spacing w:val="-4"/>
          <w:sz w:val="23"/>
          <w:szCs w:val="23"/>
        </w:rPr>
        <w:t>示值误差</w:t>
      </w:r>
    </w:p>
    <w:p>
      <w:pPr>
        <w:pStyle w:val="BodyText"/>
        <w:spacing w:before="124" w:line="269" w:lineRule="auto"/>
        <w:ind w:right="99" w:firstLine="459"/>
        <w:jc w:val="both"/>
        <w:rPr>
          <w:sz w:val="23"/>
          <w:szCs w:val="23"/>
        </w:rPr>
      </w:pPr>
      <w:r>
        <w:rPr>
          <w:spacing w:val="14"/>
          <w:sz w:val="23"/>
          <w:szCs w:val="23"/>
        </w:rPr>
        <w:t>将密度计的测量状态设在</w:t>
      </w:r>
      <w:r>
        <w:rPr>
          <w:spacing w:val="-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</w:t>
      </w:r>
      <w:r>
        <w:rPr>
          <w:spacing w:val="14"/>
          <w:sz w:val="23"/>
          <w:szCs w:val="23"/>
        </w:rPr>
        <w:t>密度状态或者与标准反射板证书上提供的状态相同的</w:t>
      </w:r>
      <w:r>
        <w:rPr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密度状态下，用黑白标准反射板对反射密度计的黑色通道进行测量，用标准彩色反射板</w:t>
      </w:r>
      <w:r>
        <w:rPr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对反射密度计的品红、黄、青三种颜色通道进行测量。密度计的探测孔对准标准反射板</w:t>
      </w:r>
      <w:r>
        <w:rPr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每一级标准板的中心处，对每一级标准板重复测量三次，三次的平均值与标准值之</w:t>
      </w:r>
      <w:r>
        <w:rPr>
          <w:spacing w:val="9"/>
          <w:sz w:val="23"/>
          <w:szCs w:val="23"/>
        </w:rPr>
        <w:t>差应</w:t>
      </w:r>
      <w:r>
        <w:rPr>
          <w:sz w:val="23"/>
          <w:szCs w:val="23"/>
        </w:rPr>
        <w:t xml:space="preserve"> </w:t>
      </w:r>
      <w:r>
        <w:rPr>
          <w:spacing w:val="12"/>
          <w:sz w:val="23"/>
          <w:szCs w:val="23"/>
        </w:rPr>
        <w:t>符合表1的要求，</w:t>
      </w:r>
    </w:p>
    <w:p>
      <w:pPr>
        <w:pStyle w:val="BodyText"/>
        <w:spacing w:before="92" w:line="212" w:lineRule="auto"/>
        <w:ind w:left="386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3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D=D-D;</w:t>
      </w:r>
    </w:p>
    <w:p>
      <w:pPr>
        <w:pStyle w:val="BodyText"/>
        <w:spacing w:before="102" w:line="220" w:lineRule="auto"/>
        <w:ind w:left="459"/>
        <w:rPr>
          <w:sz w:val="23"/>
          <w:szCs w:val="23"/>
        </w:rPr>
      </w:pPr>
      <w:r>
        <w:rPr>
          <w:spacing w:val="-6"/>
          <w:sz w:val="23"/>
          <w:szCs w:val="23"/>
        </w:rPr>
        <w:t>式中：</w:t>
      </w:r>
    </w:p>
    <w:p>
      <w:pPr>
        <w:pStyle w:val="BodyText"/>
        <w:spacing w:before="75" w:line="219" w:lineRule="auto"/>
        <w:ind w:left="459"/>
        <w:rPr>
          <w:sz w:val="23"/>
          <w:szCs w:val="23"/>
        </w:rPr>
      </w:pPr>
      <w:r>
        <w:rPr>
          <w:spacing w:val="7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D---    </w:t>
      </w:r>
      <w:r>
        <w:rPr>
          <w:spacing w:val="7"/>
          <w:sz w:val="23"/>
          <w:szCs w:val="23"/>
        </w:rPr>
        <w:t>密度计示值误差，单位为1;</w:t>
      </w:r>
    </w:p>
    <w:p>
      <w:pPr>
        <w:pStyle w:val="BodyText"/>
        <w:spacing w:before="67" w:line="219" w:lineRule="auto"/>
        <w:ind w:left="6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1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54"/>
          <w:sz w:val="23"/>
          <w:szCs w:val="23"/>
        </w:rPr>
        <w:t xml:space="preserve"> </w:t>
      </w:r>
      <w:r>
        <w:rPr>
          <w:spacing w:val="12"/>
          <w:sz w:val="23"/>
          <w:szCs w:val="23"/>
        </w:rPr>
        <w:t>三次测量值的平均值，单位为1;</w:t>
      </w:r>
    </w:p>
    <w:p>
      <w:pPr>
        <w:pStyle w:val="BodyText"/>
        <w:spacing w:before="98" w:line="219" w:lineRule="auto"/>
        <w:ind w:left="559"/>
        <w:rPr>
          <w:sz w:val="23"/>
          <w:szCs w:val="23"/>
        </w:rPr>
        <w:sectPr>
          <w:headerReference w:type="default" r:id="rId22"/>
          <w:footerReference w:type="default" r:id="rId23"/>
          <w:pgSz w:w="11920" w:h="16850"/>
          <w:pgMar w:top="1619" w:right="1350" w:bottom="1215" w:left="1350" w:header="1289" w:footer="1066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D₃——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spacing w:val="9"/>
          <w:sz w:val="23"/>
          <w:szCs w:val="23"/>
        </w:rPr>
        <w:t>各级标准块的标准值，单位为1。</w:t>
      </w:r>
    </w:p>
    <w:p>
      <w:pPr>
        <w:pStyle w:val="BodyText"/>
        <w:spacing w:before="87" w:line="219" w:lineRule="auto"/>
        <w:rPr>
          <w:sz w:val="23"/>
          <w:szCs w:val="23"/>
        </w:rPr>
      </w:pPr>
      <w:r>
        <w:rPr>
          <w:spacing w:val="3"/>
          <w:sz w:val="23"/>
          <w:szCs w:val="23"/>
        </w:rPr>
        <w:t>7.3  示值漂移</w:t>
      </w:r>
    </w:p>
    <w:p>
      <w:pPr>
        <w:pStyle w:val="BodyText"/>
        <w:spacing w:before="98" w:line="264" w:lineRule="auto"/>
        <w:ind w:right="96" w:firstLine="459"/>
        <w:jc w:val="both"/>
        <w:rPr>
          <w:sz w:val="23"/>
          <w:szCs w:val="23"/>
        </w:rPr>
      </w:pPr>
      <w:r>
        <w:rPr>
          <w:spacing w:val="17"/>
          <w:sz w:val="23"/>
          <w:szCs w:val="23"/>
        </w:rPr>
        <w:t>将密度计置于标准反射板上，使密度计的探测孔对准黑白标准反射板密度值约为</w:t>
      </w:r>
      <w:r>
        <w:rPr>
          <w:spacing w:val="15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 xml:space="preserve">1.0的标准板的中心处，先测量标准板的起始值，然后每间隔10 </w:t>
      </w:r>
      <w:r>
        <w:rPr>
          <w:rFonts w:ascii="Times New Roman" w:eastAsia="Times New Roman" w:hAnsi="Times New Roman" w:cs="Times New Roman"/>
          <w:sz w:val="23"/>
          <w:szCs w:val="23"/>
        </w:rPr>
        <w:t>min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测量一次</w:t>
      </w:r>
      <w:r>
        <w:rPr>
          <w:spacing w:val="9"/>
          <w:sz w:val="23"/>
          <w:szCs w:val="23"/>
        </w:rPr>
        <w:t xml:space="preserve">，20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min </w:t>
      </w:r>
      <w:r>
        <w:rPr>
          <w:spacing w:val="13"/>
          <w:sz w:val="23"/>
          <w:szCs w:val="23"/>
        </w:rPr>
        <w:t>共测量两次，每次测得的密度值与起始值之差的最大值即为仪器示</w:t>
      </w:r>
      <w:r>
        <w:rPr>
          <w:spacing w:val="12"/>
          <w:sz w:val="23"/>
          <w:szCs w:val="23"/>
        </w:rPr>
        <w:t>值漂移，应符合5.2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的要求。</w:t>
      </w:r>
    </w:p>
    <w:p>
      <w:pPr>
        <w:spacing w:line="264" w:lineRule="auto"/>
        <w:rPr>
          <w:sz w:val="23"/>
          <w:szCs w:val="23"/>
        </w:rPr>
        <w:sectPr>
          <w:headerReference w:type="default" r:id="rId24"/>
          <w:footerReference w:type="default" r:id="rId25"/>
          <w:type w:val="nextPage"/>
          <w:pgSz w:w="11920" w:h="16850"/>
          <w:pgMar w:top="1619" w:right="1350" w:bottom="1215" w:left="1350" w:header="1289" w:footer="1066" w:gutter="0"/>
          <w:pgNumType w:start="9"/>
          <w:cols w:space="708"/>
          <w:titlePg w:val="0"/>
        </w:sectPr>
      </w:pPr>
    </w:p>
    <w:p>
      <w:pPr>
        <w:pStyle w:val="BodyText"/>
        <w:spacing w:before="239" w:line="220" w:lineRule="auto"/>
        <w:ind w:left="19"/>
      </w:pPr>
      <w:r>
        <w:rPr>
          <w:spacing w:val="9"/>
        </w:rPr>
        <w:t>7.4</w:t>
      </w:r>
      <w:r>
        <w:rPr>
          <w:spacing w:val="21"/>
        </w:rPr>
        <w:t xml:space="preserve">  </w:t>
      </w:r>
      <w:r>
        <w:rPr>
          <w:spacing w:val="9"/>
        </w:rPr>
        <w:t>重复性</w:t>
      </w:r>
    </w:p>
    <w:p>
      <w:pPr>
        <w:pStyle w:val="BodyText"/>
        <w:spacing w:before="116" w:line="258" w:lineRule="auto"/>
        <w:ind w:left="29" w:right="31" w:firstLine="470"/>
      </w:pPr>
      <w:r>
        <w:rPr>
          <w:spacing w:val="23"/>
        </w:rPr>
        <w:t>用标准反射板密度值约为1.0的标准板对密度计的每个颜色通道进行测</w:t>
      </w:r>
      <w:r>
        <w:rPr>
          <w:spacing w:val="22"/>
        </w:rPr>
        <w:t>量，重复测</w:t>
      </w:r>
      <w:r>
        <w:t xml:space="preserve"> </w:t>
      </w:r>
      <w:r>
        <w:rPr>
          <w:spacing w:val="27"/>
        </w:rPr>
        <w:t>量6次，记录每次测得的密度值，计算6次测量值的实验标准偏差</w:t>
      </w:r>
      <w:r>
        <w:rPr>
          <w:spacing w:val="-56"/>
        </w:rPr>
        <w:t xml:space="preserve"> </w:t>
      </w:r>
      <w:r>
        <w:rPr>
          <w:spacing w:val="27"/>
        </w:rPr>
        <w:t>s, 其测量结果应符</w:t>
      </w:r>
    </w:p>
    <w:p>
      <w:pPr>
        <w:pStyle w:val="BodyText"/>
        <w:spacing w:before="106" w:line="221" w:lineRule="auto"/>
        <w:ind w:left="29"/>
      </w:pPr>
      <w:r>
        <w:rPr>
          <w:spacing w:val="12"/>
        </w:rPr>
        <w:t>合5</w:t>
      </w:r>
      <w:r>
        <w:rPr>
          <w:spacing w:val="-55"/>
        </w:rPr>
        <w:t xml:space="preserve"> </w:t>
      </w:r>
      <w:r>
        <w:rPr>
          <w:spacing w:val="12"/>
        </w:rPr>
        <w:t>.</w:t>
      </w:r>
      <w:r>
        <w:rPr>
          <w:spacing w:val="-63"/>
        </w:rPr>
        <w:t xml:space="preserve"> </w:t>
      </w:r>
      <w:r>
        <w:rPr>
          <w:spacing w:val="12"/>
        </w:rPr>
        <w:t>3的要求。</w:t>
      </w:r>
    </w:p>
    <w:p>
      <w:pPr>
        <w:spacing w:before="96" w:line="960" w:lineRule="exact"/>
        <w:ind w:firstLine="3540"/>
      </w:pPr>
      <w:r>
        <w:rPr>
          <w:position w:val="-19"/>
        </w:rPr>
        <w:drawing>
          <wp:inline distT="0" distB="0" distL="0" distR="0">
            <wp:extent cx="1320749" cy="60956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20749" cy="60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0" w:line="220" w:lineRule="auto"/>
        <w:ind w:left="499"/>
      </w:pPr>
      <w:r>
        <w:rPr>
          <w:spacing w:val="3"/>
        </w:rPr>
        <w:t>式中：</w:t>
      </w:r>
    </w:p>
    <w:p>
      <w:pPr>
        <w:pStyle w:val="BodyText"/>
        <w:spacing w:before="97" w:line="219" w:lineRule="auto"/>
        <w:ind w:left="509"/>
      </w:pPr>
      <w:r>
        <w:rPr>
          <w:rFonts w:ascii="Times New Roman" w:eastAsia="Times New Roman" w:hAnsi="Times New Roman" w:cs="Times New Roman"/>
          <w:spacing w:val="4"/>
        </w:rPr>
        <w:t xml:space="preserve">s—— </w:t>
      </w:r>
      <w:r>
        <w:rPr>
          <w:spacing w:val="4"/>
        </w:rPr>
        <w:t>标准偏差；</w:t>
      </w:r>
    </w:p>
    <w:p>
      <w:pPr>
        <w:pStyle w:val="BodyText"/>
        <w:spacing w:before="99" w:line="219" w:lineRule="auto"/>
        <w:ind w:left="389"/>
      </w:pPr>
      <w:r>
        <w:rPr>
          <w:spacing w:val="8"/>
        </w:rPr>
        <w:t>u;——</w:t>
      </w:r>
      <w:r>
        <w:rPr>
          <w:spacing w:val="-50"/>
        </w:rPr>
        <w:t xml:space="preserve"> </w:t>
      </w:r>
      <w:r>
        <w:rPr>
          <w:spacing w:val="8"/>
        </w:rPr>
        <w:t>密度计第</w:t>
      </w:r>
      <w:r>
        <w:rPr>
          <w:spacing w:val="-64"/>
        </w:rPr>
        <w:t xml:space="preserve"> </w:t>
      </w:r>
      <w:r>
        <w:rPr>
          <w:spacing w:val="8"/>
        </w:rPr>
        <w:t>i</w:t>
      </w:r>
      <w:r>
        <w:rPr>
          <w:spacing w:val="-37"/>
        </w:rPr>
        <w:t xml:space="preserve"> </w:t>
      </w:r>
      <w:r>
        <w:rPr>
          <w:spacing w:val="8"/>
        </w:rPr>
        <w:t>次的测量值；</w:t>
      </w:r>
    </w:p>
    <w:p>
      <w:pPr>
        <w:pStyle w:val="BodyText"/>
        <w:spacing w:before="159" w:line="550" w:lineRule="exact"/>
        <w:ind w:left="439"/>
      </w:pPr>
      <w:r>
        <w:rPr>
          <w:spacing w:val="19"/>
          <w:position w:val="25"/>
        </w:rPr>
        <w:t>u—— 密度计6次测量值的平均值。</w:t>
      </w:r>
    </w:p>
    <w:p>
      <w:pPr>
        <w:spacing w:line="222" w:lineRule="auto"/>
        <w:ind w:left="1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4"/>
          <w:sz w:val="22"/>
          <w:szCs w:val="22"/>
        </w:rPr>
        <w:t>8</w:t>
      </w:r>
      <w:r>
        <w:rPr>
          <w:rFonts w:ascii="SimHei" w:eastAsia="SimHei" w:hAnsi="SimHei" w:cs="SimHei"/>
          <w:spacing w:val="14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4"/>
          <w:sz w:val="22"/>
          <w:szCs w:val="22"/>
        </w:rPr>
        <w:t>校准结果</w:t>
      </w:r>
    </w:p>
    <w:p>
      <w:pPr>
        <w:pStyle w:val="BodyText"/>
        <w:spacing w:before="285" w:line="326" w:lineRule="exact"/>
        <w:ind w:left="499"/>
      </w:pPr>
      <w:r>
        <w:rPr>
          <w:spacing w:val="19"/>
          <w:position w:val="7"/>
        </w:rPr>
        <w:t>校准结果应在校准证书上反映。校准证书应至少包括以下信息：</w:t>
      </w:r>
    </w:p>
    <w:p>
      <w:pPr>
        <w:pStyle w:val="BodyText"/>
        <w:spacing w:line="212" w:lineRule="auto"/>
        <w:ind w:left="489"/>
      </w:pPr>
      <w:r>
        <w:rPr>
          <w:rFonts w:ascii="Times New Roman" w:eastAsia="Times New Roman" w:hAnsi="Times New Roman" w:cs="Times New Roman"/>
          <w:spacing w:val="-2"/>
        </w:rPr>
        <w:t>a)</w:t>
      </w:r>
      <w:r>
        <w:rPr>
          <w:rFonts w:ascii="Times New Roman" w:eastAsia="Times New Roman" w:hAnsi="Times New Roman" w:cs="Times New Roman"/>
          <w:spacing w:val="5"/>
        </w:rPr>
        <w:t xml:space="preserve">       </w:t>
      </w:r>
      <w:r>
        <w:rPr>
          <w:spacing w:val="-2"/>
        </w:rPr>
        <w:t>标题：“校准证书”;</w:t>
      </w:r>
    </w:p>
    <w:p>
      <w:pPr>
        <w:pStyle w:val="BodyText"/>
        <w:spacing w:before="107" w:line="212" w:lineRule="auto"/>
        <w:ind w:left="489"/>
      </w:pPr>
      <w:r>
        <w:rPr>
          <w:rFonts w:ascii="Times New Roman" w:eastAsia="Times New Roman" w:hAnsi="Times New Roman" w:cs="Times New Roman"/>
          <w:spacing w:val="12"/>
        </w:rPr>
        <w:t>b)</w:t>
      </w:r>
      <w:r>
        <w:rPr>
          <w:rFonts w:ascii="Times New Roman" w:eastAsia="Times New Roman" w:hAnsi="Times New Roman" w:cs="Times New Roman"/>
          <w:spacing w:val="2"/>
        </w:rPr>
        <w:t xml:space="preserve">       </w:t>
      </w:r>
      <w:r>
        <w:rPr>
          <w:spacing w:val="12"/>
        </w:rPr>
        <w:t>实验室名称和地址；</w:t>
      </w:r>
    </w:p>
    <w:p>
      <w:pPr>
        <w:pStyle w:val="BodyText"/>
        <w:spacing w:before="107" w:line="212" w:lineRule="auto"/>
        <w:ind w:left="489"/>
      </w:pPr>
      <w:r>
        <w:rPr>
          <w:rFonts w:ascii="Times New Roman" w:eastAsia="Times New Roman" w:hAnsi="Times New Roman" w:cs="Times New Roman"/>
          <w:spacing w:val="22"/>
        </w:rPr>
        <w:t>c)</w:t>
      </w:r>
      <w:r>
        <w:rPr>
          <w:rFonts w:ascii="Times New Roman" w:eastAsia="Times New Roman" w:hAnsi="Times New Roman" w:cs="Times New Roman"/>
          <w:spacing w:val="7"/>
        </w:rPr>
        <w:t xml:space="preserve">       </w:t>
      </w:r>
      <w:r>
        <w:rPr>
          <w:spacing w:val="22"/>
        </w:rPr>
        <w:t>进行校准的地点(如果与实验室的地址不同);</w:t>
      </w:r>
    </w:p>
    <w:p>
      <w:pPr>
        <w:pStyle w:val="BodyText"/>
        <w:spacing w:before="128" w:line="340" w:lineRule="exact"/>
        <w:ind w:left="489"/>
      </w:pPr>
      <w:r>
        <w:rPr>
          <w:rFonts w:ascii="Times New Roman" w:eastAsia="Times New Roman" w:hAnsi="Times New Roman" w:cs="Times New Roman"/>
          <w:spacing w:val="23"/>
          <w:position w:val="9"/>
        </w:rPr>
        <w:t xml:space="preserve">d)      </w:t>
      </w:r>
      <w:r>
        <w:rPr>
          <w:spacing w:val="23"/>
          <w:position w:val="9"/>
        </w:rPr>
        <w:t>证书的唯一性标识(如编号),每页及总页数的标识；</w:t>
      </w:r>
    </w:p>
    <w:p>
      <w:pPr>
        <w:pStyle w:val="BodyText"/>
        <w:spacing w:line="212" w:lineRule="auto"/>
        <w:ind w:left="499"/>
      </w:pPr>
      <w:r>
        <w:rPr>
          <w:rFonts w:ascii="Times New Roman" w:eastAsia="Times New Roman" w:hAnsi="Times New Roman" w:cs="Times New Roman"/>
          <w:spacing w:val="10"/>
        </w:rPr>
        <w:t xml:space="preserve">e)       </w:t>
      </w:r>
      <w:r>
        <w:rPr>
          <w:spacing w:val="10"/>
        </w:rPr>
        <w:t>客户的名称和地址；</w:t>
      </w:r>
    </w:p>
    <w:p>
      <w:pPr>
        <w:pStyle w:val="BodyText"/>
        <w:spacing w:before="117" w:line="370" w:lineRule="exact"/>
        <w:ind w:left="499"/>
      </w:pPr>
      <w:r>
        <w:rPr>
          <w:rFonts w:ascii="Times New Roman" w:eastAsia="Times New Roman" w:hAnsi="Times New Roman" w:cs="Times New Roman"/>
          <w:spacing w:val="9"/>
          <w:position w:val="11"/>
        </w:rPr>
        <w:t>f)</w:t>
      </w:r>
      <w:r>
        <w:rPr>
          <w:rFonts w:ascii="Times New Roman" w:eastAsia="Times New Roman" w:hAnsi="Times New Roman" w:cs="Times New Roman"/>
          <w:spacing w:val="2"/>
          <w:position w:val="11"/>
        </w:rPr>
        <w:t xml:space="preserve">        </w:t>
      </w:r>
      <w:r>
        <w:rPr>
          <w:spacing w:val="9"/>
          <w:position w:val="11"/>
        </w:rPr>
        <w:t>被</w:t>
      </w:r>
      <w:r>
        <w:rPr>
          <w:rFonts w:ascii="Times New Roman" w:eastAsia="Times New Roman" w:hAnsi="Times New Roman" w:cs="Times New Roman"/>
          <w:spacing w:val="9"/>
          <w:position w:val="11"/>
        </w:rPr>
        <w:t>;</w:t>
      </w:r>
      <w:r>
        <w:rPr>
          <w:spacing w:val="9"/>
          <w:position w:val="11"/>
        </w:rPr>
        <w:t>校对象的描述和明确标识；</w:t>
      </w:r>
    </w:p>
    <w:p>
      <w:pPr>
        <w:pStyle w:val="BodyText"/>
        <w:spacing w:line="212" w:lineRule="auto"/>
        <w:ind w:left="499"/>
      </w:pPr>
      <w:r>
        <w:rPr>
          <w:rFonts w:ascii="Times New Roman" w:eastAsia="Times New Roman" w:hAnsi="Times New Roman" w:cs="Times New Roman"/>
          <w:spacing w:val="8"/>
        </w:rPr>
        <w:t xml:space="preserve">g)       </w:t>
      </w:r>
      <w:r>
        <w:rPr>
          <w:spacing w:val="8"/>
        </w:rPr>
        <w:t>进行校准的日期；</w:t>
      </w:r>
    </w:p>
    <w:p>
      <w:pPr>
        <w:pStyle w:val="BodyText"/>
        <w:spacing w:before="97" w:line="360" w:lineRule="exact"/>
        <w:ind w:left="489"/>
      </w:pPr>
      <w:r>
        <w:rPr>
          <w:rFonts w:ascii="Times New Roman" w:eastAsia="Times New Roman" w:hAnsi="Times New Roman" w:cs="Times New Roman"/>
          <w:spacing w:val="15"/>
          <w:position w:val="10"/>
        </w:rPr>
        <w:t xml:space="preserve">h)       </w:t>
      </w:r>
      <w:r>
        <w:rPr>
          <w:spacing w:val="15"/>
          <w:position w:val="10"/>
        </w:rPr>
        <w:t>校准所依据的技术规范的标识，包括名</w:t>
      </w:r>
      <w:r>
        <w:rPr>
          <w:spacing w:val="14"/>
          <w:position w:val="10"/>
        </w:rPr>
        <w:t>称及代号；</w:t>
      </w:r>
    </w:p>
    <w:p>
      <w:pPr>
        <w:pStyle w:val="BodyText"/>
        <w:spacing w:line="212" w:lineRule="auto"/>
        <w:ind w:left="489"/>
      </w:pPr>
      <w:r>
        <w:rPr>
          <w:rFonts w:ascii="Times New Roman" w:eastAsia="Times New Roman" w:hAnsi="Times New Roman" w:cs="Times New Roman"/>
          <w:spacing w:val="16"/>
        </w:rPr>
        <w:t xml:space="preserve">i)       </w:t>
      </w:r>
      <w:r>
        <w:rPr>
          <w:spacing w:val="16"/>
        </w:rPr>
        <w:t>本次校准所用测量标准</w:t>
      </w:r>
      <w:r>
        <w:rPr>
          <w:spacing w:val="15"/>
        </w:rPr>
        <w:t>的溯源性及有效性说明；</w:t>
      </w:r>
    </w:p>
    <w:p>
      <w:pPr>
        <w:pStyle w:val="BodyText"/>
        <w:spacing w:before="127" w:line="212" w:lineRule="auto"/>
        <w:ind w:left="489"/>
      </w:pPr>
      <w:r>
        <w:rPr>
          <w:rFonts w:ascii="Times New Roman" w:eastAsia="Times New Roman" w:hAnsi="Times New Roman" w:cs="Times New Roman"/>
          <w:spacing w:val="14"/>
        </w:rPr>
        <w:t>j)</w:t>
      </w:r>
      <w:r>
        <w:rPr>
          <w:rFonts w:ascii="Times New Roman" w:eastAsia="Times New Roman" w:hAnsi="Times New Roman" w:cs="Times New Roman"/>
          <w:spacing w:val="1"/>
        </w:rPr>
        <w:t xml:space="preserve">        </w:t>
      </w:r>
      <w:r>
        <w:rPr>
          <w:spacing w:val="14"/>
        </w:rPr>
        <w:t>校准环境的描述；</w:t>
      </w:r>
    </w:p>
    <w:p>
      <w:pPr>
        <w:pStyle w:val="BodyText"/>
        <w:spacing w:before="108" w:line="365" w:lineRule="exact"/>
        <w:ind w:left="489"/>
      </w:pPr>
      <w:r>
        <w:rPr>
          <w:rFonts w:ascii="Times New Roman" w:eastAsia="Times New Roman" w:hAnsi="Times New Roman" w:cs="Times New Roman"/>
          <w:spacing w:val="15"/>
          <w:position w:val="11"/>
        </w:rPr>
        <w:t>k)</w:t>
      </w:r>
      <w:r>
        <w:rPr>
          <w:rFonts w:ascii="Times New Roman" w:eastAsia="Times New Roman" w:hAnsi="Times New Roman" w:cs="Times New Roman"/>
          <w:spacing w:val="4"/>
          <w:position w:val="11"/>
        </w:rPr>
        <w:t xml:space="preserve">       </w:t>
      </w:r>
      <w:r>
        <w:rPr>
          <w:spacing w:val="15"/>
          <w:position w:val="11"/>
        </w:rPr>
        <w:t>校准结果及其测量不确定度的说明；</w:t>
      </w:r>
    </w:p>
    <w:p>
      <w:pPr>
        <w:pStyle w:val="BodyText"/>
        <w:spacing w:line="219" w:lineRule="auto"/>
        <w:ind w:left="489"/>
      </w:pPr>
      <w:r>
        <w:rPr>
          <w:spacing w:val="13"/>
        </w:rPr>
        <w:t>1)</w:t>
      </w:r>
      <w:r>
        <w:rPr>
          <w:spacing w:val="25"/>
        </w:rPr>
        <w:t xml:space="preserve">   </w:t>
      </w:r>
      <w:r>
        <w:rPr>
          <w:spacing w:val="13"/>
        </w:rPr>
        <w:t>对校准规范的偏离的说明；</w:t>
      </w:r>
    </w:p>
    <w:p>
      <w:pPr>
        <w:pStyle w:val="BodyText"/>
        <w:spacing w:before="84" w:line="370" w:lineRule="exact"/>
        <w:ind w:left="489"/>
      </w:pPr>
      <w:r>
        <w:rPr>
          <w:rFonts w:ascii="Times New Roman" w:eastAsia="Times New Roman" w:hAnsi="Times New Roman" w:cs="Times New Roman"/>
          <w:spacing w:val="18"/>
          <w:position w:val="11"/>
        </w:rPr>
        <w:t xml:space="preserve">m)     </w:t>
      </w:r>
      <w:r>
        <w:rPr>
          <w:spacing w:val="18"/>
          <w:position w:val="11"/>
        </w:rPr>
        <w:t>校准证书或校准报告签发人的签名</w:t>
      </w:r>
      <w:r>
        <w:rPr>
          <w:spacing w:val="17"/>
          <w:position w:val="11"/>
        </w:rPr>
        <w:t>、职务或等效标识；</w:t>
      </w:r>
    </w:p>
    <w:p>
      <w:pPr>
        <w:pStyle w:val="BodyText"/>
        <w:spacing w:line="212" w:lineRule="auto"/>
        <w:ind w:left="489"/>
      </w:pPr>
      <w:r>
        <w:rPr>
          <w:rFonts w:ascii="Times New Roman" w:eastAsia="Times New Roman" w:hAnsi="Times New Roman" w:cs="Times New Roman"/>
          <w:spacing w:val="18"/>
        </w:rPr>
        <w:t>n)</w:t>
      </w:r>
      <w:r>
        <w:rPr>
          <w:rFonts w:ascii="Times New Roman" w:eastAsia="Times New Roman" w:hAnsi="Times New Roman" w:cs="Times New Roman"/>
          <w:spacing w:val="5"/>
        </w:rPr>
        <w:t xml:space="preserve">       </w:t>
      </w:r>
      <w:r>
        <w:rPr>
          <w:spacing w:val="18"/>
        </w:rPr>
        <w:t>校准结果仅对被校对象有效的声明；</w:t>
      </w:r>
    </w:p>
    <w:p>
      <w:pPr>
        <w:pStyle w:val="BodyText"/>
        <w:spacing w:before="98" w:line="383" w:lineRule="exact"/>
        <w:ind w:left="509"/>
      </w:pPr>
      <w:r>
        <w:rPr>
          <w:rFonts w:ascii="Times New Roman" w:eastAsia="Times New Roman" w:hAnsi="Times New Roman" w:cs="Times New Roman"/>
          <w:spacing w:val="17"/>
          <w:position w:val="12"/>
        </w:rPr>
        <w:t>o)</w:t>
      </w:r>
      <w:r>
        <w:rPr>
          <w:rFonts w:ascii="Times New Roman" w:eastAsia="Times New Roman" w:hAnsi="Times New Roman" w:cs="Times New Roman"/>
          <w:spacing w:val="6"/>
          <w:position w:val="12"/>
        </w:rPr>
        <w:t xml:space="preserve">       </w:t>
      </w:r>
      <w:r>
        <w:rPr>
          <w:spacing w:val="17"/>
          <w:position w:val="12"/>
        </w:rPr>
        <w:t>未经实验室书面批准，不得部分复制证书的声明。</w:t>
      </w:r>
    </w:p>
    <w:p>
      <w:pPr>
        <w:pStyle w:val="BodyText"/>
        <w:spacing w:before="1" w:line="218" w:lineRule="auto"/>
        <w:ind w:left="519"/>
      </w:pPr>
      <w:r>
        <w:rPr>
          <w:spacing w:val="16"/>
        </w:rPr>
        <w:t>校准证书内页格式见附录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16"/>
        </w:rPr>
        <w:t>B</w:t>
      </w:r>
      <w:r>
        <w:rPr>
          <w:spacing w:val="16"/>
        </w:rPr>
        <w:t>。</w:t>
      </w:r>
    </w:p>
    <w:p>
      <w:pPr>
        <w:spacing w:before="279" w:line="222" w:lineRule="auto"/>
        <w:ind w:left="29"/>
        <w:rPr>
          <w:rFonts w:ascii="SimHei" w:eastAsia="SimHei" w:hAnsi="SimHei" w:cs="SimHei"/>
          <w:sz w:val="22"/>
          <w:szCs w:val="22"/>
        </w:rPr>
        <w:sectPr>
          <w:headerReference w:type="default" r:id="rId27"/>
          <w:footerReference w:type="default" r:id="rId28"/>
          <w:pgSz w:w="11920" w:h="16850"/>
          <w:pgMar w:top="1610" w:right="1289" w:bottom="1204" w:left="1430" w:header="1367" w:footer="1056" w:gutter="0"/>
          <w:pgNumType w:start="10"/>
          <w:cols w:space="708"/>
        </w:sectPr>
      </w:pPr>
      <w:r>
        <w:rPr>
          <w:rFonts w:ascii="SimHei" w:eastAsia="SimHei" w:hAnsi="SimHei" w:cs="SimHei"/>
          <w:spacing w:val="16"/>
          <w:sz w:val="22"/>
          <w:szCs w:val="22"/>
        </w:rPr>
        <w:t>9</w:t>
      </w:r>
      <w:r>
        <w:rPr>
          <w:rFonts w:ascii="SimHei" w:eastAsia="SimHei" w:hAnsi="SimHei" w:cs="SimHei"/>
          <w:spacing w:val="16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6"/>
          <w:sz w:val="22"/>
          <w:szCs w:val="22"/>
        </w:rPr>
        <w:t>复校时间间隔</w:t>
      </w:r>
    </w:p>
    <w:p>
      <w:pPr>
        <w:pStyle w:val="BodyText"/>
        <w:spacing w:before="296" w:line="261" w:lineRule="auto"/>
        <w:ind w:left="49" w:right="12" w:firstLine="480"/>
      </w:pPr>
      <w:r>
        <w:rPr>
          <w:spacing w:val="20"/>
        </w:rPr>
        <w:t>由于复校时间间隔的长短是由仪器的使用情况、使用者、仪器本身质量等诸因素所</w:t>
      </w:r>
      <w:r>
        <w:rPr>
          <w:spacing w:val="16"/>
        </w:rPr>
        <w:t xml:space="preserve"> </w:t>
      </w:r>
      <w:r>
        <w:rPr>
          <w:spacing w:val="19"/>
        </w:rPr>
        <w:t>决定的，因此，送校单位可根据实际使用情况自主决定复校时间间隔。</w:t>
      </w:r>
    </w:p>
    <w:p>
      <w:pPr>
        <w:spacing w:line="261" w:lineRule="auto"/>
        <w:sectPr>
          <w:headerReference w:type="default" r:id="rId29"/>
          <w:footerReference w:type="default" r:id="rId30"/>
          <w:type w:val="nextPage"/>
          <w:pgSz w:w="11920" w:h="16850"/>
          <w:pgMar w:top="1610" w:right="1289" w:bottom="1204" w:left="1430" w:header="1367" w:footer="1056" w:gutter="0"/>
          <w:pgNumType w:start="11"/>
          <w:cols w:space="708"/>
          <w:titlePg w:val="0"/>
        </w:sectPr>
      </w:pPr>
    </w:p>
    <w:p>
      <w:pPr>
        <w:spacing w:line="186" w:lineRule="exact"/>
      </w:pPr>
    </w:p>
    <w:p>
      <w:pPr>
        <w:spacing w:line="186" w:lineRule="exact"/>
        <w:sectPr>
          <w:headerReference w:type="default" r:id="rId31"/>
          <w:footerReference w:type="default" r:id="rId32"/>
          <w:pgSz w:w="11920" w:h="16850"/>
          <w:pgMar w:top="1649" w:right="1420" w:bottom="1132" w:left="1254" w:header="1365" w:footer="973" w:gutter="0"/>
          <w:pgNumType w:start="12"/>
          <w:cols w:num="1" w:space="708" w:equalWidth="0">
            <w:col w:w="9246" w:space="0"/>
          </w:cols>
        </w:sectPr>
      </w:pPr>
    </w:p>
    <w:p>
      <w:pPr>
        <w:pStyle w:val="BodyText"/>
        <w:spacing w:before="48" w:line="222" w:lineRule="auto"/>
        <w:ind w:left="28"/>
        <w:rPr>
          <w:sz w:val="24"/>
          <w:szCs w:val="24"/>
        </w:rPr>
      </w:pPr>
      <w:r>
        <w:rPr>
          <w:rFonts w:ascii="SimHei" w:eastAsia="SimHei" w:hAnsi="SimHei" w:cs="SimHei"/>
          <w:b/>
          <w:bCs/>
          <w:spacing w:val="2"/>
          <w:sz w:val="24"/>
          <w:szCs w:val="24"/>
        </w:rPr>
        <w:t>附录</w:t>
      </w:r>
      <w:r>
        <w:rPr>
          <w:rFonts w:ascii="SimHei" w:eastAsia="SimHei" w:hAnsi="SimHei" w:cs="SimHei"/>
          <w:spacing w:val="-35"/>
          <w:sz w:val="24"/>
          <w:szCs w:val="24"/>
        </w:rPr>
        <w:t xml:space="preserve"> </w:t>
      </w:r>
      <w:r>
        <w:rPr>
          <w:b/>
          <w:bCs/>
          <w:spacing w:val="2"/>
          <w:sz w:val="24"/>
          <w:szCs w:val="24"/>
        </w:rPr>
        <w:t>A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8" w:line="371" w:lineRule="exact"/>
        <w:ind w:left="25"/>
        <w:rPr>
          <w:sz w:val="24"/>
          <w:szCs w:val="24"/>
        </w:rPr>
      </w:pPr>
      <w:r>
        <w:rPr>
          <w:spacing w:val="-11"/>
          <w:position w:val="9"/>
          <w:sz w:val="24"/>
          <w:szCs w:val="24"/>
        </w:rPr>
        <w:t>送检单位：</w:t>
      </w:r>
    </w:p>
    <w:p>
      <w:pPr>
        <w:pStyle w:val="BodyText"/>
        <w:spacing w:line="220" w:lineRule="auto"/>
        <w:ind w:left="25"/>
        <w:rPr>
          <w:sz w:val="24"/>
          <w:szCs w:val="24"/>
        </w:rPr>
      </w:pPr>
      <w:r>
        <w:rPr>
          <w:spacing w:val="-8"/>
          <w:sz w:val="24"/>
          <w:szCs w:val="24"/>
        </w:rPr>
        <w:t>制</w:t>
      </w:r>
      <w:r>
        <w:rPr>
          <w:spacing w:val="-27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造</w:t>
      </w:r>
      <w:r>
        <w:rPr>
          <w:spacing w:val="-22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厂</w:t>
      </w:r>
      <w:r>
        <w:rPr>
          <w:spacing w:val="-35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：</w:t>
      </w:r>
    </w:p>
    <w:p>
      <w:pPr>
        <w:pStyle w:val="BodyText"/>
        <w:spacing w:before="92" w:line="211" w:lineRule="auto"/>
        <w:ind w:left="25"/>
        <w:rPr>
          <w:sz w:val="24"/>
          <w:szCs w:val="24"/>
        </w:rPr>
      </w:pPr>
      <w:r>
        <w:rPr>
          <w:spacing w:val="-11"/>
          <w:sz w:val="24"/>
          <w:szCs w:val="24"/>
        </w:rPr>
        <w:t>校准依据：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78" w:line="222" w:lineRule="auto"/>
        <w:ind w:left="82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31"/>
          <w:sz w:val="24"/>
          <w:szCs w:val="24"/>
        </w:rPr>
        <w:t>原始记录推荐格式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610"/>
        <w:rPr>
          <w:sz w:val="24"/>
          <w:szCs w:val="24"/>
        </w:rPr>
      </w:pPr>
      <w:r>
        <w:rPr>
          <w:spacing w:val="-1"/>
          <w:sz w:val="24"/>
          <w:szCs w:val="24"/>
        </w:rPr>
        <w:t>反射式光密度计校准记录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9" w:line="211" w:lineRule="auto"/>
        <w:rPr>
          <w:sz w:val="24"/>
          <w:szCs w:val="24"/>
        </w:rPr>
      </w:pPr>
      <w:r>
        <w:pict>
          <v:shape id="_x0000_s1039" type="#_x0000_t202" style="width:25.45pt;height:16.35pt;margin-top:3.99pt;margin-left:94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sz w:val="24"/>
                      <w:szCs w:val="24"/>
                    </w:rPr>
                    <w:t>温度</w:t>
                  </w:r>
                </w:p>
              </w:txbxContent>
            </v:textbox>
          </v:shape>
        </w:pict>
      </w:r>
      <w:r>
        <w:pict>
          <v:shape id="_x0000_s1040" type="#_x0000_t202" style="width:10.45pt;height:14.25pt;margin-top:5.77pt;margin-left:144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7" w:lineRule="auto"/>
                    <w:jc w:val="right"/>
                    <w:rPr>
                      <w:sz w:val="19"/>
                      <w:szCs w:val="19"/>
                    </w:rPr>
                  </w:pPr>
                  <w:r>
                    <w:rPr>
                      <w:spacing w:val="-22"/>
                      <w:sz w:val="19"/>
                      <w:szCs w:val="19"/>
                    </w:rPr>
                    <w:t>℃</w:t>
                  </w:r>
                </w:p>
              </w:txbxContent>
            </v:textbox>
          </v:shape>
        </w:pict>
      </w:r>
      <w:r>
        <w:rPr>
          <w:spacing w:val="-11"/>
          <w:sz w:val="24"/>
          <w:szCs w:val="24"/>
        </w:rPr>
        <w:t>校准条件：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367" w:lineRule="exact"/>
        <w:ind w:left="739"/>
        <w:rPr>
          <w:sz w:val="24"/>
          <w:szCs w:val="24"/>
        </w:rPr>
      </w:pPr>
      <w:r>
        <w:rPr>
          <w:spacing w:val="-12"/>
          <w:position w:val="9"/>
          <w:sz w:val="24"/>
          <w:szCs w:val="24"/>
        </w:rPr>
        <w:t>记录号：</w:t>
      </w:r>
    </w:p>
    <w:p>
      <w:pPr>
        <w:pStyle w:val="BodyText"/>
        <w:spacing w:line="218" w:lineRule="auto"/>
        <w:ind w:left="720"/>
        <w:rPr>
          <w:sz w:val="24"/>
          <w:szCs w:val="24"/>
        </w:rPr>
      </w:pPr>
      <w:r>
        <w:rPr>
          <w:spacing w:val="-2"/>
          <w:sz w:val="24"/>
          <w:szCs w:val="24"/>
        </w:rPr>
        <w:t>证书编号</w:t>
      </w:r>
    </w:p>
    <w:p>
      <w:pPr>
        <w:pStyle w:val="BodyText"/>
        <w:spacing w:before="86" w:line="370" w:lineRule="exact"/>
        <w:rPr>
          <w:sz w:val="24"/>
          <w:szCs w:val="24"/>
        </w:rPr>
      </w:pPr>
      <w:r>
        <w:rPr>
          <w:spacing w:val="-12"/>
          <w:position w:val="9"/>
          <w:sz w:val="24"/>
          <w:szCs w:val="24"/>
        </w:rPr>
        <w:t>型号规格：</w:t>
      </w:r>
    </w:p>
    <w:p>
      <w:pPr>
        <w:pStyle w:val="BodyText"/>
        <w:spacing w:before="1" w:line="219" w:lineRule="auto"/>
        <w:rPr>
          <w:sz w:val="24"/>
          <w:szCs w:val="24"/>
        </w:rPr>
      </w:pPr>
      <w:r>
        <w:rPr>
          <w:spacing w:val="-14"/>
          <w:sz w:val="24"/>
          <w:szCs w:val="24"/>
        </w:rPr>
        <w:t>出厂编号：</w:t>
      </w:r>
    </w:p>
    <w:p>
      <w:pPr>
        <w:pStyle w:val="BodyText"/>
        <w:spacing w:before="95" w:line="187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相对湿度</w:t>
      </w:r>
      <w:r>
        <w:rPr>
          <w:spacing w:val="4"/>
          <w:sz w:val="24"/>
          <w:szCs w:val="24"/>
        </w:rPr>
        <w:t xml:space="preserve">      </w:t>
      </w:r>
      <w:r>
        <w:rPr>
          <w:spacing w:val="-2"/>
          <w:sz w:val="24"/>
          <w:szCs w:val="24"/>
        </w:rPr>
        <w:t>%</w:t>
      </w:r>
    </w:p>
    <w:p>
      <w:pPr>
        <w:spacing w:line="187" w:lineRule="auto"/>
        <w:rPr>
          <w:sz w:val="24"/>
          <w:szCs w:val="24"/>
        </w:rPr>
        <w:sectPr>
          <w:headerReference w:type="default" r:id="rId33"/>
          <w:footerReference w:type="default" r:id="rId34"/>
          <w:type w:val="continuous"/>
          <w:pgSz w:w="11920" w:h="16850"/>
          <w:pgMar w:top="1649" w:right="1420" w:bottom="1132" w:left="1254" w:header="1365" w:footer="973" w:gutter="0"/>
          <w:pgNumType w:start="13"/>
          <w:cols w:num="3" w:space="708" w:equalWidth="0">
            <w:col w:w="2626" w:space="100"/>
            <w:col w:w="3990" w:space="100"/>
            <w:col w:w="2431" w:space="0"/>
          </w:cols>
        </w:sectPr>
      </w:pPr>
    </w:p>
    <w:p>
      <w:pPr>
        <w:spacing w:line="101" w:lineRule="exact"/>
      </w:pPr>
    </w:p>
    <w:tbl>
      <w:tblPr>
        <w:tblStyle w:val="TableNormal2"/>
        <w:tblW w:w="9180" w:type="dxa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03"/>
        <w:gridCol w:w="1778"/>
        <w:gridCol w:w="1778"/>
        <w:gridCol w:w="1798"/>
        <w:gridCol w:w="2023"/>
      </w:tblGrid>
      <w:tr>
        <w:tblPrEx>
          <w:tblW w:w="9180" w:type="dxa"/>
          <w:tblInd w:w="3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0"/>
        </w:trPr>
        <w:tc>
          <w:tcPr>
            <w:tcW w:w="1803" w:type="dxa"/>
            <w:vAlign w:val="top"/>
          </w:tcPr>
          <w:p>
            <w:pPr>
              <w:pStyle w:val="TableText"/>
              <w:spacing w:before="113" w:line="220" w:lineRule="auto"/>
              <w:ind w:left="3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标准器名称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13" w:line="219" w:lineRule="auto"/>
              <w:ind w:left="4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型号规格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13" w:line="219" w:lineRule="auto"/>
              <w:ind w:left="50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出厂编号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112" w:line="219" w:lineRule="auto"/>
              <w:ind w:left="18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检定校准证书号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spacing w:before="113" w:line="219" w:lineRule="auto"/>
              <w:ind w:left="5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技术特征</w:t>
            </w:r>
          </w:p>
        </w:tc>
      </w:tr>
      <w:tr>
        <w:tblPrEx>
          <w:tblW w:w="9180" w:type="dxa"/>
          <w:tblInd w:w="35" w:type="dxa"/>
          <w:tblLayout w:type="fixed"/>
        </w:tblPrEx>
        <w:trPr>
          <w:trHeight w:val="409"/>
        </w:trPr>
        <w:tc>
          <w:tcPr>
            <w:tcW w:w="1803" w:type="dxa"/>
            <w:vAlign w:val="top"/>
          </w:tcPr>
          <w:p>
            <w:pPr>
              <w:pStyle w:val="TableText"/>
              <w:spacing w:before="111" w:line="219" w:lineRule="auto"/>
              <w:ind w:left="3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标准反射板</w:t>
            </w: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15" w:line="219" w:lineRule="auto"/>
        <w:ind w:left="25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A.1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   </w:t>
      </w:r>
      <w:r>
        <w:rPr>
          <w:spacing w:val="3"/>
          <w:sz w:val="24"/>
          <w:szCs w:val="24"/>
        </w:rPr>
        <w:t>示值漂移</w:t>
      </w:r>
    </w:p>
    <w:p>
      <w:pPr>
        <w:spacing w:line="100" w:lineRule="exact"/>
      </w:pPr>
    </w:p>
    <w:tbl>
      <w:tblPr>
        <w:tblStyle w:val="TableNormal2"/>
        <w:tblW w:w="9180" w:type="dxa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93"/>
        <w:gridCol w:w="1778"/>
        <w:gridCol w:w="1798"/>
        <w:gridCol w:w="1788"/>
        <w:gridCol w:w="2023"/>
      </w:tblGrid>
      <w:tr>
        <w:tblPrEx>
          <w:tblW w:w="9180" w:type="dxa"/>
          <w:tblInd w:w="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3"/>
        </w:trPr>
        <w:tc>
          <w:tcPr>
            <w:tcW w:w="1793" w:type="dxa"/>
            <w:vAlign w:val="top"/>
          </w:tcPr>
          <w:p>
            <w:pPr>
              <w:pStyle w:val="TableText"/>
              <w:spacing w:before="104" w:line="221" w:lineRule="auto"/>
              <w:ind w:left="4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颜色通道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03" w:line="219" w:lineRule="auto"/>
              <w:ind w:left="57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起始值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103" w:line="219" w:lineRule="auto"/>
              <w:ind w:left="29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第1次测量值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103" w:line="219" w:lineRule="auto"/>
              <w:ind w:left="2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第2次测量值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spacing w:before="103" w:line="219" w:lineRule="auto"/>
              <w:ind w:left="50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漂移最大值</w:t>
            </w:r>
          </w:p>
        </w:tc>
      </w:tr>
      <w:tr>
        <w:tblPrEx>
          <w:tblW w:w="9180" w:type="dxa"/>
          <w:tblInd w:w="25" w:type="dxa"/>
          <w:tblLayout w:type="fixed"/>
        </w:tblPrEx>
        <w:trPr>
          <w:trHeight w:val="408"/>
        </w:trPr>
        <w:tc>
          <w:tcPr>
            <w:tcW w:w="1793" w:type="dxa"/>
            <w:vAlign w:val="top"/>
          </w:tcPr>
          <w:p>
            <w:pPr>
              <w:pStyle w:val="TableText"/>
              <w:spacing w:before="155" w:line="182" w:lineRule="auto"/>
              <w:ind w:left="83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</w:t>
            </w: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0" w:type="dxa"/>
          <w:tblInd w:w="25" w:type="dxa"/>
          <w:tblLayout w:type="fixed"/>
        </w:tblPrEx>
        <w:trPr>
          <w:trHeight w:val="408"/>
        </w:trPr>
        <w:tc>
          <w:tcPr>
            <w:tcW w:w="1793" w:type="dxa"/>
            <w:vAlign w:val="top"/>
          </w:tcPr>
          <w:p>
            <w:pPr>
              <w:pStyle w:val="TableText"/>
              <w:spacing w:before="156" w:line="183" w:lineRule="auto"/>
              <w:ind w:left="83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0" w:type="dxa"/>
          <w:tblInd w:w="25" w:type="dxa"/>
          <w:tblLayout w:type="fixed"/>
        </w:tblPrEx>
        <w:trPr>
          <w:trHeight w:val="408"/>
        </w:trPr>
        <w:tc>
          <w:tcPr>
            <w:tcW w:w="1793" w:type="dxa"/>
            <w:vAlign w:val="top"/>
          </w:tcPr>
          <w:p>
            <w:pPr>
              <w:pStyle w:val="TableText"/>
              <w:spacing w:before="159" w:line="182" w:lineRule="auto"/>
              <w:ind w:left="83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0" w:type="dxa"/>
          <w:tblInd w:w="25" w:type="dxa"/>
          <w:tblLayout w:type="fixed"/>
        </w:tblPrEx>
        <w:trPr>
          <w:trHeight w:val="413"/>
        </w:trPr>
        <w:tc>
          <w:tcPr>
            <w:tcW w:w="1793" w:type="dxa"/>
            <w:vAlign w:val="top"/>
          </w:tcPr>
          <w:p>
            <w:pPr>
              <w:pStyle w:val="TableText"/>
              <w:spacing w:before="161" w:line="182" w:lineRule="auto"/>
              <w:ind w:left="83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Y</w:t>
            </w: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16" w:line="220" w:lineRule="auto"/>
        <w:ind w:left="25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A.2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</w:t>
      </w:r>
      <w:r>
        <w:rPr>
          <w:spacing w:val="-4"/>
          <w:sz w:val="24"/>
          <w:szCs w:val="24"/>
        </w:rPr>
        <w:t>重复性</w:t>
      </w:r>
    </w:p>
    <w:p>
      <w:pPr>
        <w:spacing w:line="98" w:lineRule="exact"/>
      </w:pPr>
    </w:p>
    <w:tbl>
      <w:tblPr>
        <w:tblStyle w:val="TableNormal2"/>
        <w:tblW w:w="9170" w:type="dxa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673"/>
        <w:gridCol w:w="1059"/>
        <w:gridCol w:w="1039"/>
        <w:gridCol w:w="1059"/>
        <w:gridCol w:w="1049"/>
        <w:gridCol w:w="1049"/>
        <w:gridCol w:w="1049"/>
        <w:gridCol w:w="1193"/>
      </w:tblGrid>
      <w:tr>
        <w:tblPrEx>
          <w:tblW w:w="9170" w:type="dxa"/>
          <w:tblInd w:w="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32"/>
        </w:trPr>
        <w:tc>
          <w:tcPr>
            <w:tcW w:w="1673" w:type="dxa"/>
            <w:tcBorders>
              <w:tl2br w:val="single" w:sz="4" w:space="0" w:color="000000"/>
            </w:tcBorders>
            <w:vAlign w:val="top"/>
          </w:tcPr>
          <w:p>
            <w:pPr>
              <w:pStyle w:val="TableText"/>
              <w:spacing w:before="162" w:line="261" w:lineRule="auto"/>
              <w:ind w:left="95" w:right="198" w:firstLine="94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次数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颜色通道</w:t>
            </w:r>
          </w:p>
        </w:tc>
        <w:tc>
          <w:tcPr>
            <w:tcW w:w="105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47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3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4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5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4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4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4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4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2" w:lineRule="auto"/>
              <w:ind w:left="45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4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4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19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178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标准偏差</w:t>
            </w:r>
          </w:p>
        </w:tc>
      </w:tr>
      <w:tr>
        <w:tblPrEx>
          <w:tblW w:w="9170" w:type="dxa"/>
          <w:tblInd w:w="25" w:type="dxa"/>
          <w:tblLayout w:type="fixed"/>
        </w:tblPrEx>
        <w:trPr>
          <w:trHeight w:val="408"/>
        </w:trPr>
        <w:tc>
          <w:tcPr>
            <w:tcW w:w="1673" w:type="dxa"/>
            <w:vAlign w:val="top"/>
          </w:tcPr>
          <w:p>
            <w:pPr>
              <w:pStyle w:val="TableText"/>
              <w:spacing w:before="156" w:line="182" w:lineRule="auto"/>
              <w:ind w:left="7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0" w:type="dxa"/>
          <w:tblInd w:w="25" w:type="dxa"/>
          <w:tblLayout w:type="fixed"/>
        </w:tblPrEx>
        <w:trPr>
          <w:trHeight w:val="409"/>
        </w:trPr>
        <w:tc>
          <w:tcPr>
            <w:tcW w:w="1673" w:type="dxa"/>
            <w:vAlign w:val="top"/>
          </w:tcPr>
          <w:p>
            <w:pPr>
              <w:pStyle w:val="TableText"/>
              <w:spacing w:before="157" w:line="183" w:lineRule="auto"/>
              <w:ind w:left="7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0" w:type="dxa"/>
          <w:tblInd w:w="25" w:type="dxa"/>
          <w:tblLayout w:type="fixed"/>
        </w:tblPrEx>
        <w:trPr>
          <w:trHeight w:val="408"/>
        </w:trPr>
        <w:tc>
          <w:tcPr>
            <w:tcW w:w="1673" w:type="dxa"/>
            <w:vAlign w:val="top"/>
          </w:tcPr>
          <w:p>
            <w:pPr>
              <w:pStyle w:val="TableText"/>
              <w:spacing w:before="159" w:line="182" w:lineRule="auto"/>
              <w:ind w:left="7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https://d.book118.com/688101002060006024</w:t>
        </w:r>
      </w:hyperlink>
    </w:p>
    <w:p/>
    <w:sectPr>
      <w:headerReference w:type="default" r:id="rId36"/>
      <w:footerReference w:type="default" r:id="rId37"/>
      <w:type w:val="continuous"/>
      <w:pgSz w:w="11920" w:h="16850"/>
      <w:pgMar w:top="1649" w:right="1420" w:bottom="1132" w:left="1254" w:header="1365" w:footer="973" w:gutter="0"/>
      <w:pgNumType w:start="14"/>
      <w:cols w:num="1" w:space="708" w:equalWidth="0">
        <w:col w:w="92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30"/>
      <w:rPr>
        <w:sz w:val="16"/>
        <w:szCs w:val="16"/>
      </w:rPr>
    </w:pPr>
    <w:r>
      <w:rPr>
        <w:sz w:val="16"/>
        <w:szCs w:val="16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40"/>
      <w:rPr>
        <w:sz w:val="15"/>
        <w:szCs w:val="15"/>
      </w:rPr>
    </w:pPr>
    <w:r>
      <w:rPr>
        <w:sz w:val="15"/>
        <w:szCs w:val="15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40"/>
      <w:rPr>
        <w:sz w:val="15"/>
        <w:szCs w:val="15"/>
      </w:rPr>
    </w:pPr>
    <w:r>
      <w:rPr>
        <w:sz w:val="15"/>
        <w:szCs w:val="15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40"/>
      <w:rPr>
        <w:sz w:val="15"/>
        <w:szCs w:val="15"/>
      </w:rPr>
    </w:pPr>
    <w:r>
      <w:rPr>
        <w:sz w:val="15"/>
        <w:szCs w:val="15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40"/>
      <w:rPr>
        <w:sz w:val="15"/>
        <w:szCs w:val="15"/>
      </w:rPr>
    </w:pPr>
    <w:r>
      <w:rPr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39"/>
      <w:rPr>
        <w:sz w:val="15"/>
        <w:szCs w:val="15"/>
      </w:rPr>
    </w:pPr>
    <w:r>
      <w:rPr>
        <w:sz w:val="15"/>
        <w:szCs w:val="15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39"/>
      <w:rPr>
        <w:sz w:val="15"/>
        <w:szCs w:val="15"/>
      </w:rPr>
    </w:pPr>
    <w:r>
      <w:rPr>
        <w:sz w:val="15"/>
        <w:szCs w:val="1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99"/>
      <w:rPr>
        <w:sz w:val="15"/>
        <w:szCs w:val="15"/>
      </w:rPr>
    </w:pPr>
    <w:r>
      <w:rPr>
        <w:sz w:val="15"/>
        <w:szCs w:val="15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99"/>
      <w:rPr>
        <w:sz w:val="15"/>
        <w:szCs w:val="15"/>
      </w:rPr>
    </w:pPr>
    <w:r>
      <w:rPr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5"/>
      <w:rPr>
        <w:sz w:val="16"/>
        <w:szCs w:val="16"/>
      </w:rPr>
    </w:pPr>
    <w:r>
      <w:rPr>
        <w:sz w:val="16"/>
        <w:szCs w:val="16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5"/>
      <w:rPr>
        <w:sz w:val="16"/>
        <w:szCs w:val="16"/>
      </w:rPr>
    </w:pPr>
    <w:r>
      <w:rPr>
        <w:sz w:val="16"/>
        <w:szCs w:val="16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5"/>
      <w:rPr>
        <w:sz w:val="16"/>
        <w:szCs w:val="16"/>
      </w:rPr>
    </w:pPr>
    <w:r>
      <w:rPr>
        <w:sz w:val="16"/>
        <w:szCs w:val="16"/>
      </w:rPr>
      <w:t>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7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         1492—2014</w:t>
    </w:r>
  </w:p>
  <w:p>
    <w:pPr>
      <w:spacing w:before="95" w:line="10" w:lineRule="exact"/>
    </w:pPr>
    <w:r>
      <w:drawing>
        <wp:inline distT="0" distB="0" distL="0" distR="0">
          <wp:extent cx="5841983" cy="6383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1983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7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         1492—2014</w:t>
    </w:r>
  </w:p>
  <w:p>
    <w:pPr>
      <w:spacing w:before="95" w:line="10" w:lineRule="exact"/>
    </w:pPr>
    <w:r>
      <w:drawing>
        <wp:inline distT="0" distB="0" distL="0" distR="0">
          <wp:extent cx="5841983" cy="6383"/>
          <wp:effectExtent l="0" t="0" r="0" b="0"/>
          <wp:docPr id="207478018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478018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1983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9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75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1492—2014</w:t>
    </w:r>
  </w:p>
  <w:p>
    <w:pPr>
      <w:spacing w:before="86" w:line="10" w:lineRule="exact"/>
      <w:ind w:firstLine="10"/>
    </w:pPr>
    <w:r>
      <w:drawing>
        <wp:inline distT="0" distB="0" distL="0" distR="0">
          <wp:extent cx="5848342" cy="6383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42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54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1492—2014</w:t>
    </w:r>
  </w:p>
  <w:p>
    <w:pPr>
      <w:spacing w:before="86" w:line="10" w:lineRule="exact"/>
    </w:pPr>
    <w:r>
      <w:drawing>
        <wp:inline distT="0" distB="0" distL="0" distR="0">
          <wp:extent cx="5854700" cy="6383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0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54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1492—2014</w:t>
    </w:r>
  </w:p>
  <w:p>
    <w:pPr>
      <w:spacing w:before="86" w:line="10" w:lineRule="exact"/>
    </w:pPr>
    <w:r>
      <w:drawing>
        <wp:inline distT="0" distB="0" distL="0" distR="0">
          <wp:extent cx="5854700" cy="6383"/>
          <wp:effectExtent l="0" t="0" r="0" b="0"/>
          <wp:docPr id="160505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505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0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54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1492—2014</w:t>
    </w:r>
  </w:p>
  <w:p>
    <w:pPr>
      <w:spacing w:before="86" w:line="10" w:lineRule="exact"/>
    </w:pPr>
    <w:r>
      <w:drawing>
        <wp:inline distT="0" distB="0" distL="0" distR="0">
          <wp:extent cx="5854700" cy="6383"/>
          <wp:effectExtent l="0" t="0" r="0" b="0"/>
          <wp:docPr id="60707963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707963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0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54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1492—2014</w:t>
    </w:r>
  </w:p>
  <w:p>
    <w:pPr>
      <w:spacing w:before="86" w:line="10" w:lineRule="exact"/>
    </w:pPr>
    <w:r>
      <w:drawing>
        <wp:inline distT="0" distB="0" distL="0" distR="0">
          <wp:extent cx="5854700" cy="6383"/>
          <wp:effectExtent l="0" t="0" r="0" b="0"/>
          <wp:docPr id="75003078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03078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0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2"/>
      <w:rPr>
        <w:sz w:val="23"/>
        <w:szCs w:val="23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882644</wp:posOffset>
          </wp:positionH>
          <wp:positionV relativeFrom="page">
            <wp:posOffset>1016048</wp:posOffset>
          </wp:positionV>
          <wp:extent cx="5829267" cy="12624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67" cy="126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9"/>
        <w:sz w:val="23"/>
        <w:szCs w:val="23"/>
      </w:rPr>
      <w:t>JJF</w:t>
    </w:r>
    <w:r>
      <w:rPr>
        <w:spacing w:val="13"/>
        <w:sz w:val="23"/>
        <w:szCs w:val="23"/>
      </w:rPr>
      <w:t xml:space="preserve"> </w:t>
    </w:r>
    <w:r>
      <w:rPr>
        <w:b/>
        <w:bCs/>
        <w:spacing w:val="-19"/>
        <w:sz w:val="23"/>
        <w:szCs w:val="23"/>
      </w:rPr>
      <w:t>1492—2014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2"/>
      <w:rPr>
        <w:sz w:val="23"/>
        <w:szCs w:val="23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882644</wp:posOffset>
          </wp:positionH>
          <wp:positionV relativeFrom="page">
            <wp:posOffset>1016048</wp:posOffset>
          </wp:positionV>
          <wp:extent cx="5829267" cy="12624"/>
          <wp:effectExtent l="0" t="0" r="0" b="0"/>
          <wp:wrapNone/>
          <wp:docPr id="1459462860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462860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67" cy="126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9"/>
        <w:sz w:val="23"/>
        <w:szCs w:val="23"/>
      </w:rPr>
      <w:t>JJF</w:t>
    </w:r>
    <w:r>
      <w:rPr>
        <w:spacing w:val="13"/>
        <w:sz w:val="23"/>
        <w:szCs w:val="23"/>
      </w:rPr>
      <w:t xml:space="preserve"> </w:t>
    </w:r>
    <w:r>
      <w:rPr>
        <w:b/>
        <w:bCs/>
        <w:spacing w:val="-19"/>
        <w:sz w:val="23"/>
        <w:szCs w:val="23"/>
      </w:rPr>
      <w:t>1492—2014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59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pacing w:val="-2"/>
        <w:sz w:val="16"/>
        <w:szCs w:val="16"/>
      </w:rPr>
      <w:t>JJF           1492—2014</w:t>
    </w:r>
  </w:p>
  <w:p>
    <w:pPr>
      <w:spacing w:before="77" w:line="10" w:lineRule="exact"/>
    </w:pPr>
    <w:r>
      <w:drawing>
        <wp:inline distT="0" distB="0" distL="0" distR="0">
          <wp:extent cx="5841983" cy="6383"/>
          <wp:effectExtent l="0" t="0" r="0" b="0"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1983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59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pacing w:val="-2"/>
        <w:sz w:val="16"/>
        <w:szCs w:val="16"/>
      </w:rPr>
      <w:t>JJF           1492—2014</w:t>
    </w:r>
  </w:p>
  <w:p>
    <w:pPr>
      <w:spacing w:before="77" w:line="10" w:lineRule="exact"/>
    </w:pPr>
    <w:r>
      <w:drawing>
        <wp:inline distT="0" distB="0" distL="0" distR="0">
          <wp:extent cx="5841983" cy="6383"/>
          <wp:effectExtent l="0" t="0" r="0" b="0"/>
          <wp:docPr id="1976826581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6826581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1983" cy="6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35"/>
      <w:rPr>
        <w:sz w:val="19"/>
        <w:szCs w:val="19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819138</wp:posOffset>
          </wp:positionH>
          <wp:positionV relativeFrom="page">
            <wp:posOffset>1035094</wp:posOffset>
          </wp:positionV>
          <wp:extent cx="5848342" cy="12624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42" cy="126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19"/>
        <w:szCs w:val="19"/>
      </w:rPr>
      <w:t>JJF</w:t>
    </w:r>
    <w:r>
      <w:rPr>
        <w:spacing w:val="23"/>
        <w:sz w:val="19"/>
        <w:szCs w:val="19"/>
      </w:rPr>
      <w:t xml:space="preserve">  </w:t>
    </w:r>
    <w:r>
      <w:rPr>
        <w:spacing w:val="-3"/>
        <w:sz w:val="19"/>
        <w:szCs w:val="19"/>
      </w:rPr>
      <w:t>1492—2014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35"/>
      <w:rPr>
        <w:sz w:val="19"/>
        <w:szCs w:val="19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819138</wp:posOffset>
          </wp:positionH>
          <wp:positionV relativeFrom="page">
            <wp:posOffset>1035094</wp:posOffset>
          </wp:positionV>
          <wp:extent cx="5848342" cy="12624"/>
          <wp:effectExtent l="0" t="0" r="0" b="0"/>
          <wp:wrapNone/>
          <wp:docPr id="202893234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893234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42" cy="126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19"/>
        <w:szCs w:val="19"/>
      </w:rPr>
      <w:t>JJF</w:t>
    </w:r>
    <w:r>
      <w:rPr>
        <w:spacing w:val="23"/>
        <w:sz w:val="19"/>
        <w:szCs w:val="19"/>
      </w:rPr>
      <w:t xml:space="preserve">  </w:t>
    </w:r>
    <w:r>
      <w:rPr>
        <w:spacing w:val="-3"/>
        <w:sz w:val="19"/>
        <w:szCs w:val="19"/>
      </w:rPr>
      <w:t>1492—2014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35"/>
      <w:rPr>
        <w:sz w:val="19"/>
        <w:szCs w:val="19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819138</wp:posOffset>
          </wp:positionH>
          <wp:positionV relativeFrom="page">
            <wp:posOffset>1035094</wp:posOffset>
          </wp:positionV>
          <wp:extent cx="5848342" cy="12624"/>
          <wp:effectExtent l="0" t="0" r="0" b="0"/>
          <wp:wrapNone/>
          <wp:docPr id="15989914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99147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42" cy="126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3"/>
        <w:sz w:val="19"/>
        <w:szCs w:val="19"/>
      </w:rPr>
      <w:t>JJF</w:t>
    </w:r>
    <w:r>
      <w:rPr>
        <w:spacing w:val="23"/>
        <w:sz w:val="19"/>
        <w:szCs w:val="19"/>
      </w:rPr>
      <w:t xml:space="preserve">  </w:t>
    </w:r>
    <w:r>
      <w:rPr>
        <w:spacing w:val="-3"/>
        <w:sz w:val="19"/>
        <w:szCs w:val="19"/>
      </w:rPr>
      <w:t>1492—2014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header" Target="header4.xml" /><Relationship Id="rId15" Type="http://schemas.openxmlformats.org/officeDocument/2006/relationships/footer" Target="footer2.xml" /><Relationship Id="rId16" Type="http://schemas.openxmlformats.org/officeDocument/2006/relationships/header" Target="header5.xml" /><Relationship Id="rId17" Type="http://schemas.openxmlformats.org/officeDocument/2006/relationships/footer" Target="footer3.xml" /><Relationship Id="rId18" Type="http://schemas.openxmlformats.org/officeDocument/2006/relationships/header" Target="header6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5.xml" /><Relationship Id="rId22" Type="http://schemas.openxmlformats.org/officeDocument/2006/relationships/header" Target="header8.xml" /><Relationship Id="rId23" Type="http://schemas.openxmlformats.org/officeDocument/2006/relationships/footer" Target="footer6.xml" /><Relationship Id="rId24" Type="http://schemas.openxmlformats.org/officeDocument/2006/relationships/header" Target="header9.xml" /><Relationship Id="rId25" Type="http://schemas.openxmlformats.org/officeDocument/2006/relationships/footer" Target="footer7.xml" /><Relationship Id="rId26" Type="http://schemas.openxmlformats.org/officeDocument/2006/relationships/image" Target="media/image10.png" /><Relationship Id="rId27" Type="http://schemas.openxmlformats.org/officeDocument/2006/relationships/header" Target="header10.xml" /><Relationship Id="rId28" Type="http://schemas.openxmlformats.org/officeDocument/2006/relationships/footer" Target="footer8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2.xml" /><Relationship Id="rId32" Type="http://schemas.openxmlformats.org/officeDocument/2006/relationships/footer" Target="footer10.xml" /><Relationship Id="rId33" Type="http://schemas.openxmlformats.org/officeDocument/2006/relationships/header" Target="header13.xml" /><Relationship Id="rId34" Type="http://schemas.openxmlformats.org/officeDocument/2006/relationships/footer" Target="footer11.xml" /><Relationship Id="rId35" Type="http://schemas.openxmlformats.org/officeDocument/2006/relationships/hyperlink" Target="https://d.book118.com/688101002060006024" TargetMode="External" /><Relationship Id="rId36" Type="http://schemas.openxmlformats.org/officeDocument/2006/relationships/header" Target="header14.xml" /><Relationship Id="rId37" Type="http://schemas.openxmlformats.org/officeDocument/2006/relationships/footer" Target="footer12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2024-01-08T17:22:15Z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2024-01-08T17:22:16Z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659bbec34d394d001f0ad6bbwl</vt:lpwstr>
  </property>
</Properties>
</file>