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三级钢项目安全调研评估报告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一、土建方案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eastAsia="zh-CN"/>
          </w:rPr>
          <w:t>二、三级钢行业背景及市场分析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3" w:history="1">
        <w:r>
          <w:rPr>
            <w:rFonts w:ascii="仿宋" w:eastAsia="仿宋" w:hAnsi="仿宋" w:cs="仿宋" w:hint="eastAsia"/>
            <w:lang w:eastAsia="zh-CN"/>
          </w:rPr>
          <w:t>(一)、三级钢行业创新驱动</w:t>
        </w:r>
        <w:r>
          <w:tab/>
        </w:r>
        <w:r>
          <w:fldChar w:fldCharType="begin"/>
        </w:r>
        <w:r>
          <w:instrText xml:space="preserve"> PAGEREF _Toc12573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(二)、三级钢行业发展现状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" w:history="1">
        <w:r>
          <w:rPr>
            <w:rFonts w:ascii="仿宋" w:eastAsia="仿宋" w:hAnsi="仿宋" w:cs="仿宋" w:hint="eastAsia"/>
            <w:lang w:eastAsia="zh-CN"/>
          </w:rPr>
          <w:t>(三)、三级钢行业高质量发展</w:t>
        </w:r>
        <w:r>
          <w:tab/>
        </w:r>
        <w:r>
          <w:fldChar w:fldCharType="begin"/>
        </w:r>
        <w:r>
          <w:instrText xml:space="preserve"> PAGEREF _Toc1361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eastAsia="zh-CN"/>
          </w:rPr>
          <w:t>(四)、三级钢行业产业链分析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(五)、三级钢行业发展方向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2" w:history="1">
        <w:r>
          <w:rPr>
            <w:rFonts w:ascii="仿宋" w:eastAsia="仿宋" w:hAnsi="仿宋" w:cs="仿宋" w:hint="eastAsia"/>
            <w:lang w:eastAsia="zh-CN"/>
          </w:rPr>
          <w:t>(六)、三级钢行业前景</w:t>
        </w:r>
        <w:r>
          <w:tab/>
        </w:r>
        <w:r>
          <w:fldChar w:fldCharType="begin"/>
        </w:r>
        <w:r>
          <w:instrText xml:space="preserve"> PAGEREF _Toc26152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(七)、三级钢行业发展趋势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三、地理位置与选址分析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6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_Toc25546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" w:history="1">
        <w:r>
          <w:rPr>
            <w:rFonts w:ascii="仿宋" w:eastAsia="仿宋" w:hAnsi="仿宋" w:cs="仿宋" w:hint="eastAsia"/>
            <w:lang w:eastAsia="zh-CN"/>
          </w:rPr>
          <w:t>四、公司概况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_Toc29249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_Toc14942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5" w:history="1">
        <w:r>
          <w:rPr>
            <w:rFonts w:ascii="仿宋" w:eastAsia="仿宋" w:hAnsi="仿宋" w:cs="仿宋" w:hint="eastAsia"/>
            <w:lang w:eastAsia="zh-CN"/>
          </w:rPr>
          <w:t>六、三级钢项目投资背景分析</w:t>
        </w:r>
        <w:r>
          <w:tab/>
        </w:r>
        <w:r>
          <w:fldChar w:fldCharType="begin"/>
        </w:r>
        <w:r>
          <w:instrText xml:space="preserve"> PAGEREF _Toc12385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9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_Toc20299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七、第七章员工培训与发展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_Toc32701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八、产品规划方案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1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_Toc5415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_Toc11465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九、建设期限和进度安排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4" w:history="1">
        <w:r>
          <w:rPr>
            <w:rFonts w:ascii="仿宋" w:eastAsia="仿宋" w:hAnsi="仿宋" w:cs="仿宋" w:hint="eastAsia"/>
            <w:lang w:eastAsia="zh-CN"/>
          </w:rPr>
          <w:t>(一)、三级钢项目实施预备阶段</w:t>
        </w:r>
        <w:r>
          <w:tab/>
        </w:r>
        <w:r>
          <w:fldChar w:fldCharType="begin"/>
        </w:r>
        <w:r>
          <w:instrText xml:space="preserve"> PAGEREF _Toc27754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(二)、三级钢项目实施进度安排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十、三级钢行业消费者市场分析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1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_Toc18791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9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_Toc3369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8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(一)、三级钢项目进度安排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(二)、三级钢项目实施保障措施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十二、风险评估与应对策略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(一)、三级钢项目风险分析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十三、环境影响评估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0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_Toc20270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8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_Toc29388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(三)、三级钢项目对环境的主要影响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十四、三级钢项目落地与推广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3" w:history="1">
        <w:r>
          <w:rPr>
            <w:rFonts w:ascii="仿宋" w:eastAsia="仿宋" w:hAnsi="仿宋" w:cs="仿宋" w:hint="eastAsia"/>
            <w:lang w:eastAsia="zh-CN"/>
          </w:rPr>
          <w:t>(一)、三级钢项目推广计划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" w:history="1">
        <w:r>
          <w:rPr>
            <w:rFonts w:ascii="仿宋" w:eastAsia="仿宋" w:hAnsi="仿宋" w:cs="仿宋" w:hint="eastAsia"/>
            <w:lang w:eastAsia="zh-CN"/>
          </w:rPr>
          <w:t>十五、资金筹措与投资分析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1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_Toc23111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2" w:history="1">
        <w:r>
          <w:rPr>
            <w:rFonts w:ascii="仿宋" w:eastAsia="仿宋" w:hAnsi="仿宋" w:cs="仿宋" w:hint="eastAsia"/>
            <w:lang w:eastAsia="zh-CN"/>
          </w:rPr>
          <w:t>十六、市场分析、调研</w:t>
        </w:r>
        <w:r>
          <w:tab/>
        </w:r>
        <w:r>
          <w:fldChar w:fldCharType="begin"/>
        </w:r>
        <w:r>
          <w:instrText xml:space="preserve"> PAGEREF _Toc6832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(一)、三级钢行业分析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(二)、三级钢市场分析预测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十七、生态环境影响分析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4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_Toc10794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十八、人才招聘与团队建设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3" w:history="1">
        <w:r>
          <w:rPr>
            <w:rFonts w:ascii="仿宋" w:eastAsia="仿宋" w:hAnsi="仿宋" w:cs="仿宋" w:hint="eastAsia"/>
            <w:lang w:eastAsia="zh-CN"/>
          </w:rPr>
          <w:t>十九、应急管理与安全防护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9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_Toc634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二十、生产控制的概念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2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_Toc10922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9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7" w:history="1">
        <w:r>
          <w:rPr>
            <w:rFonts w:ascii="仿宋" w:eastAsia="仿宋" w:hAnsi="仿宋" w:cs="仿宋" w:hint="eastAsia"/>
            <w:lang w:eastAsia="zh-CN"/>
          </w:rPr>
          <w:t>二十一、三级钢行业互联网营销</w:t>
        </w:r>
        <w:r>
          <w:tab/>
        </w:r>
        <w:r>
          <w:fldChar w:fldCharType="begin"/>
        </w:r>
        <w:r>
          <w:instrText xml:space="preserve"> PAGEREF _Toc29397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1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_Toc12411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8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3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_Toc24843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18"/>
      <w:r>
        <w:rPr>
          <w:rFonts w:ascii="仿宋" w:eastAsia="仿宋" w:hAnsi="仿宋" w:cs="仿宋" w:hint="eastAsia"/>
          <w:sz w:val="28"/>
          <w:lang w:eastAsia="zh-CN"/>
        </w:rPr>
        <w:t>一、土建方案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57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建筑工程的设计原则主要包括以下六点：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遵循国家规划、城乡规划和产业政策的要求，以促进国家经济和社会的发展。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遵循资源综合利用、节约能源和环境保护的要求，实现可持续发展。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符合强制性的工程建设技术标准，确保工程质量和安全。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对公共建筑和住宅建筑来说，要追求美观、实用和协调统一的设计。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积极采用新技术、新工艺、新材料和新设备，提高建筑工程的技术水平。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https://d.book118.com/688111065132006040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三级钢项目安全调研评估报告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三级钢项目安全调研评估报告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三级钢项目安全调研评估报告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三级钢项目安全调研评估报告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三级钢项目安全调研评估报告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87524A"/>
    <w:rsid w:val="4593521B"/>
    <w:rsid w:val="4D87524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111065132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2024-02-25T01:30:00Z</dcterms:created>
  <dcterms:modified xsi:type="dcterms:W3CDTF">2024-02-25T01:31:05Z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667513C9EEBE4B36A5517F3631D5FE48_11</vt:lpwstr>
  </property>
  <property fmtid="{D5CDD505-2E9C-101B-9397-08002B2CF9AE}" pid="3" name="KSOProductBuildVer">
    <vt:lpwstr>2052-12.1.0.16250</vt:lpwstr>
  </property>
</Properties>
</file>