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3" w:lineRule="auto"/>
        <w:rPr>
          <w:rFonts w:ascii="Arial"/>
          <w:sz w:val="21"/>
        </w:rPr>
      </w:pPr>
      <w:r>
        <w:pict>
          <v:rect id="_x0000_s1025" style="width:133pt;height:0.5pt;margin-top:326.33pt;margin-left:49.56pt;mso-position-horizontal-relative:page;mso-position-vertical-relative:page;position:absolute;z-index:251661312" o:allowincell="f" filled="t" fillcolor="black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56.15pt;height:12.6pt;margin-top:56.91pt;margin-left:64.5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before="20" w:line="217" w:lineRule="auto"/>
                    <w:ind w:left="20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sz w:val="18"/>
                      <w:szCs w:val="18"/>
                      <w14:textOutline w14:w="326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证券研究报告</w:t>
                  </w:r>
                </w:p>
              </w:txbxContent>
            </v:textbox>
          </v:shape>
        </w:pict>
      </w:r>
      <w:r>
        <w:pict>
          <v:shape id="_x0000_s1027" type="#_x0000_t202" style="width:42.7pt;height:843.95pt;margin-top:-1pt;margin-left:-1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798" w:type="dxa"/>
                    <w:tblInd w:w="27" w:type="dxa"/>
                    <w:tblBorders>
                      <w:top w:val="single" w:sz="6" w:space="0" w:color="020181"/>
                      <w:left w:val="single" w:sz="6" w:space="0" w:color="020181"/>
                      <w:bottom w:val="single" w:sz="6" w:space="0" w:color="020181"/>
                      <w:right w:val="single" w:sz="6" w:space="0" w:color="020181"/>
                      <w:insideH w:val="single" w:sz="6" w:space="0" w:color="020181"/>
                      <w:insideV w:val="single" w:sz="6" w:space="0" w:color="020181"/>
                    </w:tblBorders>
                    <w:tblLayout w:type="fixed"/>
                  </w:tblPr>
                  <w:tblGrid>
                    <w:gridCol w:w="798"/>
                  </w:tblGrid>
                  <w:tr>
                    <w:tblPrEx>
                      <w:tblW w:w="798" w:type="dxa"/>
                      <w:tblInd w:w="27" w:type="dxa"/>
                      <w:tblBorders>
                        <w:top w:val="single" w:sz="6" w:space="0" w:color="020181"/>
                        <w:left w:val="single" w:sz="6" w:space="0" w:color="020181"/>
                        <w:bottom w:val="single" w:sz="6" w:space="0" w:color="020181"/>
                        <w:right w:val="single" w:sz="6" w:space="0" w:color="020181"/>
                        <w:insideH w:val="single" w:sz="6" w:space="0" w:color="020181"/>
                        <w:insideV w:val="single" w:sz="6" w:space="0" w:color="020181"/>
                      </w:tblBorders>
                      <w:tblLayout w:type="fixed"/>
                    </w:tblPrEx>
                    <w:trPr>
                      <w:trHeight w:val="1976"/>
                    </w:trPr>
                    <w:tc>
                      <w:tcPr>
                        <w:tcW w:w="798" w:type="dxa"/>
                        <w:tcBorders>
                          <w:top w:val="single" w:sz="2" w:space="0" w:color="9DA3D3"/>
                          <w:left w:val="single" w:sz="4" w:space="0" w:color="9DA3D3"/>
                          <w:bottom w:val="single" w:sz="6" w:space="0" w:color="9DA3D3"/>
                          <w:right w:val="single" w:sz="6" w:space="0" w:color="9DA3D3"/>
                        </w:tcBorders>
                        <w:shd w:val="clear" w:color="auto" w:fill="9DA3D3"/>
                        <w:textDirection w:val="tbRlV"/>
                        <w:vAlign w:val="top"/>
                      </w:tcPr>
                      <w:p>
                        <w:pPr>
                          <w:pStyle w:val="TableText"/>
                          <w:spacing w:before="161" w:line="209" w:lineRule="auto"/>
                          <w:ind w:left="322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olor w:val="FFFFFF"/>
                            <w:spacing w:val="62"/>
                            <w:sz w:val="28"/>
                            <w:szCs w:val="28"/>
                            <w14:textOutline w14:w="5094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固定收益</w:t>
                        </w:r>
                      </w:p>
                    </w:tc>
                  </w:tr>
                  <w:tr>
                    <w:tblPrEx>
                      <w:tblW w:w="798" w:type="dxa"/>
                      <w:tblInd w:w="27" w:type="dxa"/>
                      <w:tblLayout w:type="fixed"/>
                    </w:tblPrEx>
                    <w:trPr>
                      <w:trHeight w:val="5294"/>
                    </w:trPr>
                    <w:tc>
                      <w:tcPr>
                        <w:tcW w:w="798" w:type="dxa"/>
                        <w:tcBorders>
                          <w:left w:val="single" w:sz="4" w:space="0" w:color="020181"/>
                        </w:tcBorders>
                        <w:shd w:val="clear" w:color="auto" w:fill="020181"/>
                        <w:textDirection w:val="tbRlV"/>
                        <w:vAlign w:val="top"/>
                      </w:tcPr>
                      <w:p>
                        <w:pPr>
                          <w:pStyle w:val="TableText"/>
                          <w:spacing w:before="161" w:line="214" w:lineRule="auto"/>
                          <w:ind w:left="1948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olor w:val="FFFFFF"/>
                            <w:spacing w:val="62"/>
                            <w:sz w:val="28"/>
                            <w:szCs w:val="28"/>
                            <w14:textOutline w14:w="5094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债市研究</w:t>
                        </w:r>
                      </w:p>
                    </w:tc>
                  </w:tr>
                  <w:tr>
                    <w:tblPrEx>
                      <w:tblW w:w="798" w:type="dxa"/>
                      <w:tblInd w:w="27" w:type="dxa"/>
                      <w:tblLayout w:type="fixed"/>
                    </w:tblPrEx>
                    <w:trPr>
                      <w:trHeight w:val="9533"/>
                    </w:trPr>
                    <w:tc>
                      <w:tcPr>
                        <w:tcW w:w="798" w:type="dxa"/>
                        <w:tcBorders>
                          <w:top w:val="single" w:sz="6" w:space="0" w:color="D8D5EB"/>
                          <w:left w:val="single" w:sz="6" w:space="0" w:color="D8D5EB"/>
                          <w:bottom w:val="nil"/>
                          <w:right w:val="single" w:sz="6" w:space="0" w:color="D8D5EB"/>
                        </w:tcBorders>
                        <w:shd w:val="clear" w:color="auto" w:fill="E1E0FF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28" type="#_x0000_t202" style="width:135.25pt;height:170.9pt;margin-top:95.02pt;margin-left:48.56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2664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2664"/>
                  </w:tblGrid>
                  <w:tr>
                    <w:tblPrEx>
                      <w:tblW w:w="2664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2654"/>
                    </w:trPr>
                    <w:tc>
                      <w:tcPr>
                        <w:tcW w:w="2664" w:type="dxa"/>
                        <w:tcBorders>
                          <w:top w:val="single" w:sz="10" w:space="0" w:color="333366"/>
                          <w:bottom w:val="single" w:sz="10" w:space="0" w:color="333366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65" w:line="217" w:lineRule="auto"/>
                          <w:ind w:left="111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11"/>
                            <w:sz w:val="18"/>
                            <w:szCs w:val="18"/>
                          </w:rPr>
                          <w:t>分析师：</w:t>
                        </w:r>
                      </w:p>
                      <w:p>
                        <w:pPr>
                          <w:pStyle w:val="TableText"/>
                          <w:spacing w:before="74" w:line="279" w:lineRule="auto"/>
                          <w:ind w:left="107" w:right="496" w:firstLine="4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spacing w:val="4"/>
                            <w:sz w:val="19"/>
                            <w:szCs w:val="19"/>
                          </w:rPr>
                          <w:t>黄伟平</w:t>
                        </w:r>
                        <w:r>
                          <w:rPr>
                            <w:spacing w:val="-21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sz w:val="19"/>
                            <w:szCs w:val="19"/>
                          </w:rPr>
                          <w:t>S0190514080003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spacing w:val="4"/>
                            <w:sz w:val="19"/>
                            <w:szCs w:val="19"/>
                          </w:rPr>
                          <w:t>左大勇</w:t>
                        </w:r>
                        <w:r>
                          <w:rPr>
                            <w:spacing w:val="-16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sz w:val="19"/>
                            <w:szCs w:val="19"/>
                          </w:rPr>
                          <w:t>S0190516070005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spacing w:val="3"/>
                            <w:sz w:val="19"/>
                            <w:szCs w:val="19"/>
                          </w:rPr>
                          <w:t>常</w:t>
                        </w:r>
                        <w:r>
                          <w:rPr>
                            <w:spacing w:val="18"/>
                            <w:sz w:val="19"/>
                            <w:szCs w:val="19"/>
                          </w:rPr>
                          <w:t xml:space="preserve">  </w:t>
                        </w:r>
                        <w:r>
                          <w:rPr>
                            <w:spacing w:val="3"/>
                            <w:sz w:val="19"/>
                            <w:szCs w:val="19"/>
                          </w:rPr>
                          <w:t>月</w:t>
                        </w:r>
                        <w:r>
                          <w:rPr>
                            <w:spacing w:val="-32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9"/>
                            <w:szCs w:val="19"/>
                          </w:rPr>
                          <w:t>S0190521050001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spacing w:val="4"/>
                            <w:sz w:val="19"/>
                            <w:szCs w:val="19"/>
                          </w:rPr>
                          <w:t>蔡</w:t>
                        </w:r>
                        <w:r>
                          <w:rPr>
                            <w:spacing w:val="79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spacing w:val="4"/>
                            <w:sz w:val="19"/>
                            <w:szCs w:val="19"/>
                          </w:rPr>
                          <w:t>琨</w:t>
                        </w:r>
                        <w:r>
                          <w:rPr>
                            <w:spacing w:val="4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sz w:val="19"/>
                            <w:szCs w:val="19"/>
                          </w:rPr>
                          <w:t>S0190520080005</w:t>
                        </w:r>
                      </w:p>
                    </w:tc>
                  </w:tr>
                  <w:tr>
                    <w:tblPrEx>
                      <w:tblW w:w="2664" w:type="dxa"/>
                      <w:tblInd w:w="20" w:type="dxa"/>
                      <w:tblLayout w:type="fixed"/>
                    </w:tblPrEx>
                    <w:trPr>
                      <w:trHeight w:val="668"/>
                    </w:trPr>
                    <w:tc>
                      <w:tcPr>
                        <w:tcW w:w="2664" w:type="dxa"/>
                        <w:tcBorders>
                          <w:top w:val="single" w:sz="10" w:space="0" w:color="333366"/>
                          <w:bottom w:val="single" w:sz="2" w:space="0" w:color="333366"/>
                        </w:tcBorders>
                        <w:vAlign w:val="top"/>
                      </w:tcPr>
                      <w:p>
                        <w:pPr>
                          <w:spacing w:line="28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69" w:line="223" w:lineRule="auto"/>
                          <w:ind w:left="106"/>
                        </w:pPr>
                        <w:r>
                          <w:rPr>
                            <w:color w:val="CE1300"/>
                            <w14:textOutline w14:w="3831">
                              <w14:solidFill>
                                <w14:srgbClr w14:val="CE13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相关报告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565" w:lineRule="exact"/>
        <w:ind w:firstLine="8442"/>
      </w:pPr>
      <w:r>
        <w:rPr>
          <w:position w:val="-11"/>
        </w:rPr>
        <w:drawing>
          <wp:inline distT="0" distB="0" distL="0" distR="0">
            <wp:extent cx="1500242" cy="35913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00242" cy="359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7124" w:type="dxa"/>
        <w:tblInd w:w="394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124"/>
      </w:tblGrid>
      <w:tr>
        <w:tblPrEx>
          <w:tblW w:w="7124" w:type="dxa"/>
          <w:tblInd w:w="394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53"/>
        </w:trPr>
        <w:tc>
          <w:tcPr>
            <w:tcW w:w="7124" w:type="dxa"/>
            <w:tcBorders>
              <w:top w:val="single" w:sz="10" w:space="0" w:color="333366"/>
              <w:bottom w:val="single" w:sz="10" w:space="0" w:color="333366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15" w:lineRule="auto"/>
              <w:ind w:left="1205"/>
              <w:rPr>
                <w:sz w:val="36"/>
                <w:szCs w:val="36"/>
              </w:rPr>
            </w:pPr>
            <w:r>
              <w:rPr>
                <w:sz w:val="36"/>
                <w:szCs w:val="36"/>
                <w14:textOutline w14:w="65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转债退出方式变化的影响讨论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6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E1300"/>
                <w:spacing w:val="-11"/>
                <w:sz w:val="24"/>
                <w:szCs w:val="24"/>
              </w:rPr>
              <w:t xml:space="preserve">2024 </w:t>
            </w:r>
            <w:r>
              <w:rPr>
                <w:color w:val="CE1300"/>
                <w:spacing w:val="-11"/>
                <w:sz w:val="24"/>
                <w:szCs w:val="24"/>
                <w14:textOutline w14:w="4354">
                  <w14:solidFill>
                    <w14:srgbClr w14:val="CE13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color w:val="CE13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CE1300"/>
                <w:spacing w:val="-11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CE1300"/>
                <w:spacing w:val="13"/>
                <w:sz w:val="24"/>
                <w:szCs w:val="24"/>
              </w:rPr>
              <w:t xml:space="preserve"> </w:t>
            </w:r>
            <w:r>
              <w:rPr>
                <w:color w:val="CE1300"/>
                <w:spacing w:val="-11"/>
                <w:sz w:val="24"/>
                <w:szCs w:val="24"/>
                <w14:textOutline w14:w="4354">
                  <w14:solidFill>
                    <w14:srgbClr w14:val="CE1300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color w:val="CE1300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CE1300"/>
                <w:spacing w:val="-11"/>
                <w:sz w:val="24"/>
                <w:szCs w:val="24"/>
              </w:rPr>
              <w:t xml:space="preserve">14  </w:t>
            </w:r>
            <w:r>
              <w:rPr>
                <w:color w:val="CE1300"/>
                <w:spacing w:val="-11"/>
                <w:sz w:val="24"/>
                <w:szCs w:val="24"/>
                <w14:textOutline w14:w="4354">
                  <w14:solidFill>
                    <w14:srgbClr w14:val="CE1300"/>
                  </w14:solidFill>
                  <w14:prstDash w14:val="solid"/>
                  <w14:miter w14:lim="10"/>
                </w14:textOutline>
              </w:rPr>
              <w:t>日</w:t>
            </w:r>
          </w:p>
        </w:tc>
      </w:tr>
      <w:tr>
        <w:tblPrEx>
          <w:tblW w:w="7124" w:type="dxa"/>
          <w:tblInd w:w="3948" w:type="dxa"/>
          <w:tblLayout w:type="fixed"/>
        </w:tblPrEx>
        <w:trPr>
          <w:trHeight w:val="7811"/>
        </w:trPr>
        <w:tc>
          <w:tcPr>
            <w:tcW w:w="7124" w:type="dxa"/>
            <w:tcBorders>
              <w:top w:val="single" w:sz="10" w:space="0" w:color="333366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60"/>
            </w:pPr>
            <w:r>
              <w:rPr>
                <w:color w:val="CE1300"/>
                <w:spacing w:val="1"/>
                <w14:textOutline w14:w="3831">
                  <w14:solidFill>
                    <w14:srgbClr w14:val="CE1300"/>
                  </w14:solidFill>
                  <w14:prstDash w14:val="solid"/>
                  <w14:miter w14:lim="10"/>
                </w14:textOutline>
              </w:rPr>
              <w:t>投资要点</w:t>
            </w:r>
          </w:p>
          <w:p>
            <w:pPr>
              <w:pStyle w:val="TableText"/>
              <w:spacing w:before="163" w:line="219" w:lineRule="auto"/>
              <w:ind w:left="55"/>
            </w:pPr>
            <w:r>
              <w:rPr>
                <w:color w:val="333366"/>
                <w14:textOutline w14:w="3831">
                  <w14:solidFill>
                    <w14:srgbClr w14:val="333366"/>
                  </w14:solidFill>
                  <w14:prstDash w14:val="solid"/>
                  <w14:miter w14:lim="10"/>
                </w14:textOutline>
              </w:rPr>
              <w:t>转债历史退出情况浅析</w:t>
            </w:r>
          </w:p>
          <w:p>
            <w:pPr>
              <w:pStyle w:val="TableText"/>
              <w:spacing w:before="144" w:line="235" w:lineRule="auto"/>
              <w:ind w:left="521" w:right="6" w:hanging="456"/>
            </w:pPr>
            <w:r>
              <w:rPr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</w:rPr>
              <w:t xml:space="preserve">  </w:t>
            </w:r>
            <w:r>
              <w:rPr>
                <w:spacing w:val="3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所有退市转债中，到期赎回数量在增加，正股原因致转债退市的新方式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出现。</w:t>
            </w:r>
          </w:p>
          <w:p>
            <w:pPr>
              <w:pStyle w:val="TableText"/>
              <w:spacing w:before="10" w:line="228" w:lineRule="auto"/>
              <w:ind w:left="497" w:right="11" w:hanging="432"/>
            </w:pPr>
            <w:r>
              <w:rPr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5"/>
              </w:rPr>
              <w:t xml:space="preserve">  </w:t>
            </w:r>
            <w:r>
              <w:rPr>
                <w:spacing w:val="4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提前赎回样本中，规模较大的转债、红利低估</w:t>
            </w:r>
            <w:r>
              <w:rPr>
                <w:spacing w:val="3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板块的转债放弃赎回的概</w:t>
            </w:r>
            <w:r>
              <w:t xml:space="preserve"> </w:t>
            </w:r>
            <w:r>
              <w:rPr>
                <w:spacing w:val="-10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率较低。</w:t>
            </w:r>
          </w:p>
          <w:p>
            <w:pPr>
              <w:pStyle w:val="TableText"/>
              <w:spacing w:before="27" w:line="233" w:lineRule="auto"/>
              <w:ind w:left="492" w:hanging="427"/>
            </w:pPr>
            <w:r>
              <w:rPr>
                <w:position w:val="1"/>
              </w:rPr>
              <w:drawing>
                <wp:inline distT="0" distB="0" distL="0" distR="0">
                  <wp:extent cx="77648" cy="78857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48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0"/>
              </w:rPr>
              <w:t xml:space="preserve">  </w:t>
            </w: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到期赎回的转债样本中，</w:t>
            </w:r>
            <w:r>
              <w:rPr>
                <w:spacing w:val="40"/>
              </w:rPr>
              <w:t xml:space="preserve"> </w:t>
            </w: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大多前期未触发过提前赎回条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款，但由于之前</w:t>
            </w:r>
            <w:r>
              <w:t xml:space="preserve"> </w:t>
            </w:r>
            <w:r>
              <w:rPr>
                <w:spacing w:val="1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正股表现或者最后阶段的努力，很多都实现了部分转</w:t>
            </w:r>
            <w:r>
              <w:rPr>
                <w:spacing w:val="10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股甚至大部分转</w:t>
            </w:r>
            <w:r>
              <w:t xml:space="preserve"> </w:t>
            </w:r>
            <w:r>
              <w:rPr>
                <w:spacing w:val="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股。</w:t>
            </w:r>
            <w:r>
              <w:rPr>
                <w:spacing w:val="-17"/>
              </w:rPr>
              <w:t xml:space="preserve"> </w:t>
            </w:r>
            <w:r>
              <w:rPr>
                <w:spacing w:val="1"/>
                <w:u w:val="single" w:color="auto"/>
              </w:rPr>
              <w:t>投资者一定程度上可以根据上市公司的资金流充裕度以及历史上公</w:t>
            </w:r>
            <w:r>
              <w:t xml:space="preserve"> </w:t>
            </w:r>
            <w:r>
              <w:rPr>
                <w:spacing w:val="-5"/>
                <w:u w:val="single" w:color="auto"/>
              </w:rPr>
              <w:t>司的操作上推断公司促转股的动力强弱。</w:t>
            </w:r>
            <w:r>
              <w:rPr>
                <w:spacing w:val="13"/>
                <w:u w:val="single" w:color="auto"/>
              </w:rPr>
              <w:t xml:space="preserve"> </w:t>
            </w:r>
          </w:p>
          <w:p>
            <w:pPr>
              <w:pStyle w:val="TableText"/>
              <w:spacing w:before="28" w:line="213" w:lineRule="auto"/>
              <w:ind w:left="65"/>
            </w:pPr>
            <w:r>
              <w:rPr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</w:rPr>
              <w:t xml:space="preserve">  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回售退出的转债有限，且均具一定特殊性。</w:t>
            </w:r>
          </w:p>
          <w:p>
            <w:pPr>
              <w:pStyle w:val="TableText"/>
              <w:spacing w:before="29" w:line="229" w:lineRule="auto"/>
              <w:ind w:left="489" w:hanging="424"/>
            </w:pPr>
            <w:r>
              <w:rPr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2"/>
              </w:rPr>
              <w:t xml:space="preserve"> 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正股退市导致转债退市的案例集中在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2023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年出现，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好在机构投资者多数</w:t>
            </w:r>
            <w: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尽早规避了此类风险。</w:t>
            </w:r>
          </w:p>
          <w:p>
            <w:pPr>
              <w:pStyle w:val="TableText"/>
              <w:spacing w:before="144" w:line="218" w:lineRule="auto"/>
              <w:ind w:left="66"/>
            </w:pPr>
            <w:r>
              <w:rPr>
                <w:color w:val="333366"/>
                <w:spacing w:val="-1"/>
                <w14:textOutline w14:w="3831">
                  <w14:solidFill>
                    <w14:srgbClr w14:val="333366"/>
                  </w14:solidFill>
                  <w14:prstDash w14:val="solid"/>
                  <w14:miter w14:lim="10"/>
                </w14:textOutline>
              </w:rPr>
              <w:t>临近到期的转债的投资价值讨论</w:t>
            </w:r>
          </w:p>
          <w:p>
            <w:pPr>
              <w:pStyle w:val="TableText"/>
              <w:spacing w:before="86" w:line="213" w:lineRule="auto"/>
              <w:ind w:left="65"/>
            </w:pPr>
            <w:r>
              <w:rPr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</w:rPr>
              <w:t xml:space="preserve"> 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未来两年到期的转债较多，时间价值可能对市场定价产生负面影响。</w:t>
            </w:r>
          </w:p>
          <w:p>
            <w:pPr>
              <w:pStyle w:val="TableText"/>
              <w:spacing w:before="29" w:line="213" w:lineRule="auto"/>
              <w:ind w:left="65"/>
            </w:pPr>
            <w:r>
              <w:rPr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</w:rPr>
              <w:t xml:space="preserve"> 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及时下修，利用条款优势是发行人最佳选择。</w:t>
            </w:r>
          </w:p>
          <w:p>
            <w:pPr>
              <w:pStyle w:val="TableText"/>
              <w:spacing w:before="31" w:line="232" w:lineRule="auto"/>
              <w:ind w:left="486" w:hanging="421"/>
            </w:pPr>
            <w:r>
              <w:rPr>
                <w:position w:val="1"/>
              </w:rPr>
              <w:drawing>
                <wp:inline distT="0" distB="0" distL="0" distR="0">
                  <wp:extent cx="77648" cy="78857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48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</w:rPr>
              <w:t xml:space="preserve">  </w:t>
            </w:r>
            <w:r>
              <w:rPr>
                <w:spacing w:val="10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未来两年到期的转债中，金融板块的到期规模较大，条款博弈空间有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限。</w:t>
            </w:r>
            <w:r>
              <w:rPr>
                <w:spacing w:val="4"/>
                <w:u w:val="single" w:color="auto"/>
              </w:rPr>
              <w:t>但还可根据价格相对到期赎回价的位置进行波段操作，也可从上市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  <w:u w:val="single" w:color="auto"/>
              </w:rPr>
              <w:t>公司资金面紧张而促转股的角度博弈下修以及股价上涨的投</w:t>
            </w:r>
            <w:r>
              <w:rPr>
                <w:u w:val="single" w:color="auto"/>
              </w:rPr>
              <w:t>资机会。</w:t>
            </w:r>
          </w:p>
          <w:p>
            <w:pPr>
              <w:pStyle w:val="TableText"/>
              <w:spacing w:before="267" w:line="213" w:lineRule="auto"/>
              <w:ind w:left="65"/>
            </w:pPr>
            <w:r>
              <w:rPr>
                <w:color w:val="333366"/>
                <w:spacing w:val="-9"/>
                <w14:textOutline w14:w="3831">
                  <w14:solidFill>
                    <w14:srgbClr w14:val="333366"/>
                  </w14:solidFill>
                  <w14:prstDash w14:val="solid"/>
                  <w14:miter w14:lim="10"/>
                </w14:textOutline>
              </w:rPr>
              <w:t>市场策略：磨底期，</w:t>
            </w:r>
            <w:r>
              <w:rPr>
                <w:color w:val="333366"/>
                <w:spacing w:val="55"/>
              </w:rPr>
              <w:t xml:space="preserve"> </w:t>
            </w:r>
            <w:r>
              <w:rPr>
                <w:color w:val="333366"/>
                <w:spacing w:val="-9"/>
                <w14:textOutline w14:w="3831">
                  <w14:solidFill>
                    <w14:srgbClr w14:val="333366"/>
                  </w14:solidFill>
                  <w14:prstDash w14:val="solid"/>
                  <w14:miter w14:lim="10"/>
                </w14:textOutline>
              </w:rPr>
              <w:t>可配空间已大幅抬升</w:t>
            </w:r>
          </w:p>
          <w:p>
            <w:pPr>
              <w:pStyle w:val="TableText"/>
              <w:spacing w:before="29" w:line="230" w:lineRule="auto"/>
              <w:ind w:left="495" w:right="11" w:hanging="430"/>
            </w:pPr>
            <w:r>
              <w:rPr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5"/>
              </w:rPr>
              <w:t xml:space="preserve">  </w:t>
            </w:r>
            <w:r>
              <w:rPr>
                <w:spacing w:val="3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转债抛盘压力提前释放，资金面预计将明显好于权益，近期能观察到增</w:t>
            </w:r>
            <w:r>
              <w:t xml:space="preserve"> </w:t>
            </w:r>
            <w:r>
              <w:rPr>
                <w:spacing w:val="-6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量资金的出现。</w:t>
            </w:r>
          </w:p>
          <w:p>
            <w:pPr>
              <w:pStyle w:val="TableText"/>
              <w:spacing w:before="21" w:line="221" w:lineRule="auto"/>
              <w:ind w:left="65"/>
            </w:pPr>
            <w:r>
              <w:rPr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6"/>
              </w:rPr>
              <w:t xml:space="preserve">  </w:t>
            </w: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从低价转债配置的思路：</w:t>
            </w:r>
          </w:p>
          <w:p>
            <w:pPr>
              <w:pStyle w:val="TableText"/>
              <w:spacing w:before="22" w:line="213" w:lineRule="auto"/>
              <w:ind w:left="491" w:right="3" w:firstLine="20"/>
            </w:pPr>
            <w:r>
              <w:rPr>
                <w:rFonts w:ascii="Times New Roman" w:eastAsia="Times New Roman" w:hAnsi="Times New Roman" w:cs="Times New Roman"/>
                <w:spacing w:val="4"/>
              </w:rPr>
              <w:t>1)</w:t>
            </w:r>
            <w:r>
              <w:rPr>
                <w:spacing w:val="4"/>
              </w:rPr>
              <w:t>一些资质不错的低价转债，在存续期内若能强赎，具备不错的纯债替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代空间。</w:t>
            </w:r>
          </w:p>
        </w:tc>
      </w:tr>
      <w:tr>
        <w:tblPrEx>
          <w:tblW w:w="7124" w:type="dxa"/>
          <w:tblInd w:w="3948" w:type="dxa"/>
          <w:tblLayout w:type="fixed"/>
        </w:tblPrEx>
        <w:trPr>
          <w:trHeight w:val="287"/>
        </w:trPr>
        <w:tc>
          <w:tcPr>
            <w:tcW w:w="7124" w:type="dxa"/>
            <w:vAlign w:val="top"/>
          </w:tcPr>
          <w:p>
            <w:pPr>
              <w:pStyle w:val="TableText"/>
              <w:spacing w:before="50" w:line="199" w:lineRule="auto"/>
              <w:ind w:left="491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2)</w:t>
            </w:r>
            <w:r>
              <w:rPr>
                <w:spacing w:val="-3"/>
              </w:rPr>
              <w:t>部分将要进入回售期的低价转债，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具备下修的博弈</w:t>
            </w:r>
            <w:r>
              <w:rPr>
                <w:spacing w:val="-4"/>
              </w:rPr>
              <w:t>空间。</w:t>
            </w:r>
          </w:p>
        </w:tc>
      </w:tr>
    </w:tbl>
    <w:p>
      <w:pPr>
        <w:sectPr>
          <w:pgSz w:w="11907" w:h="16839"/>
          <w:pgMar w:top="0" w:right="833" w:bottom="0" w:left="0" w:header="0" w:footer="0" w:gutter="0"/>
          <w:cols w:space="708"/>
        </w:sectPr>
      </w:pPr>
    </w:p>
    <w:tbl>
      <w:tblPr>
        <w:tblStyle w:val="TableNormal0"/>
        <w:tblW w:w="7124" w:type="dxa"/>
        <w:tblInd w:w="394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124"/>
      </w:tblGrid>
      <w:tr>
        <w:tblPrEx>
          <w:tblW w:w="7124" w:type="dxa"/>
          <w:tblInd w:w="394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800"/>
        </w:trPr>
        <w:tc>
          <w:tcPr>
            <w:tcW w:w="7124" w:type="dxa"/>
            <w:tcBorders>
              <w:bottom w:val="single" w:sz="6" w:space="0" w:color="D99594"/>
            </w:tcBorders>
            <w:vAlign w:val="top"/>
          </w:tcPr>
          <w:p>
            <w:pPr>
              <w:pStyle w:val="TableText"/>
              <w:spacing w:before="35" w:line="213" w:lineRule="auto"/>
              <w:ind w:left="495"/>
            </w:pP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spacing w:val="-6"/>
              </w:rPr>
              <w:t>）双低组合，</w:t>
            </w:r>
            <w:r>
              <w:rPr>
                <w:spacing w:val="-27"/>
              </w:rPr>
              <w:t xml:space="preserve"> </w:t>
            </w:r>
            <w:r>
              <w:rPr>
                <w:spacing w:val="-6"/>
              </w:rPr>
              <w:t>在正股整个修复阶段，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具备最优的</w:t>
            </w:r>
            <w:r>
              <w:rPr>
                <w:spacing w:val="-7"/>
              </w:rPr>
              <w:t>弹性空间。</w:t>
            </w:r>
          </w:p>
        </w:tc>
      </w:tr>
    </w:tbl>
    <w:p>
      <w:pPr>
        <w:spacing w:before="32" w:line="226" w:lineRule="auto"/>
        <w:ind w:left="4016" w:right="8" w:hanging="15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color w:val="CE1300"/>
          <w:spacing w:val="4"/>
          <w:sz w:val="21"/>
          <w:szCs w:val="21"/>
          <w14:textOutline w14:w="3831">
            <w14:solidFill>
              <w14:srgbClr w14:val="CE1300"/>
            </w14:solidFill>
            <w14:prstDash w14:val="solid"/>
            <w14:miter w14:lim="10"/>
          </w14:textOutline>
        </w:rPr>
        <w:t>风险提示：本报告的事件研究是历史数据的测算结果，若市场环境发生显著</w:t>
      </w:r>
      <w:r>
        <w:rPr>
          <w:rFonts w:ascii="KaiTi" w:eastAsia="KaiTi" w:hAnsi="KaiTi" w:cs="KaiTi"/>
          <w:color w:val="CE1300"/>
          <w:sz w:val="21"/>
          <w:szCs w:val="21"/>
        </w:rPr>
        <w:t xml:space="preserve"> </w:t>
      </w:r>
      <w:r>
        <w:rPr>
          <w:rFonts w:ascii="KaiTi" w:eastAsia="KaiTi" w:hAnsi="KaiTi" w:cs="KaiTi"/>
          <w:color w:val="CE1300"/>
          <w:spacing w:val="-5"/>
          <w:sz w:val="21"/>
          <w:szCs w:val="21"/>
          <w14:textOutline w14:w="3831">
            <w14:solidFill>
              <w14:srgbClr w14:val="CE1300"/>
            </w14:solidFill>
            <w14:prstDash w14:val="solid"/>
            <w14:miter w14:lim="10"/>
          </w14:textOutline>
        </w:rPr>
        <w:t>变化，存在失效的风险，</w:t>
      </w:r>
      <w:r>
        <w:rPr>
          <w:rFonts w:ascii="KaiTi" w:eastAsia="KaiTi" w:hAnsi="KaiTi" w:cs="KaiTi"/>
          <w:color w:val="CE1300"/>
          <w:spacing w:val="-5"/>
          <w:sz w:val="21"/>
          <w:szCs w:val="21"/>
        </w:rPr>
        <w:t xml:space="preserve"> </w:t>
      </w:r>
      <w:r>
        <w:rPr>
          <w:rFonts w:ascii="KaiTi" w:eastAsia="KaiTi" w:hAnsi="KaiTi" w:cs="KaiTi"/>
          <w:color w:val="CE1300"/>
          <w:spacing w:val="-5"/>
          <w:sz w:val="21"/>
          <w:szCs w:val="21"/>
          <w14:textOutline w14:w="3831">
            <w14:solidFill>
              <w14:srgbClr w14:val="CE1300"/>
            </w14:solidFill>
            <w14:prstDash w14:val="solid"/>
            <w14:miter w14:lim="10"/>
          </w14:textOutline>
        </w:rPr>
        <w:t>实际交易中谨慎参考。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9" w:lineRule="exact"/>
        <w:ind w:firstLine="854"/>
      </w:pPr>
      <w:r>
        <w:pict>
          <v:shape id="_x0000_i1029" style="width:508.1pt;height:1.45pt;mso-position-horizontal-relative:char;mso-position-vertical-relative:line" coordorigin="0,0" coordsize="10162,29" path="m,28l10161,28l10161,l,l,28xe" filled="t" fillcolor="#336" stroked="f">
            <w10:wrap type="none"/>
          </v:shape>
        </w:pict>
      </w:r>
    </w:p>
    <w:p>
      <w:pPr>
        <w:spacing w:before="46" w:line="220" w:lineRule="auto"/>
        <w:ind w:left="4223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333366"/>
          <w:sz w:val="18"/>
          <w:szCs w:val="18"/>
          <w14:textOutline w14:w="3265">
            <w14:solidFill>
              <w14:srgbClr w14:val="333366"/>
            </w14:solidFill>
            <w14:prstDash w14:val="solid"/>
            <w14:miter w14:lim="10"/>
          </w14:textOutline>
        </w:rPr>
        <w:t>请务必阅读正文之后的信息披露和重要声明</w:t>
      </w:r>
    </w:p>
    <w:p>
      <w:pPr>
        <w:spacing w:line="220" w:lineRule="auto"/>
        <w:rPr>
          <w:rFonts w:ascii="SimSun" w:eastAsia="SimSun" w:hAnsi="SimSun" w:cs="SimSun"/>
          <w:sz w:val="18"/>
          <w:szCs w:val="18"/>
        </w:rPr>
        <w:sectPr>
          <w:type w:val="nextPage"/>
          <w:pgSz w:w="11907" w:h="16839"/>
          <w:pgMar w:top="0" w:right="833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32" w:line="223" w:lineRule="auto"/>
        <w:ind w:left="2899"/>
      </w:pPr>
      <w:r>
        <w:pict>
          <v:shape id="_x0000_s1030" style="width:517.8pt;height:0.5pt;margin-top:277.25pt;margin-left:42.36pt;mso-position-horizontal-relative:page;mso-position-vertical-relative:page;position:absolute;z-index:251662336" coordorigin="0,0" coordsize="10355,10" o:allowincell="f" path="m,9l10355,9l10355,l,l,9xe" filled="t" fillcolor="black" stroked="f"/>
        </w:pict>
      </w:r>
      <w:r>
        <w:pict>
          <v:shape id="_x0000_s1031" style="width:517.8pt;height:0.5pt;margin-top:529.87pt;margin-left:42.36pt;mso-position-horizontal-relative:page;mso-position-vertical-relative:page;position:absolute;z-index:251663360" coordorigin="0,0" coordsize="10355,10" o:allowincell="f" path="m,9l10355,9l10355,l,l,9xe" filled="t" fillcolor="black" stroked="f"/>
        </w:pict>
      </w:r>
      <w:r>
        <w:rPr>
          <w:color w:val="CE1300"/>
          <w14:textOutline w14:w="3831">
            <w14:solidFill>
              <w14:srgbClr w14:val="CE1300"/>
            </w14:solidFill>
            <w14:prstDash w14:val="solid"/>
            <w14:miter w14:lim="10"/>
          </w14:textOutline>
        </w:rPr>
        <w:t>报告正文</w:t>
      </w:r>
    </w:p>
    <w:p>
      <w:pPr>
        <w:pStyle w:val="BodyText"/>
        <w:spacing w:before="138" w:line="233" w:lineRule="auto"/>
        <w:ind w:left="3146" w:right="251" w:firstLine="7"/>
        <w:jc w:val="both"/>
      </w:pPr>
      <w:r>
        <w:rPr>
          <w:spacing w:val="-1"/>
        </w:rPr>
        <w:t>历史上转债绝大多数以提前赎回的方式退出，</w:t>
      </w:r>
      <w:r>
        <w:rPr>
          <w:spacing w:val="-14"/>
        </w:rPr>
        <w:t xml:space="preserve"> </w:t>
      </w:r>
      <w:r>
        <w:rPr>
          <w:spacing w:val="-1"/>
        </w:rPr>
        <w:t>但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2023</w:t>
      </w:r>
      <w:r>
        <w:rPr>
          <w:rFonts w:ascii="Times New Roman" w:eastAsia="Times New Roman" w:hAnsi="Times New Roman" w:cs="Times New Roman"/>
          <w:spacing w:val="38"/>
          <w:w w:val="101"/>
        </w:rPr>
        <w:t xml:space="preserve"> </w:t>
      </w:r>
      <w:r>
        <w:rPr>
          <w:spacing w:val="-1"/>
        </w:rPr>
        <w:t>年转债到期赎回的数</w:t>
      </w:r>
      <w:r>
        <w:t xml:space="preserve"> </w:t>
      </w:r>
      <w:r>
        <w:rPr>
          <w:spacing w:val="-3"/>
        </w:rPr>
        <w:t>量明显增加。另外，</w:t>
      </w:r>
      <w:r>
        <w:rPr>
          <w:spacing w:val="-3"/>
        </w:rPr>
        <w:t xml:space="preserve"> </w:t>
      </w:r>
      <w:r>
        <w:rPr>
          <w:spacing w:val="-3"/>
        </w:rPr>
        <w:t>因为正股退市或重组导致退出的案例在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20</w:t>
      </w:r>
      <w:r>
        <w:rPr>
          <w:rFonts w:ascii="Times New Roman" w:eastAsia="Times New Roman" w:hAnsi="Times New Roman" w:cs="Times New Roman"/>
          <w:spacing w:val="-4"/>
        </w:rPr>
        <w:t xml:space="preserve">23 </w:t>
      </w:r>
      <w:r>
        <w:rPr>
          <w:spacing w:val="-4"/>
        </w:rPr>
        <w:t>年出现了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4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5"/>
        </w:rPr>
        <w:t>个案例。以上意味着转债退出方式的变化，</w:t>
      </w:r>
      <w:r>
        <w:rPr>
          <w:spacing w:val="76"/>
        </w:rPr>
        <w:t xml:space="preserve"> </w:t>
      </w:r>
      <w:r>
        <w:rPr>
          <w:spacing w:val="-5"/>
        </w:rPr>
        <w:t>进而可能影响转债的定位，特别</w:t>
      </w:r>
      <w:r>
        <w:t xml:space="preserve"> </w:t>
      </w:r>
      <w:r>
        <w:rPr>
          <w:spacing w:val="-5"/>
        </w:rPr>
        <w:t>是转债时间价值的走向，</w:t>
      </w:r>
      <w:r>
        <w:rPr>
          <w:spacing w:val="-7"/>
        </w:rPr>
        <w:t xml:space="preserve"> </w:t>
      </w:r>
      <w:r>
        <w:rPr>
          <w:spacing w:val="-5"/>
        </w:rPr>
        <w:t>本篇报告做一个简单的讨论。</w:t>
      </w:r>
    </w:p>
    <w:p>
      <w:pPr>
        <w:pStyle w:val="BodyText"/>
        <w:spacing w:before="280" w:line="219" w:lineRule="auto"/>
        <w:ind w:left="2731"/>
        <w:rPr>
          <w:sz w:val="28"/>
          <w:szCs w:val="28"/>
        </w:rPr>
      </w:pPr>
      <w:r>
        <w:rPr>
          <w:color w:val="333366"/>
          <w:sz w:val="28"/>
          <w:szCs w:val="28"/>
          <w14:textOutline w14:w="5094">
            <w14:solidFill>
              <w14:srgbClr w14:val="333366"/>
            </w14:solidFill>
            <w14:prstDash w14:val="solid"/>
            <w14:miter w14:lim="10"/>
          </w14:textOutline>
        </w:rPr>
        <w:t>转债历史退出情况浅析</w:t>
      </w:r>
    </w:p>
    <w:p>
      <w:pPr>
        <w:pStyle w:val="BodyText"/>
        <w:spacing w:before="141" w:line="236" w:lineRule="auto"/>
        <w:ind w:left="3094" w:right="251" w:hanging="355"/>
      </w:pPr>
      <w:r>
        <w:rPr>
          <w:position w:val="1"/>
        </w:rPr>
        <w:drawing>
          <wp:inline distT="0" distB="0" distL="0" distR="0">
            <wp:extent cx="77650" cy="78857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</w:rPr>
        <w:t xml:space="preserve"> 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到期赎回数量增加，</w:t>
      </w:r>
      <w:r>
        <w:rPr>
          <w:spacing w:val="53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正股原因致转债退市的新方式出现</w:t>
      </w:r>
      <w:r>
        <w:rPr>
          <w:spacing w:val="-5"/>
        </w:rPr>
        <w:t>。</w:t>
      </w:r>
      <w:r>
        <w:rPr>
          <w:rFonts w:ascii="Times New Roman" w:eastAsia="Times New Roman" w:hAnsi="Times New Roman" w:cs="Times New Roman"/>
          <w:spacing w:val="-5"/>
        </w:rPr>
        <w:t xml:space="preserve">2018 </w:t>
      </w:r>
      <w:r>
        <w:rPr>
          <w:spacing w:val="-5"/>
        </w:rPr>
        <w:t>年至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2024 </w:t>
      </w:r>
      <w:r>
        <w:rPr>
          <w:spacing w:val="-5"/>
        </w:rPr>
        <w:t>年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4"/>
        </w:rPr>
        <w:t>月</w:t>
      </w:r>
      <w:r>
        <w:rPr>
          <w:spacing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12</w:t>
      </w:r>
      <w:r>
        <w:rPr>
          <w:rFonts w:ascii="Times New Roman" w:eastAsia="Times New Roman" w:hAnsi="Times New Roman" w:cs="Times New Roman"/>
          <w:spacing w:val="13"/>
          <w:w w:val="101"/>
        </w:rPr>
        <w:t xml:space="preserve">  </w:t>
      </w:r>
      <w:r>
        <w:rPr>
          <w:spacing w:val="-4"/>
        </w:rPr>
        <w:t>日，转债共有</w:t>
      </w:r>
      <w:r>
        <w:rPr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290</w:t>
      </w:r>
      <w:r>
        <w:rPr>
          <w:rFonts w:ascii="Times New Roman" w:eastAsia="Times New Roman" w:hAnsi="Times New Roman" w:cs="Times New Roman"/>
          <w:spacing w:val="40"/>
          <w:w w:val="101"/>
        </w:rPr>
        <w:t xml:space="preserve"> </w:t>
      </w:r>
      <w:r>
        <w:rPr>
          <w:spacing w:val="-4"/>
        </w:rPr>
        <w:t>只退出：其中，</w:t>
      </w:r>
      <w:r>
        <w:rPr>
          <w:spacing w:val="-4"/>
        </w:rPr>
        <w:t xml:space="preserve"> </w:t>
      </w:r>
      <w:r>
        <w:rPr>
          <w:spacing w:val="-4"/>
        </w:rPr>
        <w:t>提前赎回仍是转债</w:t>
      </w:r>
      <w:r>
        <w:rPr>
          <w:spacing w:val="-5"/>
        </w:rPr>
        <w:t>退出的最普遍方</w:t>
      </w:r>
      <w:r>
        <w:t xml:space="preserve"> </w:t>
      </w:r>
      <w:r>
        <w:rPr>
          <w:spacing w:val="1"/>
        </w:rPr>
        <w:t>式；随着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2017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spacing w:val="1"/>
        </w:rPr>
        <w:t>年扩容的转债逐渐到期，到期</w:t>
      </w:r>
      <w:r>
        <w:t>的转债数量明显增加；回售退出</w:t>
      </w:r>
      <w:r>
        <w:t xml:space="preserve"> </w:t>
      </w:r>
      <w:r>
        <w:rPr>
          <w:spacing w:val="-3"/>
        </w:rPr>
        <w:t>的有两只；此外，</w:t>
      </w:r>
      <w:r>
        <w:rPr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2023</w:t>
      </w:r>
      <w:r>
        <w:rPr>
          <w:rFonts w:ascii="Times New Roman" w:eastAsia="Times New Roman" w:hAnsi="Times New Roman" w:cs="Times New Roman"/>
          <w:spacing w:val="54"/>
        </w:rPr>
        <w:t xml:space="preserve"> </w:t>
      </w:r>
      <w:r>
        <w:rPr>
          <w:spacing w:val="-3"/>
        </w:rPr>
        <w:t>年还出现了因为正股退市导致转债退市这一新的退出</w:t>
      </w:r>
      <w:r>
        <w:t xml:space="preserve"> </w:t>
      </w:r>
      <w:r>
        <w:rPr>
          <w:spacing w:val="-12"/>
        </w:rPr>
        <w:t>方式。</w:t>
      </w:r>
    </w:p>
    <w:p>
      <w:pPr>
        <w:pStyle w:val="BodyText"/>
        <w:spacing w:before="138" w:line="218" w:lineRule="auto"/>
        <w:ind w:left="53"/>
      </w:pP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>1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spacing w:val="-3"/>
        </w:rPr>
        <w:t xml:space="preserve">2018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年以来转债退出的方式</w:t>
      </w:r>
    </w:p>
    <w:p>
      <w:pPr>
        <w:spacing w:before="31"/>
      </w:pPr>
    </w:p>
    <w:p>
      <w:pPr>
        <w:sectPr>
          <w:headerReference w:type="default" r:id="rId8"/>
          <w:footerReference w:type="default" r:id="rId9"/>
          <w:pgSz w:w="11907" w:h="16839"/>
          <w:pgMar w:top="1584" w:right="703" w:bottom="1480" w:left="821" w:header="853" w:footer="990" w:gutter="0"/>
          <w:pgNumType w:start="3"/>
          <w:cols w:num="1" w:space="708" w:equalWidth="0">
            <w:col w:w="10382" w:space="0"/>
          </w:cols>
        </w:sectPr>
      </w:pPr>
    </w:p>
    <w:p>
      <w:pPr>
        <w:spacing w:line="460" w:lineRule="auto"/>
        <w:rPr>
          <w:rFonts w:ascii="Arial"/>
          <w:sz w:val="21"/>
        </w:rPr>
      </w:pPr>
    </w:p>
    <w:p>
      <w:pPr>
        <w:spacing w:before="52" w:line="186" w:lineRule="auto"/>
        <w:ind w:right="13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2024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53" w:line="186" w:lineRule="auto"/>
        <w:ind w:right="13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2023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52" w:line="186" w:lineRule="auto"/>
        <w:ind w:right="13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2022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52" w:line="186" w:lineRule="auto"/>
        <w:ind w:right="13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column">
                  <wp:posOffset>47189</wp:posOffset>
                </wp:positionH>
                <wp:positionV relativeFrom="paragraph">
                  <wp:posOffset>-23952</wp:posOffset>
                </wp:positionV>
                <wp:extent cx="276225" cy="194945"/>
                <wp:effectExtent l="0" t="0" r="0" b="0"/>
                <wp:wrapNone/>
                <wp:docPr id="28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7189" y="-23952"/>
                          <a:ext cx="276225" cy="19494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3" w:line="226" w:lineRule="auto"/>
                              <w:ind w:left="20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spacing w:val="7"/>
                                <w:sz w:val="19"/>
                                <w:szCs w:val="19"/>
                              </w:rPr>
                              <w:t>年份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8" o:spid="_x0000_s1032" type="#_x0000_t202" style="width:21.75pt;height:15.35pt;margin-top:-1.89pt;margin-left:3.72pt;mso-wrap-distance-bottom:0;mso-wrap-distance-left:0;mso-wrap-distance-right:0;mso-wrap-distance-top:0;position:absolute;rotation:270;v-text-anchor:top;z-index:251672576" filled="f" fillcolor="this" stroked="f">
                <v:textbox inset="0,0,0,0">
                  <w:txbxContent>
                    <w:p>
                      <w:pPr>
                        <w:pStyle w:val="BodyText"/>
                        <w:spacing w:before="53" w:line="226" w:lineRule="auto"/>
                        <w:ind w:left="20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spacing w:val="7"/>
                          <w:sz w:val="19"/>
                          <w:szCs w:val="19"/>
                        </w:rPr>
                        <w:t>年份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2021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52" w:line="186" w:lineRule="auto"/>
        <w:ind w:right="13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2020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52" w:line="186" w:lineRule="auto"/>
        <w:ind w:right="13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2019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53" w:line="186" w:lineRule="auto"/>
        <w:ind w:right="13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2018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7" w:lineRule="auto"/>
        <w:ind w:left="2155"/>
        <w:rPr>
          <w:sz w:val="18"/>
          <w:szCs w:val="18"/>
        </w:rPr>
      </w:pPr>
      <w:r>
        <w:rPr>
          <w:position w:val="1"/>
          <w:sz w:val="18"/>
          <w:szCs w:val="18"/>
        </w:rPr>
        <w:drawing>
          <wp:inline distT="0" distB="0" distL="0" distR="0">
            <wp:extent cx="56950" cy="5695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950" cy="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9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提前赎回</w:t>
      </w:r>
      <w:r>
        <w:rPr>
          <w:spacing w:val="15"/>
          <w:sz w:val="18"/>
          <w:szCs w:val="18"/>
        </w:rPr>
        <w:t xml:space="preserve">  </w:t>
      </w:r>
      <w:r>
        <w:rPr>
          <w:position w:val="1"/>
          <w:sz w:val="18"/>
          <w:szCs w:val="18"/>
        </w:rPr>
        <w:drawing>
          <wp:inline distT="0" distB="0" distL="0" distR="0">
            <wp:extent cx="56950" cy="5695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950" cy="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到期赎回</w:t>
      </w:r>
      <w:r>
        <w:rPr>
          <w:spacing w:val="15"/>
          <w:sz w:val="18"/>
          <w:szCs w:val="18"/>
        </w:rPr>
        <w:t xml:space="preserve">  </w:t>
      </w:r>
      <w:r>
        <w:rPr>
          <w:position w:val="1"/>
          <w:sz w:val="18"/>
          <w:szCs w:val="18"/>
        </w:rPr>
        <w:drawing>
          <wp:inline distT="0" distB="0" distL="0" distR="0">
            <wp:extent cx="56950" cy="5695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950" cy="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回售退市</w:t>
      </w:r>
      <w:r>
        <w:rPr>
          <w:spacing w:val="15"/>
          <w:sz w:val="18"/>
          <w:szCs w:val="18"/>
        </w:rPr>
        <w:t xml:space="preserve">  </w:t>
      </w:r>
      <w:r>
        <w:rPr>
          <w:position w:val="1"/>
          <w:sz w:val="18"/>
          <w:szCs w:val="18"/>
        </w:rPr>
        <w:drawing>
          <wp:inline distT="0" distB="0" distL="0" distR="0">
            <wp:extent cx="56950" cy="5695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950" cy="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6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正股原因退市</w:t>
      </w:r>
    </w:p>
    <w:p>
      <w:pPr>
        <w:spacing w:before="39" w:line="4024" w:lineRule="exact"/>
        <w:ind w:firstLine="30"/>
      </w:pPr>
      <w:r>
        <w:rPr>
          <w:position w:val="-80"/>
        </w:rPr>
        <w:drawing>
          <wp:inline distT="0" distB="0" distL="0" distR="0">
            <wp:extent cx="5730684" cy="2555494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0684" cy="2555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1" w:line="194" w:lineRule="auto"/>
        <w:ind w:left="4047"/>
        <w:rPr>
          <w:sz w:val="19"/>
          <w:szCs w:val="19"/>
        </w:rPr>
      </w:pPr>
      <w:r>
        <w:pict>
          <v:shape id="_x0000_s1033" type="#_x0000_t202" style="width:6.2pt;height:10.05pt;margin-top:5.98pt;margin-left:-1pt;position:absolute;z-index:251671552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34" type="#_x0000_t202" style="width:10.05pt;height:10.05pt;margin-top:5.98pt;margin-left:53.8pt;position:absolute;z-index:251670528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10</w:t>
                  </w:r>
                </w:p>
              </w:txbxContent>
            </v:textbox>
          </v:shape>
        </w:pict>
      </w:r>
      <w:r>
        <w:pict>
          <v:shape id="_x0000_s1035" type="#_x0000_t202" style="width:10.9pt;height:10.05pt;margin-top:5.98pt;margin-left:109.26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20</w:t>
                  </w:r>
                </w:p>
              </w:txbxContent>
            </v:textbox>
          </v:shape>
        </w:pict>
      </w:r>
      <w:r>
        <w:pict>
          <v:shape id="_x0000_s1036" type="#_x0000_t202" style="width:10.7pt;height:10.05pt;margin-top:5.98pt;margin-left:165.74pt;position:absolute;z-index:251666432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30</w:t>
                  </w:r>
                </w:p>
              </w:txbxContent>
            </v:textbox>
          </v:shape>
        </w:pict>
      </w:r>
      <w:r>
        <w:pict>
          <v:shape id="_x0000_s1037" type="#_x0000_t202" style="width:10.65pt;height:10.05pt;margin-top:5.98pt;margin-left:278.47pt;position:absolute;z-index:251668480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50</w:t>
                  </w:r>
                </w:p>
              </w:txbxContent>
            </v:textbox>
          </v:shape>
        </w:pict>
      </w:r>
      <w:r>
        <w:pict>
          <v:shape id="_x0000_s1038" type="#_x0000_t202" style="width:10.7pt;height:10.05pt;margin-top:5.98pt;margin-left:334.72pt;position:absolute;z-index:251667456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60</w:t>
                  </w:r>
                </w:p>
              </w:txbxContent>
            </v:textbox>
          </v:shape>
        </w:pict>
      </w:r>
      <w:r>
        <w:pict>
          <v:shape id="_x0000_s1039" type="#_x0000_t202" style="width:10.75pt;height:10.05pt;margin-top:5.98pt;margin-left:391pt;position:absolute;z-index:251665408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70</w:t>
                  </w:r>
                </w:p>
              </w:txbxContent>
            </v:textbox>
          </v:shape>
        </w:pict>
      </w:r>
      <w:r>
        <w:pict>
          <v:shape id="_x0000_s1040" type="#_x0000_t202" style="width:10.55pt;height:10.05pt;margin-top:5.98pt;margin-left:447.54pt;position:absolute;z-index:251669504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80</w:t>
                  </w:r>
                </w:p>
              </w:txbxContent>
            </v:textbox>
          </v:shape>
        </w:pict>
      </w:r>
      <w:r>
        <w:rPr>
          <w:spacing w:val="-19"/>
          <w:w w:val="97"/>
          <w:sz w:val="19"/>
          <w:szCs w:val="19"/>
        </w:rPr>
        <w:t>数量</w:t>
      </w:r>
      <w:r>
        <w:rPr>
          <w:rFonts w:ascii="Times New Roman" w:eastAsia="Times New Roman" w:hAnsi="Times New Roman" w:cs="Times New Roman"/>
          <w:spacing w:val="-19"/>
          <w:w w:val="97"/>
          <w:position w:val="-1"/>
          <w:sz w:val="18"/>
          <w:szCs w:val="18"/>
        </w:rPr>
        <w:t>4</w:t>
      </w:r>
      <w:r>
        <w:rPr>
          <w:spacing w:val="-19"/>
          <w:w w:val="97"/>
          <w:sz w:val="19"/>
          <w:szCs w:val="19"/>
        </w:rPr>
        <w:t>（</w:t>
      </w:r>
      <w:r>
        <w:rPr>
          <w:rFonts w:ascii="Times New Roman" w:eastAsia="Times New Roman" w:hAnsi="Times New Roman" w:cs="Times New Roman"/>
          <w:spacing w:val="-19"/>
          <w:w w:val="97"/>
          <w:position w:val="-1"/>
          <w:sz w:val="18"/>
          <w:szCs w:val="18"/>
        </w:rPr>
        <w:t>0</w:t>
      </w:r>
      <w:r>
        <w:rPr>
          <w:rFonts w:ascii="Times New Roman" w:eastAsia="Times New Roman" w:hAnsi="Times New Roman" w:cs="Times New Roman"/>
          <w:spacing w:val="-18"/>
          <w:position w:val="-1"/>
          <w:sz w:val="18"/>
          <w:szCs w:val="18"/>
        </w:rPr>
        <w:t xml:space="preserve"> </w:t>
      </w:r>
      <w:r>
        <w:rPr>
          <w:spacing w:val="-19"/>
          <w:w w:val="97"/>
          <w:sz w:val="19"/>
          <w:szCs w:val="19"/>
        </w:rPr>
        <w:t>只）</w:t>
      </w:r>
    </w:p>
    <w:p>
      <w:pPr>
        <w:spacing w:line="194" w:lineRule="auto"/>
        <w:rPr>
          <w:sz w:val="19"/>
          <w:szCs w:val="19"/>
        </w:rPr>
        <w:sectPr>
          <w:headerReference w:type="default" r:id="rId15"/>
          <w:footerReference w:type="default" r:id="rId16"/>
          <w:type w:val="continuous"/>
          <w:pgSz w:w="11907" w:h="16839"/>
          <w:pgMar w:top="1584" w:right="703" w:bottom="1480" w:left="821" w:header="853" w:footer="990" w:gutter="0"/>
          <w:pgNumType w:start="4"/>
          <w:cols w:num="2" w:space="708" w:equalWidth="0">
            <w:col w:w="734" w:space="100"/>
            <w:col w:w="9548" w:space="0"/>
          </w:cols>
        </w:sectPr>
      </w:pPr>
    </w:p>
    <w:p>
      <w:pPr>
        <w:pStyle w:val="BodyText"/>
        <w:spacing w:before="225" w:line="238" w:lineRule="auto"/>
        <w:ind w:left="26"/>
        <w:rPr>
          <w:sz w:val="16"/>
          <w:szCs w:val="16"/>
        </w:rPr>
      </w:pPr>
      <w:r>
        <w:rPr>
          <w:spacing w:val="-3"/>
          <w:sz w:val="16"/>
          <w:szCs w:val="16"/>
        </w:rPr>
        <w:t>数据来源：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Wind</w:t>
      </w:r>
      <w:r>
        <w:rPr>
          <w:spacing w:val="-3"/>
          <w:sz w:val="16"/>
          <w:szCs w:val="16"/>
        </w:rPr>
        <w:t>，聚源，</w:t>
      </w:r>
      <w:r>
        <w:rPr>
          <w:spacing w:val="-3"/>
          <w:sz w:val="16"/>
          <w:szCs w:val="16"/>
        </w:rPr>
        <w:t xml:space="preserve"> </w:t>
      </w:r>
      <w:r>
        <w:rPr>
          <w:spacing w:val="-3"/>
          <w:sz w:val="16"/>
          <w:szCs w:val="16"/>
        </w:rPr>
        <w:t>兴业证券经济与金融研</w:t>
      </w:r>
      <w:r>
        <w:rPr>
          <w:spacing w:val="-4"/>
          <w:sz w:val="16"/>
          <w:szCs w:val="16"/>
        </w:rPr>
        <w:t>究院整理</w:t>
      </w:r>
    </w:p>
    <w:p>
      <w:pPr>
        <w:pStyle w:val="BodyText"/>
        <w:spacing w:line="213" w:lineRule="auto"/>
        <w:ind w:left="25"/>
        <w:rPr>
          <w:rFonts w:ascii="Times New Roman" w:eastAsia="Times New Roman" w:hAnsi="Times New Roman" w:cs="Times New Roman"/>
          <w:sz w:val="16"/>
          <w:szCs w:val="16"/>
        </w:rPr>
      </w:pPr>
      <w:r>
        <w:rPr>
          <w:spacing w:val="-1"/>
          <w:sz w:val="16"/>
          <w:szCs w:val="16"/>
        </w:rPr>
        <w:t>说明：以最后交易日统计数量，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2024 </w:t>
      </w:r>
      <w:r>
        <w:rPr>
          <w:spacing w:val="-1"/>
          <w:sz w:val="16"/>
          <w:szCs w:val="16"/>
        </w:rPr>
        <w:t>年截止到</w:t>
      </w:r>
      <w:r>
        <w:rPr>
          <w:spacing w:val="-1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2024/1/12</w:t>
      </w:r>
    </w:p>
    <w:p>
      <w:pPr>
        <w:pStyle w:val="BodyText"/>
        <w:spacing w:before="151" w:line="233" w:lineRule="auto"/>
        <w:ind w:left="3085" w:right="255" w:hanging="346"/>
      </w:pPr>
      <w:r>
        <w:rPr>
          <w:position w:val="1"/>
        </w:rPr>
        <w:drawing>
          <wp:inline distT="0" distB="0" distL="0" distR="0">
            <wp:extent cx="77650" cy="78857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2"/>
        </w:rPr>
        <w:t xml:space="preserve">  </w:t>
      </w:r>
      <w:r>
        <w:rPr>
          <w:spacing w:val="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提前赎回样本中，规模较大的转债、红利低估板块的转债放弃赎回的概率较</w:t>
      </w:r>
      <w: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低</w:t>
      </w:r>
      <w:r>
        <w:rPr>
          <w:spacing w:val="-2"/>
        </w:rPr>
        <w:t>。</w:t>
      </w:r>
    </w:p>
    <w:p>
      <w:pPr>
        <w:pStyle w:val="BodyText"/>
        <w:spacing w:before="135" w:line="232" w:lineRule="auto"/>
        <w:ind w:left="3085" w:right="251" w:hanging="2"/>
        <w:jc w:val="both"/>
      </w:pPr>
      <w:r>
        <w:rPr>
          <w:spacing w:val="4"/>
        </w:rPr>
        <w:t>提前赎回样本中，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2022</w:t>
      </w:r>
      <w:r>
        <w:rPr>
          <w:rFonts w:ascii="Times New Roman" w:eastAsia="Times New Roman" w:hAnsi="Times New Roman" w:cs="Times New Roman"/>
          <w:spacing w:val="38"/>
          <w:w w:val="101"/>
        </w:rPr>
        <w:t xml:space="preserve"> </w:t>
      </w:r>
      <w:r>
        <w:rPr>
          <w:spacing w:val="4"/>
        </w:rPr>
        <w:t>年之前触发即</w:t>
      </w:r>
      <w:r>
        <w:rPr>
          <w:spacing w:val="3"/>
        </w:rPr>
        <w:t>赎回是转债赎回的最主要方式，然而</w:t>
      </w:r>
      <w:r>
        <w:t xml:space="preserve"> </w:t>
      </w:r>
      <w:r>
        <w:rPr>
          <w:rFonts w:ascii="Times New Roman" w:eastAsia="Times New Roman" w:hAnsi="Times New Roman" w:cs="Times New Roman"/>
        </w:rPr>
        <w:t xml:space="preserve">2022 </w:t>
      </w:r>
      <w:r>
        <w:t>年之后赎回的转债中曾经放弃过赎回的样本占比逐年增加，</w:t>
      </w:r>
      <w:r>
        <w:rPr>
          <w:rFonts w:ascii="Times New Roman" w:eastAsia="Times New Roman" w:hAnsi="Times New Roman" w:cs="Times New Roman"/>
        </w:rPr>
        <w:t xml:space="preserve">2023 </w:t>
      </w:r>
      <w:r>
        <w:t>年提前</w:t>
      </w:r>
      <w:r>
        <w:rPr>
          <w:spacing w:val="7"/>
        </w:rPr>
        <w:t xml:space="preserve"> </w:t>
      </w:r>
      <w:r>
        <w:t>赎回的样本中曾经放弃过赎回的占比接近一半。</w:t>
      </w:r>
    </w:p>
    <w:p>
      <w:pPr>
        <w:pStyle w:val="BodyText"/>
        <w:spacing w:before="146" w:line="234" w:lineRule="auto"/>
        <w:ind w:left="3082" w:right="253" w:firstLine="1"/>
        <w:jc w:val="both"/>
        <w:sectPr>
          <w:headerReference w:type="default" r:id="rId17"/>
          <w:footerReference w:type="default" r:id="rId18"/>
          <w:type w:val="continuous"/>
          <w:pgSz w:w="11907" w:h="16839"/>
          <w:pgMar w:top="1584" w:right="703" w:bottom="1480" w:left="821" w:header="853" w:footer="990" w:gutter="0"/>
          <w:pgNumType w:start="5"/>
          <w:cols w:num="1" w:space="708" w:equalWidth="0">
            <w:col w:w="10382" w:space="0"/>
          </w:cols>
        </w:sectPr>
      </w:pPr>
      <w:r>
        <w:rPr>
          <w:spacing w:val="4"/>
          <w:u w:val="single" w:color="auto"/>
        </w:rPr>
        <w:t>从发行规模来看，发行规模大于</w:t>
      </w:r>
      <w:r>
        <w:rPr>
          <w:spacing w:val="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>20</w:t>
      </w:r>
      <w:r>
        <w:rPr>
          <w:rFonts w:ascii="Times New Roman" w:eastAsia="Times New Roman" w:hAnsi="Times New Roman" w:cs="Times New Roman"/>
          <w:spacing w:val="35"/>
          <w:w w:val="101"/>
          <w:u w:val="single" w:color="auto"/>
        </w:rPr>
        <w:t xml:space="preserve"> </w:t>
      </w:r>
      <w:r>
        <w:rPr>
          <w:spacing w:val="4"/>
          <w:u w:val="single" w:color="auto"/>
        </w:rPr>
        <w:t>亿元的转债</w:t>
      </w:r>
      <w:r>
        <w:rPr>
          <w:spacing w:val="3"/>
          <w:u w:val="single" w:color="auto"/>
        </w:rPr>
        <w:t>触发赎回后更偏向于选择赎</w:t>
      </w:r>
      <w:r>
        <w:t xml:space="preserve"> </w:t>
      </w:r>
      <w:r>
        <w:rPr>
          <w:spacing w:val="8"/>
          <w:u w:val="single" w:color="auto"/>
        </w:rPr>
        <w:t>回，</w:t>
      </w:r>
      <w:r>
        <w:rPr>
          <w:spacing w:val="8"/>
        </w:rPr>
        <w:t>但也有少数例外的情况：其中，东财转</w:t>
      </w:r>
      <w:r>
        <w:rPr>
          <w:spacing w:val="8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3</w:t>
      </w:r>
      <w:r>
        <w:rPr>
          <w:spacing w:val="8"/>
        </w:rPr>
        <w:t>、三花转债均是放弃赎回</w:t>
      </w:r>
      <w:r>
        <w:rPr>
          <w:spacing w:val="-47"/>
        </w:rPr>
        <w:t xml:space="preserve"> </w:t>
      </w:r>
      <w:r>
        <w:rPr>
          <w:spacing w:val="8"/>
        </w:rPr>
        <w:t>一</w:t>
      </w:r>
      <w:r>
        <w:t xml:space="preserve"> </w:t>
      </w:r>
    </w:p>
    <w:p>
      <w:pPr>
        <w:pStyle w:val="BodyText"/>
        <w:spacing w:before="146" w:line="234" w:lineRule="auto"/>
        <w:ind w:left="3082" w:right="253" w:firstLine="1"/>
        <w:jc w:val="both"/>
      </w:pPr>
      <w:r>
        <w:rPr>
          <w:spacing w:val="3"/>
        </w:rPr>
        <w:t>次，川投转债、滨化转债放弃赎回两次，而盛屯转债多次放弃赎回，强势的</w:t>
      </w:r>
      <w:r>
        <w:rPr>
          <w:spacing w:val="15"/>
        </w:rPr>
        <w:t xml:space="preserve"> </w:t>
      </w:r>
      <w:r>
        <w:rPr>
          <w:spacing w:val="3"/>
        </w:rPr>
        <w:t>行情和较高的定价可能是其多次放弃的底气，其第二次放弃时剩余规</w:t>
      </w:r>
      <w:r>
        <w:rPr>
          <w:spacing w:val="2"/>
        </w:rPr>
        <w:t>模仅有</w:t>
      </w:r>
      <w:r>
        <w:t xml:space="preserve"> </w:t>
      </w:r>
      <w:r>
        <w:t>发行规模的三分之一，也给了发行人更大的选择自由度。</w:t>
      </w:r>
    </w:p>
    <w:p>
      <w:pPr>
        <w:pStyle w:val="BodyText"/>
        <w:spacing w:before="148" w:line="222" w:lineRule="auto"/>
        <w:ind w:left="3084" w:right="252"/>
        <w:jc w:val="both"/>
      </w:pPr>
      <w:r>
        <w:rPr>
          <w:spacing w:val="-1"/>
          <w:u w:val="single" w:color="auto"/>
        </w:rPr>
        <w:t>从板块来看，红利低估板块的转债触发赎回后更偏向于选</w:t>
      </w:r>
      <w:r>
        <w:rPr>
          <w:spacing w:val="-2"/>
          <w:u w:val="single" w:color="auto"/>
        </w:rPr>
        <w:t>择赎回。</w:t>
      </w:r>
      <w:r>
        <w:rPr>
          <w:spacing w:val="49"/>
          <w:u w:val="single" w:color="auto"/>
        </w:rPr>
        <w:t xml:space="preserve"> </w:t>
      </w:r>
      <w:r>
        <w:rPr>
          <w:spacing w:val="-2"/>
        </w:rPr>
        <w:t>但久吾转</w:t>
      </w:r>
      <w:r>
        <w:t xml:space="preserve"> </w:t>
      </w:r>
      <w:r>
        <w:rPr>
          <w:spacing w:val="-6"/>
        </w:rPr>
        <w:t>债（发行规模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2.54 </w:t>
      </w:r>
      <w:r>
        <w:rPr>
          <w:spacing w:val="-6"/>
        </w:rPr>
        <w:t>亿元）、中环转债（发行规模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2.54 </w:t>
      </w:r>
      <w:r>
        <w:rPr>
          <w:spacing w:val="-6"/>
        </w:rPr>
        <w:t>亿元）、川投转债（发行</w:t>
      </w:r>
      <w:r>
        <w:t xml:space="preserve"> </w:t>
      </w:r>
      <w:r>
        <w:rPr>
          <w:spacing w:val="-2"/>
        </w:rPr>
        <w:t>规模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40 </w:t>
      </w:r>
      <w:r>
        <w:rPr>
          <w:spacing w:val="-2"/>
        </w:rPr>
        <w:t>亿元）这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 </w:t>
      </w:r>
      <w:r>
        <w:rPr>
          <w:spacing w:val="-2"/>
        </w:rPr>
        <w:t>只电力公用行业的转债多</w:t>
      </w:r>
      <w:r>
        <w:rPr>
          <w:spacing w:val="-3"/>
        </w:rPr>
        <w:t>次放弃赎回。</w:t>
      </w:r>
    </w:p>
    <w:p>
      <w:pPr>
        <w:spacing w:line="222" w:lineRule="auto"/>
        <w:sectPr>
          <w:headerReference w:type="default" r:id="rId19"/>
          <w:footerReference w:type="default" r:id="rId20"/>
          <w:type w:val="nextPage"/>
          <w:pgSz w:w="11907" w:h="16839"/>
          <w:pgMar w:top="1584" w:right="703" w:bottom="1480" w:left="821" w:header="853" w:footer="990" w:gutter="0"/>
          <w:pgNumType w:start="6"/>
          <w:cols w:num="1" w:space="708" w:equalWidth="0">
            <w:col w:w="10382" w:space="0"/>
          </w:cols>
          <w:titlePg w:val="0"/>
        </w:sectPr>
      </w:pPr>
    </w:p>
    <w:p>
      <w:pPr>
        <w:pStyle w:val="BodyText"/>
        <w:spacing w:before="32" w:line="213" w:lineRule="auto"/>
        <w:ind w:left="207"/>
      </w:pPr>
      <w:r>
        <mc:AlternateContent>
          <mc:Choice Requires="wps">
            <w:drawing>
              <wp:anchor distT="0" distB="0" distL="0" distR="0" simplePos="0" relativeHeight="251676672" behindDoc="0" locked="0" layoutInCell="0" allowOverlap="1">
                <wp:simplePos x="0" y="0"/>
                <wp:positionH relativeFrom="page">
                  <wp:posOffset>201458</wp:posOffset>
                </wp:positionH>
                <wp:positionV relativeFrom="page">
                  <wp:posOffset>2665918</wp:posOffset>
                </wp:positionV>
                <wp:extent cx="1290955" cy="198120"/>
                <wp:effectExtent l="0" t="0" r="0" b="0"/>
                <wp:wrapNone/>
                <wp:docPr id="44" name="TextBox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01458" y="2665918"/>
                          <a:ext cx="1290955" cy="1981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6" w:line="228" w:lineRule="auto"/>
                              <w:ind w:left="20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spacing w:val="9"/>
                                <w:sz w:val="19"/>
                                <w:szCs w:val="19"/>
                              </w:rPr>
                              <w:t>提前赎回的数量（只）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4" o:spid="_x0000_s1041" type="#_x0000_t202" style="width:101.65pt;height:15.6pt;margin-top:209.91pt;margin-left:15.86pt;mso-position-horizontal-relative:page;mso-position-vertical-relative:page;mso-wrap-distance-bottom:0;mso-wrap-distance-left:0;mso-wrap-distance-right:0;mso-wrap-distance-top:0;position:absolute;rotation:270;v-text-anchor:top;z-index:25167564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6" w:line="228" w:lineRule="auto"/>
                        <w:ind w:left="20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spacing w:val="9"/>
                          <w:sz w:val="19"/>
                          <w:szCs w:val="19"/>
                        </w:rPr>
                        <w:t>提前赎回的数量（只）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42" style="width:517.8pt;height:0.5pt;margin-top:92.9pt;margin-left:42.36pt;mso-position-horizontal-relative:page;mso-position-vertical-relative:page;position:absolute;z-index:251678720" coordorigin="0,0" coordsize="10355,10" o:allowincell="f" path="m,9l10355,9l10355,l,l,9xe" filled="t" fillcolor="black" stroked="f"/>
        </w:pict>
      </w:r>
      <w:r>
        <w:pict>
          <v:shape id="_x0000_s1043" style="width:517.8pt;height:0.5pt;margin-top:330.53pt;margin-left:42.36pt;mso-position-horizontal-relative:page;mso-position-vertical-relative:page;position:absolute;z-index:251680768" coordorigin="0,0" coordsize="10355,10" o:allowincell="f" path="m,9l10355,9l10355,l,l,9xe" filled="t" fillcolor="black" stroked="f"/>
        </w:pict>
      </w:r>
      <w:r>
        <w:pict>
          <v:shape id="_x0000_s1044" style="width:517.8pt;height:0.5pt;margin-top:365.33pt;margin-left:42.36pt;mso-position-horizontal-relative:page;mso-position-vertical-relative:page;position:absolute;z-index:251677696" coordorigin="0,0" coordsize="10355,10" o:allowincell="f" path="m,9l5177,9l5177,l,l,9xem5177,9l5187,9l5187,l5177,l5177,9xem5187,9l10355,9l10355,l5187,l5187,9xe" filled="t" fillcolor="black" stroked="f"/>
        </w:pict>
      </w:r>
      <w:r>
        <w:pict>
          <v:shape id="_x0000_s1045" style="width:3.05pt;height:149.8pt;margin-top:404.32pt;margin-left:74.93pt;mso-position-horizontal-relative:page;mso-position-vertical-relative:page;position:absolute;z-index:-251641856" coordorigin="0,0" coordsize="60,2996" o:allowincell="f" path="m7,2995l7,7m7,2497l60,2497m7,1998l60,1998m7,1501l60,1501m7,1002l60,1002m7,505l60,505m7,7l60,7e" filled="f" strokecolor="#d9d9d9" strokeweight="0.75pt"/>
        </w:pict>
      </w:r>
      <w:r>
        <w:pict>
          <v:shape id="_x0000_s1046" style="width:517.8pt;height:0.5pt;margin-top:583.78pt;margin-left:42.36pt;mso-position-horizontal-relative:page;mso-position-vertical-relative:page;position:absolute;z-index:251679744" coordorigin="0,0" coordsize="10355,10" o:allowincell="f" path="m,9l5177,9l5177,l,l,9xem5177,9l5187,9l5187,l5177,l5177,9xem5187,9l10355,9l10355,l5187,l5187,9xe" filled="t" fillcolor="black" stroked="f"/>
        </w:pic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2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：每年赎回转债中，曾经放弃赎回的转债占比在增加</w:t>
      </w:r>
    </w:p>
    <w:p>
      <w:pPr>
        <w:spacing w:before="36"/>
      </w:pPr>
    </w:p>
    <w:p>
      <w:pPr>
        <w:sectPr>
          <w:headerReference w:type="default" r:id="rId21"/>
          <w:footerReference w:type="default" r:id="rId22"/>
          <w:pgSz w:w="11907" w:h="16839"/>
          <w:pgMar w:top="1584" w:right="703" w:bottom="1480" w:left="667" w:header="853" w:footer="990" w:gutter="0"/>
          <w:pgNumType w:start="7"/>
          <w:cols w:num="1" w:space="708" w:equalWidth="0">
            <w:col w:w="10536" w:space="0"/>
          </w:cols>
        </w:sectPr>
      </w:pPr>
    </w:p>
    <w:p>
      <w:pPr>
        <w:spacing w:line="389" w:lineRule="auto"/>
        <w:rPr>
          <w:rFonts w:ascii="Arial"/>
          <w:sz w:val="21"/>
        </w:rPr>
      </w:pPr>
    </w:p>
    <w:p>
      <w:pPr>
        <w:spacing w:before="52" w:line="186" w:lineRule="auto"/>
        <w:ind w:left="86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80</w:t>
      </w:r>
    </w:p>
    <w:p>
      <w:pPr>
        <w:spacing w:before="265" w:line="186" w:lineRule="auto"/>
        <w:ind w:left="86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70</w:t>
      </w:r>
    </w:p>
    <w:p>
      <w:pPr>
        <w:spacing w:before="265" w:line="186" w:lineRule="auto"/>
        <w:ind w:left="86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60</w:t>
      </w:r>
    </w:p>
    <w:p>
      <w:pPr>
        <w:spacing w:before="266" w:line="186" w:lineRule="auto"/>
        <w:ind w:left="86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50</w:t>
      </w:r>
    </w:p>
    <w:p>
      <w:pPr>
        <w:spacing w:before="265" w:line="186" w:lineRule="auto"/>
        <w:ind w:left="85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40</w:t>
      </w:r>
    </w:p>
    <w:p>
      <w:pPr>
        <w:spacing w:before="266" w:line="186" w:lineRule="auto"/>
        <w:ind w:left="86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30</w:t>
      </w:r>
    </w:p>
    <w:p>
      <w:pPr>
        <w:spacing w:before="266" w:line="186" w:lineRule="auto"/>
        <w:ind w:left="86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</w:t>
      </w:r>
    </w:p>
    <w:p>
      <w:pPr>
        <w:spacing w:before="265" w:line="186" w:lineRule="auto"/>
        <w:ind w:left="87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5"/>
          <w:sz w:val="18"/>
          <w:szCs w:val="18"/>
        </w:rPr>
        <w:t>10</w:t>
      </w:r>
    </w:p>
    <w:p>
      <w:pPr>
        <w:spacing w:before="266" w:line="186" w:lineRule="auto"/>
        <w:ind w:left="95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8" w:lineRule="auto"/>
        <w:ind w:left="1858"/>
        <w:rPr>
          <w:sz w:val="18"/>
          <w:szCs w:val="18"/>
        </w:rPr>
      </w:pPr>
      <w:r>
        <w:rPr>
          <w:position w:val="1"/>
          <w:sz w:val="18"/>
          <w:szCs w:val="18"/>
        </w:rPr>
        <w:drawing>
          <wp:inline distT="0" distB="0" distL="0" distR="0">
            <wp:extent cx="56950" cy="5695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950" cy="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3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触发一次即赎回</w:t>
      </w:r>
      <w:r>
        <w:rPr>
          <w:spacing w:val="44"/>
          <w:sz w:val="18"/>
          <w:szCs w:val="18"/>
        </w:rPr>
        <w:t xml:space="preserve">  </w:t>
      </w:r>
      <w:r>
        <w:rPr>
          <w:position w:val="1"/>
          <w:sz w:val="18"/>
          <w:szCs w:val="18"/>
        </w:rPr>
        <w:drawing>
          <wp:inline distT="0" distB="0" distL="0" distR="0">
            <wp:extent cx="56950" cy="5695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950" cy="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6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触发两次赎回</w:t>
      </w:r>
      <w:r>
        <w:rPr>
          <w:spacing w:val="43"/>
          <w:sz w:val="18"/>
          <w:szCs w:val="18"/>
        </w:rPr>
        <w:t xml:space="preserve">  </w:t>
      </w:r>
      <w:r>
        <w:rPr>
          <w:position w:val="1"/>
          <w:sz w:val="18"/>
          <w:szCs w:val="18"/>
        </w:rPr>
        <w:drawing>
          <wp:inline distT="0" distB="0" distL="0" distR="0">
            <wp:extent cx="56950" cy="5695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950" cy="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触发两次以上赎回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3423" w:lineRule="exact"/>
      </w:pPr>
      <w:r>
        <w:rPr>
          <w:position w:val="-68"/>
        </w:rPr>
        <w:drawing>
          <wp:inline distT="0" distB="0" distL="0" distR="0">
            <wp:extent cx="5733973" cy="2173350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3973" cy="217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9" w:line="124" w:lineRule="exact"/>
        <w:ind w:left="58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position w:val="-2"/>
          <w:sz w:val="18"/>
          <w:szCs w:val="18"/>
        </w:rPr>
        <w:t>2018</w:t>
      </w:r>
      <w:r>
        <w:rPr>
          <w:rFonts w:ascii="Times New Roman" w:eastAsia="Times New Roman" w:hAnsi="Times New Roman" w:cs="Times New Roman"/>
          <w:spacing w:val="1"/>
          <w:position w:val="-2"/>
          <w:sz w:val="18"/>
          <w:szCs w:val="18"/>
        </w:rPr>
        <w:t xml:space="preserve">                    </w:t>
      </w:r>
      <w:r>
        <w:rPr>
          <w:rFonts w:ascii="Times New Roman" w:eastAsia="Times New Roman" w:hAnsi="Times New Roman" w:cs="Times New Roman"/>
          <w:position w:val="-2"/>
          <w:sz w:val="18"/>
          <w:szCs w:val="18"/>
        </w:rPr>
        <w:t xml:space="preserve">     2019</w:t>
      </w:r>
      <w:r>
        <w:rPr>
          <w:rFonts w:ascii="Times New Roman" w:eastAsia="Times New Roman" w:hAnsi="Times New Roman" w:cs="Times New Roman"/>
          <w:spacing w:val="1"/>
          <w:position w:val="-2"/>
          <w:sz w:val="18"/>
          <w:szCs w:val="18"/>
        </w:rPr>
        <w:t xml:space="preserve">                     </w:t>
      </w:r>
      <w:r>
        <w:rPr>
          <w:rFonts w:ascii="Times New Roman" w:eastAsia="Times New Roman" w:hAnsi="Times New Roman" w:cs="Times New Roman"/>
          <w:position w:val="-2"/>
          <w:sz w:val="18"/>
          <w:szCs w:val="18"/>
        </w:rPr>
        <w:t xml:space="preserve">    2020                         2021                          2022                         20</w:t>
      </w:r>
      <w:r>
        <w:rPr>
          <w:rFonts w:ascii="Times New Roman" w:eastAsia="Times New Roman" w:hAnsi="Times New Roman" w:cs="Times New Roman"/>
          <w:spacing w:val="-1"/>
          <w:position w:val="-2"/>
          <w:sz w:val="18"/>
          <w:szCs w:val="18"/>
        </w:rPr>
        <w:t>23</w:t>
      </w:r>
    </w:p>
    <w:p>
      <w:pPr>
        <w:spacing w:line="124" w:lineRule="exact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27"/>
          <w:footerReference w:type="default" r:id="rId28"/>
          <w:type w:val="continuous"/>
          <w:pgSz w:w="11907" w:h="16839"/>
          <w:pgMar w:top="1584" w:right="703" w:bottom="1480" w:left="667" w:header="853" w:footer="990" w:gutter="0"/>
          <w:pgNumType w:start="8"/>
          <w:cols w:num="2" w:space="708" w:equalWidth="0">
            <w:col w:w="1082" w:space="100"/>
            <w:col w:w="9355" w:space="0"/>
          </w:cols>
        </w:sect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52" w:line="213" w:lineRule="auto"/>
        <w:ind w:left="180"/>
        <w:rPr>
          <w:sz w:val="16"/>
          <w:szCs w:val="16"/>
        </w:rPr>
      </w:pPr>
      <w:r>
        <w:rPr>
          <w:spacing w:val="-3"/>
          <w:sz w:val="16"/>
          <w:szCs w:val="16"/>
        </w:rPr>
        <w:t>数据来源：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Wind</w:t>
      </w:r>
      <w:r>
        <w:rPr>
          <w:spacing w:val="-3"/>
          <w:sz w:val="16"/>
          <w:szCs w:val="16"/>
        </w:rPr>
        <w:t>，聚源，</w:t>
      </w:r>
      <w:r>
        <w:rPr>
          <w:spacing w:val="-3"/>
          <w:sz w:val="16"/>
          <w:szCs w:val="16"/>
        </w:rPr>
        <w:t xml:space="preserve"> </w:t>
      </w:r>
      <w:r>
        <w:rPr>
          <w:spacing w:val="-3"/>
          <w:sz w:val="16"/>
          <w:szCs w:val="16"/>
        </w:rPr>
        <w:t>兴业证券经济与金融研</w:t>
      </w:r>
      <w:r>
        <w:rPr>
          <w:spacing w:val="-4"/>
          <w:sz w:val="16"/>
          <w:szCs w:val="16"/>
        </w:rPr>
        <w:t>究院整理</w:t>
      </w:r>
    </w:p>
    <w:p>
      <w:pPr>
        <w:pStyle w:val="BodyText"/>
        <w:spacing w:before="25" w:line="213" w:lineRule="auto"/>
        <w:ind w:left="17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spacing w:val="-1"/>
          <w:sz w:val="16"/>
          <w:szCs w:val="16"/>
        </w:rPr>
        <w:t>说明：以最后交易日统计数量，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2024 </w:t>
      </w:r>
      <w:r>
        <w:rPr>
          <w:spacing w:val="-1"/>
          <w:sz w:val="16"/>
          <w:szCs w:val="16"/>
        </w:rPr>
        <w:t>年截止到</w:t>
      </w:r>
      <w:r>
        <w:rPr>
          <w:spacing w:val="-1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2024/1/12</w:t>
      </w:r>
    </w:p>
    <w:p>
      <w:pPr>
        <w:pStyle w:val="BodyText"/>
        <w:spacing w:before="29" w:line="213" w:lineRule="auto"/>
        <w:ind w:left="207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3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：规模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20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亿以上的转债，大多触发即选择赎回</w:t>
      </w:r>
      <w:r>
        <w:rPr>
          <w:spacing w:val="-1"/>
        </w:rPr>
        <w:t xml:space="preserve">  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4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：红利低估板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块放弃赎回的占比更低</w:t>
      </w:r>
    </w:p>
    <w:p>
      <w:pPr>
        <w:spacing w:before="37"/>
      </w:pPr>
    </w:p>
    <w:p>
      <w:pPr>
        <w:sectPr>
          <w:headerReference w:type="default" r:id="rId29"/>
          <w:footerReference w:type="default" r:id="rId30"/>
          <w:type w:val="continuous"/>
          <w:pgSz w:w="11907" w:h="16839"/>
          <w:pgMar w:top="1584" w:right="703" w:bottom="1480" w:left="667" w:header="853" w:footer="990" w:gutter="0"/>
          <w:pgNumType w:start="9"/>
          <w:cols w:num="1" w:space="708" w:equalWidth="0">
            <w:col w:w="10536" w:space="0"/>
          </w:cols>
        </w:sectPr>
      </w:pPr>
    </w:p>
    <w:p>
      <w:pPr>
        <w:spacing w:before="84" w:line="89" w:lineRule="exact"/>
        <w:jc w:val="right"/>
      </w:pPr>
      <w:r>
        <w:rPr>
          <w:position w:val="-2"/>
        </w:rPr>
        <w:drawing>
          <wp:inline distT="0" distB="0" distL="0" distR="0">
            <wp:extent cx="56950" cy="56950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6950" cy="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0" w:line="186" w:lineRule="auto"/>
        <w:ind w:left="43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7"/>
          <w:sz w:val="18"/>
          <w:szCs w:val="18"/>
        </w:rPr>
        <w:t>120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52" w:line="186" w:lineRule="auto"/>
        <w:ind w:left="43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7"/>
          <w:sz w:val="18"/>
          <w:szCs w:val="18"/>
        </w:rPr>
        <w:t>100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53" w:line="186" w:lineRule="auto"/>
        <w:ind w:left="51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80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52" w:line="186" w:lineRule="auto"/>
        <w:ind w:left="51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60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52" w:line="186" w:lineRule="auto"/>
        <w:ind w:left="50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40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52" w:line="186" w:lineRule="auto"/>
        <w:ind w:left="50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53" w:line="186" w:lineRule="auto"/>
        <w:ind w:left="60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8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触发两次以上赎回</w:t>
      </w:r>
      <w:r>
        <w:rPr>
          <w:spacing w:val="-1"/>
          <w:sz w:val="18"/>
          <w:szCs w:val="18"/>
        </w:rPr>
        <w:t xml:space="preserve"> </w:t>
      </w:r>
      <w:r>
        <w:rPr>
          <w:position w:val="1"/>
          <w:sz w:val="18"/>
          <w:szCs w:val="18"/>
        </w:rPr>
        <w:drawing>
          <wp:inline distT="0" distB="0" distL="0" distR="0">
            <wp:extent cx="56950" cy="56950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6950" cy="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触发两次赎回</w:t>
      </w:r>
      <w:r>
        <w:rPr>
          <w:spacing w:val="-1"/>
          <w:sz w:val="18"/>
          <w:szCs w:val="18"/>
        </w:rPr>
        <w:t xml:space="preserve"> </w:t>
      </w:r>
      <w:r>
        <w:rPr>
          <w:position w:val="1"/>
          <w:sz w:val="18"/>
          <w:szCs w:val="18"/>
        </w:rPr>
        <w:drawing>
          <wp:inline distT="0" distB="0" distL="0" distR="0">
            <wp:extent cx="56950" cy="56950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6950" cy="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6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触发一次即赎回</w:t>
      </w:r>
    </w:p>
    <w:p>
      <w:pPr>
        <w:spacing w:line="477" w:lineRule="auto"/>
        <w:rPr>
          <w:rFonts w:ascii="Arial"/>
          <w:sz w:val="21"/>
        </w:rPr>
      </w:pPr>
    </w:p>
    <w:p>
      <w:pPr>
        <w:spacing w:before="53" w:line="186" w:lineRule="auto"/>
        <w:ind w:left="99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99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52" w:line="186" w:lineRule="auto"/>
        <w:ind w:left="37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48</w:t>
      </w:r>
    </w:p>
    <w:p>
      <w:pPr>
        <w:spacing w:before="114" w:line="186" w:lineRule="auto"/>
        <w:ind w:left="3790"/>
        <w:rPr>
          <w:rFonts w:ascii="Times New Roman" w:eastAsia="Times New Roman" w:hAnsi="Times New Roman" w:cs="Times New Roman"/>
          <w:sz w:val="18"/>
          <w:szCs w:val="18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217741</wp:posOffset>
            </wp:positionH>
            <wp:positionV relativeFrom="paragraph">
              <wp:posOffset>-750648</wp:posOffset>
            </wp:positionV>
            <wp:extent cx="2319527" cy="1565783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319527" cy="1565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7" type="#_x0000_t202" style="width:10.7pt;height:10.05pt;margin-top:5.91pt;margin-left:118.7pt;position:absolute;z-index:251685888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36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37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52" w:line="186" w:lineRule="auto"/>
        <w:ind w:left="70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5"/>
          <w:sz w:val="18"/>
          <w:szCs w:val="18"/>
        </w:rPr>
        <w:t>18</w:t>
      </w:r>
    </w:p>
    <w:p>
      <w:pPr>
        <w:spacing w:before="88" w:line="456" w:lineRule="exact"/>
        <w:ind w:firstLine="67"/>
      </w:pPr>
      <w:r>
        <w:rPr>
          <w:position w:val="-9"/>
        </w:rPr>
        <w:pict>
          <v:group id="_x0000_i1048" style="width:210.15pt;height:22.8pt;mso-position-horizontal-relative:char;mso-position-vertical-relative:line" coordorigin="0,0" coordsize="4202,455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9" type="#_x0000_t75" style="width:3033;height:447;left:584;position:absolute" filled="f" stroked="f">
              <v:imagedata r:id="rId35" o:title=""/>
            </v:shape>
            <v:shape id="_x0000_s1050" type="#_x0000_t202" style="width:4242;height:397;left:-20;position:absolute;top:79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3164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>4</w:t>
                    </w:r>
                  </w:p>
                  <w:p>
                    <w:pPr>
                      <w:spacing w:before="134" w:line="61" w:lineRule="exact"/>
                      <w:ind w:firstLine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2668828" cy="38798"/>
                          <wp:effectExtent l="0" t="0" r="0" b="0"/>
                          <wp:docPr id="62" name="IM 6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2" name="IM 6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68828" cy="3879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51" type="#_x0000_t202" style="width:126;height:162;left:3434;position:absolute;top:129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>2</w:t>
                    </w:r>
                  </w:p>
                </w:txbxContent>
              </v:textbox>
            </v:shape>
            <v:shape id="_x0000_s1052" type="#_x0000_t202" style="width:121;height:162;left:2043;position:absolute;top:56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>5</w:t>
                    </w:r>
                  </w:p>
                </w:txbxContent>
              </v:textbox>
            </v:shape>
            <v:shape id="_x0000_s1053" type="#_x0000_t202" style="width:120;height:163;left:1736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>8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8" w:line="185" w:lineRule="auto"/>
        <w:ind w:left="339"/>
        <w:rPr>
          <w:sz w:val="18"/>
          <w:szCs w:val="18"/>
        </w:rPr>
      </w:pPr>
      <w:r>
        <w:rPr>
          <w:spacing w:val="-1"/>
          <w:sz w:val="18"/>
          <w:szCs w:val="18"/>
        </w:rPr>
        <w:t>小于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10</w:t>
      </w:r>
      <w:r>
        <w:rPr>
          <w:spacing w:val="-1"/>
          <w:sz w:val="18"/>
          <w:szCs w:val="18"/>
        </w:rPr>
        <w:t>亿元</w:t>
      </w:r>
      <w:r>
        <w:rPr>
          <w:spacing w:val="7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10-20</w:t>
      </w:r>
      <w:r>
        <w:rPr>
          <w:spacing w:val="-1"/>
          <w:sz w:val="18"/>
          <w:szCs w:val="18"/>
        </w:rPr>
        <w:t>亿元</w:t>
      </w:r>
      <w:r>
        <w:rPr>
          <w:spacing w:val="-1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</w:t>
      </w:r>
      <w:r>
        <w:rPr>
          <w:spacing w:val="-1"/>
          <w:sz w:val="18"/>
          <w:szCs w:val="18"/>
        </w:rPr>
        <w:t>亿元以上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7" w:line="218" w:lineRule="auto"/>
        <w:ind w:left="240"/>
        <w:rPr>
          <w:sz w:val="18"/>
          <w:szCs w:val="18"/>
        </w:rPr>
      </w:pPr>
      <w:r>
        <w:rPr>
          <w:position w:val="1"/>
          <w:sz w:val="18"/>
          <w:szCs w:val="18"/>
        </w:rPr>
        <w:drawing>
          <wp:inline distT="0" distB="0" distL="0" distR="0">
            <wp:extent cx="56950" cy="56950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6950" cy="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3"/>
          <w:sz w:val="18"/>
          <w:szCs w:val="18"/>
        </w:rPr>
        <w:t xml:space="preserve"> </w:t>
      </w:r>
      <w:r>
        <w:rPr>
          <w:sz w:val="18"/>
          <w:szCs w:val="18"/>
        </w:rPr>
        <w:t>触发两次以上赎回</w:t>
      </w:r>
      <w:r>
        <w:rPr>
          <w:sz w:val="18"/>
          <w:szCs w:val="18"/>
        </w:rPr>
        <w:t xml:space="preserve"> </w:t>
      </w:r>
      <w:r>
        <w:rPr>
          <w:position w:val="1"/>
          <w:sz w:val="18"/>
          <w:szCs w:val="18"/>
        </w:rPr>
        <w:drawing>
          <wp:inline distT="0" distB="0" distL="0" distR="0">
            <wp:extent cx="56950" cy="56950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6950" cy="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5"/>
          <w:sz w:val="18"/>
          <w:szCs w:val="18"/>
        </w:rPr>
        <w:t xml:space="preserve"> </w:t>
      </w:r>
      <w:r>
        <w:rPr>
          <w:sz w:val="18"/>
          <w:szCs w:val="18"/>
        </w:rPr>
        <w:t>触发两次赎回</w:t>
      </w:r>
      <w:r>
        <w:rPr>
          <w:spacing w:val="21"/>
          <w:sz w:val="18"/>
          <w:szCs w:val="18"/>
        </w:rPr>
        <w:t xml:space="preserve"> </w:t>
      </w:r>
      <w:r>
        <w:rPr>
          <w:position w:val="1"/>
          <w:sz w:val="18"/>
          <w:szCs w:val="18"/>
        </w:rPr>
        <w:drawing>
          <wp:inline distT="0" distB="0" distL="0" distR="0">
            <wp:extent cx="56950" cy="56950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6950" cy="5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5"/>
          <w:sz w:val="18"/>
          <w:szCs w:val="18"/>
        </w:rPr>
        <w:t xml:space="preserve"> </w:t>
      </w:r>
      <w:r>
        <w:rPr>
          <w:sz w:val="18"/>
          <w:szCs w:val="18"/>
        </w:rPr>
        <w:t>触发一次即赎回</w:t>
      </w:r>
    </w:p>
    <w:p>
      <w:pPr>
        <w:spacing w:before="9"/>
      </w:pPr>
    </w:p>
    <w:tbl>
      <w:tblPr>
        <w:tblStyle w:val="TableNormal1"/>
        <w:tblW w:w="471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315"/>
        <w:gridCol w:w="3401"/>
      </w:tblGrid>
      <w:tr>
        <w:tblPrEx>
          <w:tblW w:w="471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83"/>
        </w:trPr>
        <w:tc>
          <w:tcPr>
            <w:tcW w:w="1315" w:type="dxa"/>
            <w:vAlign w:val="top"/>
          </w:tcPr>
          <w:p>
            <w:pPr>
              <w:pStyle w:val="TableText"/>
              <w:spacing w:before="143" w:line="467" w:lineRule="auto"/>
              <w:ind w:left="555" w:right="57" w:hanging="55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新能源军工板块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消费板块</w:t>
            </w:r>
          </w:p>
          <w:p>
            <w:pPr>
              <w:pStyle w:val="TableText"/>
              <w:spacing w:line="219" w:lineRule="auto"/>
              <w:ind w:left="54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科技板块</w:t>
            </w:r>
          </w:p>
          <w:p>
            <w:pPr>
              <w:pStyle w:val="TableText"/>
              <w:spacing w:before="241" w:line="456" w:lineRule="exact"/>
              <w:ind w:right="57"/>
              <w:jc w:val="right"/>
              <w:rPr>
                <w:sz w:val="18"/>
                <w:szCs w:val="18"/>
              </w:rPr>
            </w:pPr>
            <w:r>
              <w:rPr>
                <w:spacing w:val="-1"/>
                <w:position w:val="22"/>
                <w:sz w:val="18"/>
                <w:szCs w:val="18"/>
              </w:rPr>
              <w:t>地产链板块</w:t>
            </w:r>
          </w:p>
          <w:p>
            <w:pPr>
              <w:pStyle w:val="TableText"/>
              <w:spacing w:line="226" w:lineRule="auto"/>
              <w:ind w:left="19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红利低估板块</w:t>
            </w:r>
          </w:p>
        </w:tc>
        <w:tc>
          <w:tcPr>
            <w:tcW w:w="3401" w:type="dxa"/>
            <w:vAlign w:val="top"/>
          </w:tcPr>
          <w:p>
            <w:pPr>
              <w:spacing w:line="2293" w:lineRule="exact"/>
              <w:ind w:firstLine="86"/>
            </w:pPr>
            <w:r>
              <w:drawing>
                <wp:anchor distT="0" distB="0" distL="0" distR="0" simplePos="0" relativeHeight="251684864" behindDoc="1" locked="0" layoutInCell="1" allowOverlap="1">
                  <wp:simplePos x="0" y="0"/>
                  <wp:positionH relativeFrom="rightMargin">
                    <wp:posOffset>-2099690</wp:posOffset>
                  </wp:positionH>
                  <wp:positionV relativeFrom="topMargin">
                    <wp:posOffset>120840</wp:posOffset>
                  </wp:positionV>
                  <wp:extent cx="617156" cy="984694"/>
                  <wp:effectExtent l="0" t="0" r="0" b="0"/>
                  <wp:wrapNone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156" cy="9846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2816" behindDoc="1" locked="0" layoutInCell="1" allowOverlap="1">
                  <wp:simplePos x="0" y="0"/>
                  <wp:positionH relativeFrom="rightMargin">
                    <wp:posOffset>-2099690</wp:posOffset>
                  </wp:positionH>
                  <wp:positionV relativeFrom="topMargin">
                    <wp:posOffset>1217929</wp:posOffset>
                  </wp:positionV>
                  <wp:extent cx="80708" cy="61150"/>
                  <wp:effectExtent l="0" t="0" r="0" b="0"/>
                  <wp:wrapNone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08" cy="6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3840" behindDoc="1" locked="0" layoutInCell="1" allowOverlap="1">
                  <wp:simplePos x="0" y="0"/>
                  <wp:positionH relativeFrom="rightMargin">
                    <wp:posOffset>-2099690</wp:posOffset>
                  </wp:positionH>
                  <wp:positionV relativeFrom="topMargin">
                    <wp:posOffset>1330705</wp:posOffset>
                  </wp:positionV>
                  <wp:extent cx="565340" cy="59626"/>
                  <wp:effectExtent l="0" t="0" r="0" b="0"/>
                  <wp:wrapNone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340" cy="596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54" type="#_x0000_t202" style="width:151.35pt;height:110pt;margin-top:3.58pt;margin-left:-159.98pt;mso-position-horizontal-relative:right-margin-area;mso-position-vertical-relative:top-margin-area;position:absolute;z-index:25168691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05" w:lineRule="exact"/>
                          <w:ind w:left="1225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position w:val="-3"/>
                            <w:sz w:val="18"/>
                            <w:szCs w:val="18"/>
                          </w:rPr>
                          <w:t>30</w:t>
                        </w:r>
                      </w:p>
                      <w:p>
                        <w:pPr>
                          <w:spacing w:line="88" w:lineRule="exact"/>
                          <w:ind w:left="382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3"/>
                            <w:sz w:val="18"/>
                            <w:szCs w:val="18"/>
                          </w:rPr>
                          <w:t>9</w:t>
                        </w:r>
                      </w:p>
                      <w:p>
                        <w:pPr>
                          <w:spacing w:line="165" w:lineRule="auto"/>
                          <w:ind w:right="17"/>
                          <w:jc w:val="right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70</w:t>
                        </w:r>
                      </w:p>
                      <w:p>
                        <w:pPr>
                          <w:spacing w:before="119" w:line="106" w:lineRule="exact"/>
                          <w:ind w:left="556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  <w:position w:val="-3"/>
                            <w:sz w:val="18"/>
                            <w:szCs w:val="18"/>
                          </w:rPr>
                          <w:t>13</w:t>
                        </w:r>
                      </w:p>
                      <w:p>
                        <w:pPr>
                          <w:spacing w:line="86" w:lineRule="exact"/>
                          <w:ind w:left="177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3"/>
                            <w:sz w:val="18"/>
                            <w:szCs w:val="18"/>
                          </w:rPr>
                          <w:t>4</w:t>
                        </w:r>
                      </w:p>
                      <w:p>
                        <w:pPr>
                          <w:spacing w:line="166" w:lineRule="auto"/>
                          <w:ind w:left="981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24</w:t>
                        </w:r>
                      </w:p>
                      <w:p>
                        <w:pPr>
                          <w:spacing w:before="120" w:line="105" w:lineRule="exact"/>
                          <w:ind w:left="346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3"/>
                            <w:sz w:val="18"/>
                            <w:szCs w:val="18"/>
                          </w:rPr>
                          <w:t>8</w:t>
                        </w:r>
                      </w:p>
                      <w:p>
                        <w:pPr>
                          <w:spacing w:line="88" w:lineRule="exact"/>
                          <w:ind w:left="262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3"/>
                            <w:sz w:val="18"/>
                            <w:szCs w:val="18"/>
                          </w:rPr>
                          <w:t>6</w:t>
                        </w:r>
                      </w:p>
                      <w:p>
                        <w:pPr>
                          <w:spacing w:line="165" w:lineRule="auto"/>
                          <w:ind w:left="1622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40</w:t>
                        </w:r>
                      </w:p>
                      <w:p>
                        <w:pPr>
                          <w:spacing w:before="120" w:line="106" w:lineRule="exact"/>
                          <w:ind w:left="262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3"/>
                            <w:sz w:val="18"/>
                            <w:szCs w:val="18"/>
                          </w:rPr>
                          <w:t>6</w:t>
                        </w:r>
                      </w:p>
                      <w:p>
                        <w:pPr>
                          <w:spacing w:line="87" w:lineRule="exact"/>
                          <w:ind w:left="262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3"/>
                            <w:sz w:val="18"/>
                            <w:szCs w:val="18"/>
                          </w:rPr>
                          <w:t>6</w:t>
                        </w:r>
                      </w:p>
                      <w:p>
                        <w:pPr>
                          <w:spacing w:before="1" w:line="165" w:lineRule="auto"/>
                          <w:ind w:left="676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  <w:sz w:val="18"/>
                            <w:szCs w:val="18"/>
                          </w:rPr>
                          <w:t>16</w:t>
                        </w:r>
                      </w:p>
                      <w:p>
                        <w:pPr>
                          <w:spacing w:before="119" w:line="106" w:lineRule="exact"/>
                          <w:ind w:left="141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3"/>
                            <w:sz w:val="18"/>
                            <w:szCs w:val="18"/>
                          </w:rPr>
                          <w:t>3</w:t>
                        </w:r>
                      </w:p>
                      <w:p>
                        <w:pPr>
                          <w:spacing w:line="88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3"/>
                            <w:sz w:val="18"/>
                            <w:szCs w:val="18"/>
                          </w:rPr>
                          <w:t>0</w:t>
                        </w:r>
                      </w:p>
                      <w:p>
                        <w:pPr>
                          <w:spacing w:before="1" w:line="165" w:lineRule="auto"/>
                          <w:ind w:left="90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22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45"/>
              </w:rPr>
              <w:drawing>
                <wp:inline distT="0" distB="0" distL="0" distR="0">
                  <wp:extent cx="2050287" cy="1456308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0287" cy="1456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40" w:line="18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           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40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80</w:t>
            </w:r>
          </w:p>
          <w:p>
            <w:pPr>
              <w:pStyle w:val="TableText"/>
              <w:spacing w:before="90" w:line="183" w:lineRule="auto"/>
              <w:ind w:left="1206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数量（只）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43"/>
          <w:footerReference w:type="default" r:id="rId44"/>
          <w:type w:val="continuous"/>
          <w:pgSz w:w="11907" w:h="16839"/>
          <w:pgMar w:top="1584" w:right="703" w:bottom="1480" w:left="667" w:header="853" w:footer="990" w:gutter="0"/>
          <w:pgNumType w:start="10"/>
          <w:cols w:num="3" w:space="708" w:equalWidth="0">
            <w:col w:w="721" w:space="43"/>
            <w:col w:w="4734" w:space="100"/>
            <w:col w:w="4940" w:space="0"/>
          </w:cols>
        </w:sectPr>
      </w:pPr>
    </w:p>
    <w:p>
      <w:pPr>
        <w:spacing w:line="256" w:lineRule="auto"/>
        <w:rPr>
          <w:rFonts w:ascii="Arial"/>
          <w:sz w:val="21"/>
        </w:rPr>
        <w:sectPr>
          <w:headerReference w:type="default" r:id="rId45"/>
          <w:footerReference w:type="default" r:id="rId46"/>
          <w:type w:val="continuous"/>
          <w:pgSz w:w="11907" w:h="16839"/>
          <w:pgMar w:top="1584" w:right="703" w:bottom="1480" w:left="667" w:header="853" w:footer="990" w:gutter="0"/>
          <w:pgNumType w:start="11"/>
          <w:cols w:num="1" w:space="708" w:equalWidth="0">
            <w:col w:w="10536" w:space="0"/>
          </w:cols>
        </w:sectPr>
      </w:pPr>
    </w:p>
    <w:p>
      <w:pPr>
        <w:pStyle w:val="BodyText"/>
        <w:spacing w:before="52" w:line="213" w:lineRule="auto"/>
        <w:ind w:left="180"/>
        <w:rPr>
          <w:sz w:val="16"/>
          <w:szCs w:val="16"/>
        </w:rPr>
      </w:pPr>
      <w:r>
        <w:rPr>
          <w:spacing w:val="-3"/>
          <w:sz w:val="16"/>
          <w:szCs w:val="16"/>
        </w:rPr>
        <w:t>数据来源：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Wind</w:t>
      </w:r>
      <w:r>
        <w:rPr>
          <w:spacing w:val="-3"/>
          <w:sz w:val="16"/>
          <w:szCs w:val="16"/>
        </w:rPr>
        <w:t>，聚源，</w:t>
      </w:r>
      <w:r>
        <w:rPr>
          <w:spacing w:val="-3"/>
          <w:sz w:val="16"/>
          <w:szCs w:val="16"/>
        </w:rPr>
        <w:t xml:space="preserve"> </w:t>
      </w:r>
      <w:r>
        <w:rPr>
          <w:spacing w:val="-3"/>
          <w:sz w:val="16"/>
          <w:szCs w:val="16"/>
        </w:rPr>
        <w:t>兴业证券经济与金融研</w:t>
      </w:r>
      <w:r>
        <w:rPr>
          <w:spacing w:val="-4"/>
          <w:sz w:val="16"/>
          <w:szCs w:val="16"/>
        </w:rPr>
        <w:t>究院整理</w:t>
      </w:r>
    </w:p>
    <w:p>
      <w:pPr>
        <w:pStyle w:val="BodyText"/>
        <w:spacing w:before="21" w:line="186" w:lineRule="auto"/>
        <w:ind w:left="17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spacing w:val="-1"/>
          <w:sz w:val="16"/>
          <w:szCs w:val="16"/>
        </w:rPr>
        <w:t>说明：截止到</w:t>
      </w:r>
      <w:r>
        <w:rPr>
          <w:spacing w:val="-2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2024/1/12</w:t>
      </w:r>
    </w:p>
    <w:p>
      <w:pPr>
        <w:spacing w:line="186" w:lineRule="auto"/>
        <w:rPr>
          <w:rFonts w:ascii="Times New Roman" w:eastAsia="Times New Roman" w:hAnsi="Times New Roman" w:cs="Times New Roman"/>
          <w:sz w:val="16"/>
          <w:szCs w:val="16"/>
        </w:rPr>
        <w:sectPr>
          <w:headerReference w:type="default" r:id="rId47"/>
          <w:footerReference w:type="default" r:id="rId48"/>
          <w:type w:val="nextPage"/>
          <w:pgSz w:w="11907" w:h="16839"/>
          <w:pgMar w:top="1584" w:right="703" w:bottom="1480" w:left="667" w:header="853" w:footer="990" w:gutter="0"/>
          <w:pgNumType w:start="12"/>
          <w:cols w:num="1" w:space="708" w:equalWidth="0">
            <w:col w:w="10536" w:space="0"/>
          </w:cols>
          <w:titlePg w:val="0"/>
        </w:sectPr>
      </w:pPr>
    </w:p>
    <w:p>
      <w:pPr>
        <w:pStyle w:val="BodyText"/>
        <w:spacing w:before="32" w:line="212" w:lineRule="auto"/>
        <w:ind w:left="27"/>
      </w:pPr>
      <w:r>
        <w:pict>
          <v:shape id="_x0000_s1055" style="width:517.8pt;height:0.5pt;margin-top:730.54pt;margin-left:42.36pt;mso-position-horizontal-relative:page;mso-position-vertical-relative:page;position:absolute;z-index:251687936" coordorigin="0,0" coordsize="10355,10" o:allowincell="f" path="m,9l10355,9l10355,l,l,9xe" filled="t" fillcolor="black" stroked="f"/>
        </w:pic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5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：发行规模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20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亿元和红利低估板块放弃过赎回的部分样本</w:t>
      </w:r>
    </w:p>
    <w:p>
      <w:pPr>
        <w:pStyle w:val="BodyText"/>
        <w:spacing w:line="441" w:lineRule="exact"/>
      </w:pPr>
      <w:r>
        <w:rPr>
          <w:position w:val="-8"/>
        </w:rPr>
        <w:pict>
          <v:group id="_x0000_i1056" style="width:517.8pt;height:22.1pt;mso-position-horizontal-relative:char;mso-position-vertical-relative:line" coordorigin="0,0" coordsize="10355,442" filled="f" stroked="f">
            <v:rect id="_x0000_s1057" style="width:10210;height:432;left:105;position:absolute;top:9" filled="t" fillcolor="#002060" stroked="f"/>
            <v:shape id="_x0000_s1058" type="#_x0000_t202" style="width:1696;height:201;left:2598;position:absolute;top:125" filled="f" stroked="f">
              <o:lock v:ext="edit" aspectratio="f"/>
              <v:textbox inset="0,0,0,0">
                <w:txbxContent>
                  <w:p>
                    <w:pPr>
                      <w:spacing w:before="19" w:line="218" w:lineRule="auto"/>
                      <w:ind w:lef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6"/>
                        <w:szCs w:val="16"/>
                        <w14:textOutline w14:w="291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公告日期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3"/>
                        <w:sz w:val="16"/>
                        <w:szCs w:val="16"/>
                      </w:rPr>
                      <w:t xml:space="preserve">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6"/>
                        <w:szCs w:val="16"/>
                        <w14:textOutline w14:w="291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是否赎回</w:t>
                    </w:r>
                  </w:p>
                </w:txbxContent>
              </v:textbox>
            </v:shape>
            <v:shape id="_x0000_s1059" type="#_x0000_t202" style="width:683;height:407;left:4620;position:absolute;top:21" filled="f" stroked="f">
              <o:lock v:ext="edit" aspectratio="f"/>
              <v:textbox inset="0,0,0,0">
                <w:txbxContent>
                  <w:p>
                    <w:pPr>
                      <w:spacing w:before="19" w:line="234" w:lineRule="auto"/>
                      <w:ind w:left="20" w:righ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6"/>
                        <w:szCs w:val="16"/>
                        <w14:textOutline w14:w="291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发行规模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z w:val="16"/>
                        <w:szCs w:val="16"/>
                        <w14:textOutline w14:w="291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（亿元）</w:t>
                    </w:r>
                  </w:p>
                </w:txbxContent>
              </v:textbox>
            </v:shape>
            <v:shape id="_x0000_s1060" type="#_x0000_t202" style="width:683;height:407;left:5684;position:absolute;top:21" filled="f" stroked="f">
              <o:lock v:ext="edit" aspectratio="f"/>
              <v:textbox inset="0,0,0,0">
                <w:txbxContent>
                  <w:p>
                    <w:pPr>
                      <w:spacing w:before="19" w:line="234" w:lineRule="auto"/>
                      <w:ind w:left="20" w:right="20" w:firstLine="7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sz w:val="16"/>
                        <w:szCs w:val="16"/>
                        <w14:textOutline w14:w="291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剩余规模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z w:val="16"/>
                        <w:szCs w:val="16"/>
                        <w14:textOutline w14:w="291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（亿元）</w:t>
                    </w:r>
                  </w:p>
                </w:txbxContent>
              </v:textbox>
            </v:shape>
            <v:shape id="_x0000_s1061" type="#_x0000_t202" style="width:675;height:407;left:6754;position:absolute;top:21" filled="f" stroked="f">
              <o:lock v:ext="edit" aspectratio="f"/>
              <v:textbox inset="0,0,0,0">
                <w:txbxContent>
                  <w:p>
                    <w:pPr>
                      <w:spacing w:before="20" w:line="228" w:lineRule="auto"/>
                      <w:ind w:left="91" w:right="20" w:hanging="72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sz w:val="16"/>
                        <w:szCs w:val="16"/>
                        <w14:textOutline w14:w="291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剩余期限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z w:val="16"/>
                        <w:szCs w:val="16"/>
                        <w14:textOutline w14:w="291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（年）</w:t>
                    </w:r>
                  </w:p>
                </w:txbxContent>
              </v:textbox>
            </v:shape>
            <v:shape id="_x0000_s1062" type="#_x0000_t202" style="width:679;height:201;left:1470;position:absolute;top:125" filled="f" stroked="f">
              <o:lock v:ext="edit" aspectratio="f"/>
              <v:textbox inset="0,0,0,0">
                <w:txbxContent>
                  <w:p>
                    <w:pPr>
                      <w:spacing w:before="20" w:line="221" w:lineRule="auto"/>
                      <w:ind w:lef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6"/>
                        <w:szCs w:val="16"/>
                        <w14:textOutline w14:w="291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正股简称</w:t>
                    </w:r>
                  </w:p>
                </w:txbxContent>
              </v:textbox>
            </v:shape>
            <v:shape id="_x0000_s1063" type="#_x0000_t202" style="width:678;height:201;left:336;position:absolute;top:125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6"/>
                        <w:szCs w:val="16"/>
                        <w14:textOutline w14:w="291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转债简称</w:t>
                    </w:r>
                  </w:p>
                </w:txbxContent>
              </v:textbox>
            </v:shape>
            <v:shape id="_x0000_s1064" type="#_x0000_t202" style="width:674;height:201;left:8084;position:absolute;top:125" filled="f" stroked="f">
              <o:lock v:ext="edit" aspectratio="f"/>
              <v:textbox inset="0,0,0,0">
                <w:txbxContent>
                  <w:p>
                    <w:pPr>
                      <w:spacing w:before="20" w:line="218" w:lineRule="auto"/>
                      <w:ind w:lef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sz w:val="16"/>
                        <w:szCs w:val="16"/>
                        <w14:textOutline w14:w="291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所属行业</w:t>
                    </w:r>
                  </w:p>
                </w:txbxContent>
              </v:textbox>
            </v:shape>
            <v:shape id="_x0000_s1065" type="#_x0000_t202" style="width:674;height:201;left:9413;position:absolute;top:125" filled="f" stroked="f">
              <o:lock v:ext="edit" aspectratio="f"/>
              <v:textbox inset="0,0,0,0">
                <w:txbxContent>
                  <w:p>
                    <w:pPr>
                      <w:spacing w:before="20" w:line="218" w:lineRule="auto"/>
                      <w:ind w:lef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sz w:val="16"/>
                        <w:szCs w:val="16"/>
                        <w14:textOutline w14:w="291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所属板块</w:t>
                    </w:r>
                  </w:p>
                </w:txbxContent>
              </v:textbox>
            </v:shape>
            <v:shape id="_x0000_s1066" style="width:10355;height:10;position:absolute" coordorigin="0,0" coordsize="10355,10" path="m,9l10355,9l10355,l,l,9xe" filled="t" fillcolor="black" stroked="f"/>
            <w10:wrap type="none"/>
          </v:group>
        </w:pict>
      </w:r>
    </w:p>
    <w:p>
      <w:pPr>
        <w:pStyle w:val="BodyText"/>
        <w:spacing w:before="58" w:line="218" w:lineRule="auto"/>
        <w:ind w:left="397"/>
        <w:rPr>
          <w:sz w:val="16"/>
          <w:szCs w:val="16"/>
        </w:rPr>
      </w:pPr>
      <w:r>
        <w:rPr>
          <w:spacing w:val="-1"/>
          <w:sz w:val="16"/>
          <w:szCs w:val="16"/>
        </w:rPr>
        <w:t>东财转</w:t>
      </w:r>
      <w:r>
        <w:rPr>
          <w:spacing w:val="-3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3             </w:t>
      </w:r>
      <w:r>
        <w:rPr>
          <w:spacing w:val="-1"/>
          <w:sz w:val="16"/>
          <w:szCs w:val="16"/>
        </w:rPr>
        <w:t>东方财富</w:t>
      </w:r>
      <w:r>
        <w:rPr>
          <w:spacing w:val="-1"/>
          <w:sz w:val="16"/>
          <w:szCs w:val="16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2021-</w:t>
      </w:r>
      <w:r>
        <w:rPr>
          <w:rFonts w:ascii="Times New Roman" w:eastAsia="Times New Roman" w:hAnsi="Times New Roman" w:cs="Times New Roman"/>
          <w:spacing w:val="-2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11-3    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       </w:t>
      </w:r>
      <w:r>
        <w:rPr>
          <w:spacing w:val="-2"/>
          <w:sz w:val="16"/>
          <w:szCs w:val="16"/>
        </w:rPr>
        <w:t>不赎回</w:t>
      </w:r>
      <w:r>
        <w:rPr>
          <w:spacing w:val="-2"/>
          <w:sz w:val="16"/>
          <w:szCs w:val="16"/>
        </w:rPr>
        <w:t xml:space="preserve">       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158.00                 150.92                   5.43                        </w:t>
      </w:r>
      <w:r>
        <w:rPr>
          <w:spacing w:val="-2"/>
          <w:sz w:val="16"/>
          <w:szCs w:val="16"/>
        </w:rPr>
        <w:t>计算机</w:t>
      </w:r>
      <w:r>
        <w:rPr>
          <w:spacing w:val="-2"/>
          <w:sz w:val="16"/>
          <w:szCs w:val="16"/>
        </w:rPr>
        <w:t xml:space="preserve">          </w:t>
      </w:r>
      <w:r>
        <w:rPr>
          <w:spacing w:val="-2"/>
          <w:sz w:val="16"/>
          <w:szCs w:val="16"/>
        </w:rPr>
        <w:t>科技板块</w:t>
      </w:r>
    </w:p>
    <w:p>
      <w:pPr>
        <w:spacing w:line="55" w:lineRule="exact"/>
      </w:pPr>
    </w:p>
    <w:p>
      <w:pPr>
        <w:spacing w:line="55" w:lineRule="exact"/>
        <w:sectPr>
          <w:headerReference w:type="default" r:id="rId49"/>
          <w:footerReference w:type="default" r:id="rId50"/>
          <w:pgSz w:w="11907" w:h="16839"/>
          <w:pgMar w:top="1584" w:right="703" w:bottom="1480" w:left="847" w:header="853" w:footer="990" w:gutter="0"/>
          <w:pgNumType w:start="13"/>
          <w:cols w:num="1" w:space="708" w:equalWidth="0">
            <w:col w:w="10356" w:space="0"/>
          </w:cols>
        </w:sectPr>
      </w:pPr>
    </w:p>
    <w:p>
      <w:pPr>
        <w:pStyle w:val="BodyText"/>
        <w:spacing w:before="31" w:line="186" w:lineRule="auto"/>
        <w:ind w:left="397"/>
        <w:rPr>
          <w:rFonts w:ascii="Times New Roman" w:eastAsia="Times New Roman" w:hAnsi="Times New Roman" w:cs="Times New Roman"/>
          <w:sz w:val="16"/>
          <w:szCs w:val="16"/>
        </w:rPr>
      </w:pPr>
      <w:r>
        <mc:AlternateContent>
          <mc:Choice Requires="wps">
            <w:drawing>
              <wp:anchor distT="0" distB="0" distL="0" distR="0" simplePos="0" relativeHeight="251689984" behindDoc="1" locked="0" layoutInCell="1" allowOverlap="1">
                <wp:simplePos x="0" y="0"/>
                <wp:positionH relativeFrom="column">
                  <wp:posOffset>67055</wp:posOffset>
                </wp:positionH>
                <wp:positionV relativeFrom="paragraph">
                  <wp:posOffset>-17088</wp:posOffset>
                </wp:positionV>
                <wp:extent cx="6483350" cy="175260"/>
                <wp:effectExtent l="0" t="0" r="0" b="0"/>
                <wp:wrapNone/>
                <wp:docPr id="80" name="Rect 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7055" y="-17088"/>
                          <a:ext cx="6483350" cy="1752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80" o:spid="_x0000_s1067" style="width:510.5pt;height:13.8pt;margin-top:-1.35pt;margin-left:5.28pt;mso-wrap-distance-bottom:0;mso-wrap-distance-left:0;mso-wrap-distance-right:0;mso-wrap-distance-top:0;position:absolute;v-text-anchor:top;z-index:-251627520" fillcolor="#d9d9d9" stroked="f"/>
            </w:pict>
          </mc:Fallback>
        </mc:AlternateContent>
      </w:r>
      <w:r>
        <w:rPr>
          <w:spacing w:val="-6"/>
          <w:sz w:val="16"/>
          <w:szCs w:val="16"/>
        </w:rPr>
        <w:t>东财转</w:t>
      </w:r>
      <w:r>
        <w:rPr>
          <w:spacing w:val="-3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6"/>
          <w:szCs w:val="1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186" w:lineRule="auto"/>
        <w:rPr>
          <w:sz w:val="16"/>
          <w:szCs w:val="16"/>
        </w:rPr>
      </w:pPr>
      <w:r>
        <w:rPr>
          <w:spacing w:val="-5"/>
          <w:sz w:val="16"/>
          <w:szCs w:val="16"/>
        </w:rPr>
        <w:t>东方财富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0" w:line="171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2022-</w:t>
      </w:r>
      <w:r>
        <w:rPr>
          <w:rFonts w:ascii="Times New Roman" w:eastAsia="Times New Roman" w:hAnsi="Times New Roman" w:cs="Times New Roman"/>
          <w:spacing w:val="-1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1-25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186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赎回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0" w:line="171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158.00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0" w:line="171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139.92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0" w:line="171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5.20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186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计算机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186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科技板块</w:t>
      </w:r>
    </w:p>
    <w:p>
      <w:pPr>
        <w:spacing w:line="186" w:lineRule="auto"/>
        <w:rPr>
          <w:sz w:val="16"/>
          <w:szCs w:val="16"/>
        </w:rPr>
        <w:sectPr>
          <w:headerReference w:type="default" r:id="rId51"/>
          <w:footerReference w:type="default" r:id="rId52"/>
          <w:type w:val="continuous"/>
          <w:pgSz w:w="11907" w:h="16839"/>
          <w:pgMar w:top="1584" w:right="703" w:bottom="1480" w:left="847" w:header="853" w:footer="990" w:gutter="0"/>
          <w:pgNumType w:start="14"/>
          <w:cols w:num="9" w:space="708" w:equalWidth="0">
            <w:col w:w="1412" w:space="100"/>
            <w:col w:w="999" w:space="100"/>
            <w:col w:w="1088" w:space="100"/>
            <w:col w:w="863" w:space="100"/>
            <w:col w:w="967" w:space="100"/>
            <w:col w:w="1029" w:space="100"/>
            <w:col w:w="1127" w:space="100"/>
            <w:col w:w="1150" w:space="100"/>
            <w:col w:w="925" w:space="0"/>
          </w:cols>
        </w:sectPr>
      </w:pPr>
    </w:p>
    <w:p>
      <w:pPr>
        <w:pStyle w:val="BodyText"/>
        <w:spacing w:before="115" w:line="216" w:lineRule="auto"/>
        <w:ind w:left="357"/>
        <w:rPr>
          <w:sz w:val="16"/>
          <w:szCs w:val="16"/>
        </w:rPr>
      </w:pPr>
      <w:r>
        <w:rPr>
          <w:sz w:val="16"/>
          <w:szCs w:val="16"/>
        </w:rPr>
        <w:t>三花转债</w:t>
      </w:r>
      <w:r>
        <w:rPr>
          <w:sz w:val="16"/>
          <w:szCs w:val="16"/>
        </w:rPr>
        <w:t xml:space="preserve">      </w:t>
      </w:r>
      <w:r>
        <w:rPr>
          <w:sz w:val="16"/>
          <w:szCs w:val="16"/>
        </w:rPr>
        <w:t>三花智控</w:t>
      </w:r>
      <w:r>
        <w:rPr>
          <w:sz w:val="16"/>
          <w:szCs w:val="16"/>
        </w:rPr>
        <w:t xml:space="preserve">      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2022-7-29            </w:t>
      </w:r>
      <w:r>
        <w:rPr>
          <w:sz w:val="16"/>
          <w:szCs w:val="16"/>
        </w:rPr>
        <w:t>不赎回</w:t>
      </w:r>
      <w:r>
        <w:rPr>
          <w:sz w:val="16"/>
          <w:szCs w:val="16"/>
        </w:rPr>
        <w:t xml:space="preserve">       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30.00                  29.99                   4.84     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                     </w:t>
      </w:r>
      <w:r>
        <w:rPr>
          <w:spacing w:val="-1"/>
          <w:sz w:val="16"/>
          <w:szCs w:val="16"/>
        </w:rPr>
        <w:t>家电</w:t>
      </w:r>
      <w:r>
        <w:rPr>
          <w:spacing w:val="-1"/>
          <w:sz w:val="16"/>
          <w:szCs w:val="16"/>
        </w:rPr>
        <w:t xml:space="preserve">         </w:t>
      </w:r>
      <w:r>
        <w:rPr>
          <w:spacing w:val="-1"/>
          <w:sz w:val="16"/>
          <w:szCs w:val="16"/>
        </w:rPr>
        <w:t>地产链板块</w:t>
      </w:r>
    </w:p>
    <w:p>
      <w:pPr>
        <w:spacing w:line="30" w:lineRule="exact"/>
      </w:pPr>
    </w:p>
    <w:tbl>
      <w:tblPr>
        <w:tblStyle w:val="TableNormal2"/>
        <w:tblW w:w="10209" w:type="dxa"/>
        <w:tblInd w:w="1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35"/>
        <w:gridCol w:w="1133"/>
        <w:gridCol w:w="1136"/>
        <w:gridCol w:w="886"/>
        <w:gridCol w:w="1136"/>
        <w:gridCol w:w="991"/>
        <w:gridCol w:w="1133"/>
        <w:gridCol w:w="1524"/>
        <w:gridCol w:w="1135"/>
      </w:tblGrid>
      <w:tr>
        <w:tblPrEx>
          <w:tblW w:w="10209" w:type="dxa"/>
          <w:tblInd w:w="10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7"/>
        </w:trPr>
        <w:tc>
          <w:tcPr>
            <w:tcW w:w="1135" w:type="dxa"/>
            <w:shd w:val="clear" w:color="auto" w:fill="D9D9D9"/>
            <w:vAlign w:val="top"/>
          </w:tcPr>
          <w:p>
            <w:pPr>
              <w:pStyle w:val="TableText"/>
              <w:spacing w:before="59" w:line="220" w:lineRule="auto"/>
              <w:ind w:left="25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三花转债</w:t>
            </w:r>
          </w:p>
        </w:tc>
        <w:tc>
          <w:tcPr>
            <w:tcW w:w="1133" w:type="dxa"/>
            <w:shd w:val="clear" w:color="auto" w:fill="D9D9D9"/>
            <w:vAlign w:val="top"/>
          </w:tcPr>
          <w:p>
            <w:pPr>
              <w:pStyle w:val="TableText"/>
              <w:spacing w:before="58" w:line="217" w:lineRule="auto"/>
              <w:ind w:left="25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三花智控</w:t>
            </w:r>
          </w:p>
        </w:tc>
        <w:tc>
          <w:tcPr>
            <w:tcW w:w="1136" w:type="dxa"/>
            <w:shd w:val="clear" w:color="auto" w:fill="D9D9D9"/>
            <w:vAlign w:val="top"/>
          </w:tcPr>
          <w:p>
            <w:pPr>
              <w:spacing w:before="87" w:line="187" w:lineRule="auto"/>
              <w:ind w:left="27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2023-7-8</w:t>
            </w:r>
          </w:p>
        </w:tc>
        <w:tc>
          <w:tcPr>
            <w:tcW w:w="886" w:type="dxa"/>
            <w:shd w:val="clear" w:color="auto" w:fill="D9D9D9"/>
            <w:vAlign w:val="top"/>
          </w:tcPr>
          <w:p>
            <w:pPr>
              <w:pStyle w:val="TableText"/>
              <w:spacing w:before="58" w:line="223" w:lineRule="auto"/>
              <w:ind w:left="28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赎回</w:t>
            </w:r>
          </w:p>
        </w:tc>
        <w:tc>
          <w:tcPr>
            <w:tcW w:w="1136" w:type="dxa"/>
            <w:shd w:val="clear" w:color="auto" w:fill="D9D9D9"/>
            <w:vAlign w:val="top"/>
          </w:tcPr>
          <w:p>
            <w:pPr>
              <w:spacing w:before="87" w:line="187" w:lineRule="auto"/>
              <w:ind w:left="39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30.00</w:t>
            </w:r>
          </w:p>
        </w:tc>
        <w:tc>
          <w:tcPr>
            <w:tcW w:w="991" w:type="dxa"/>
            <w:shd w:val="clear" w:color="auto" w:fill="D9D9D9"/>
            <w:vAlign w:val="top"/>
          </w:tcPr>
          <w:p>
            <w:pPr>
              <w:spacing w:before="87" w:line="187" w:lineRule="auto"/>
              <w:ind w:left="31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29.66</w:t>
            </w:r>
          </w:p>
        </w:tc>
        <w:tc>
          <w:tcPr>
            <w:tcW w:w="1133" w:type="dxa"/>
            <w:shd w:val="clear" w:color="auto" w:fill="D9D9D9"/>
            <w:vAlign w:val="top"/>
          </w:tcPr>
          <w:p>
            <w:pPr>
              <w:spacing w:before="87" w:line="187" w:lineRule="auto"/>
              <w:ind w:left="4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3.90</w:t>
            </w:r>
          </w:p>
        </w:tc>
        <w:tc>
          <w:tcPr>
            <w:tcW w:w="1524" w:type="dxa"/>
            <w:shd w:val="clear" w:color="auto" w:fill="D9D9D9"/>
            <w:vAlign w:val="top"/>
          </w:tcPr>
          <w:p>
            <w:pPr>
              <w:pStyle w:val="TableText"/>
              <w:spacing w:before="58" w:line="220" w:lineRule="auto"/>
              <w:ind w:left="622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家电</w:t>
            </w:r>
          </w:p>
        </w:tc>
        <w:tc>
          <w:tcPr>
            <w:tcW w:w="1135" w:type="dxa"/>
            <w:shd w:val="clear" w:color="auto" w:fill="D9D9D9"/>
            <w:vAlign w:val="top"/>
          </w:tcPr>
          <w:p>
            <w:pPr>
              <w:pStyle w:val="TableText"/>
              <w:spacing w:before="58" w:line="216" w:lineRule="auto"/>
              <w:ind w:left="17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地产链板块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04"/>
        </w:trPr>
        <w:tc>
          <w:tcPr>
            <w:tcW w:w="1135" w:type="dxa"/>
            <w:vAlign w:val="top"/>
          </w:tcPr>
          <w:p>
            <w:pPr>
              <w:pStyle w:val="TableText"/>
              <w:spacing w:before="117" w:line="220" w:lineRule="auto"/>
              <w:ind w:left="25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川投转债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17" w:line="220" w:lineRule="auto"/>
              <w:ind w:left="25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川投能源</w:t>
            </w:r>
          </w:p>
        </w:tc>
        <w:tc>
          <w:tcPr>
            <w:tcW w:w="1136" w:type="dxa"/>
            <w:vAlign w:val="top"/>
          </w:tcPr>
          <w:p>
            <w:pPr>
              <w:spacing w:before="146" w:line="187" w:lineRule="auto"/>
              <w:ind w:left="2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2021-9-29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17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46" w:line="187" w:lineRule="auto"/>
              <w:ind w:left="38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40.00</w:t>
            </w:r>
          </w:p>
        </w:tc>
        <w:tc>
          <w:tcPr>
            <w:tcW w:w="991" w:type="dxa"/>
            <w:vAlign w:val="top"/>
          </w:tcPr>
          <w:p>
            <w:pPr>
              <w:spacing w:before="146" w:line="187" w:lineRule="auto"/>
              <w:ind w:left="3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39.62</w:t>
            </w:r>
          </w:p>
        </w:tc>
        <w:tc>
          <w:tcPr>
            <w:tcW w:w="1133" w:type="dxa"/>
            <w:vAlign w:val="top"/>
          </w:tcPr>
          <w:p>
            <w:pPr>
              <w:spacing w:before="146" w:line="187" w:lineRule="auto"/>
              <w:ind w:left="42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4.12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16" w:line="218" w:lineRule="auto"/>
              <w:ind w:left="22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电力及公用事业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0" w:line="221" w:lineRule="auto"/>
              <w:ind w:left="491" w:right="167" w:hanging="314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红利低估板</w:t>
            </w:r>
            <w:r>
              <w:rPr>
                <w:spacing w:val="3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04"/>
        </w:trPr>
        <w:tc>
          <w:tcPr>
            <w:tcW w:w="1135" w:type="dxa"/>
            <w:vAlign w:val="top"/>
          </w:tcPr>
          <w:p>
            <w:pPr>
              <w:pStyle w:val="TableText"/>
              <w:spacing w:before="128" w:line="220" w:lineRule="auto"/>
              <w:ind w:left="25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川投转债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28" w:line="220" w:lineRule="auto"/>
              <w:ind w:left="25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川投能源</w:t>
            </w:r>
          </w:p>
        </w:tc>
        <w:tc>
          <w:tcPr>
            <w:tcW w:w="1136" w:type="dxa"/>
            <w:vAlign w:val="top"/>
          </w:tcPr>
          <w:p>
            <w:pPr>
              <w:spacing w:before="157" w:line="187" w:lineRule="auto"/>
              <w:ind w:left="19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2022-</w:t>
            </w:r>
            <w:r>
              <w:rPr>
                <w:rFonts w:ascii="Times New Roman" w:eastAsia="Times New Roman" w:hAnsi="Times New Roman" w:cs="Times New Roman"/>
                <w:spacing w:val="-22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12-</w:t>
            </w:r>
            <w:r>
              <w:rPr>
                <w:rFonts w:ascii="Times New Roman" w:eastAsia="Times New Roman" w:hAnsi="Times New Roman" w:cs="Times New Roman"/>
                <w:spacing w:val="-22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10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28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57" w:line="187" w:lineRule="auto"/>
              <w:ind w:left="38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40.00</w:t>
            </w:r>
          </w:p>
        </w:tc>
        <w:tc>
          <w:tcPr>
            <w:tcW w:w="991" w:type="dxa"/>
            <w:vAlign w:val="top"/>
          </w:tcPr>
          <w:p>
            <w:pPr>
              <w:spacing w:before="157" w:line="187" w:lineRule="auto"/>
              <w:ind w:left="3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34.82</w:t>
            </w:r>
          </w:p>
        </w:tc>
        <w:tc>
          <w:tcPr>
            <w:tcW w:w="1133" w:type="dxa"/>
            <w:vAlign w:val="top"/>
          </w:tcPr>
          <w:p>
            <w:pPr>
              <w:spacing w:before="157" w:line="187" w:lineRule="auto"/>
              <w:ind w:left="42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2.93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28" w:line="218" w:lineRule="auto"/>
              <w:ind w:left="22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电力及公用事业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23" w:line="214" w:lineRule="auto"/>
              <w:ind w:left="491" w:right="167" w:hanging="314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红利低估板</w:t>
            </w:r>
            <w:r>
              <w:rPr>
                <w:spacing w:val="3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38"/>
        </w:trPr>
        <w:tc>
          <w:tcPr>
            <w:tcW w:w="1135" w:type="dxa"/>
            <w:shd w:val="clear" w:color="auto" w:fill="D9D9D9"/>
            <w:vAlign w:val="top"/>
          </w:tcPr>
          <w:p>
            <w:pPr>
              <w:pStyle w:val="TableText"/>
              <w:spacing w:before="139" w:line="220" w:lineRule="auto"/>
              <w:ind w:left="25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川投转债</w:t>
            </w:r>
          </w:p>
        </w:tc>
        <w:tc>
          <w:tcPr>
            <w:tcW w:w="1133" w:type="dxa"/>
            <w:shd w:val="clear" w:color="auto" w:fill="D9D9D9"/>
            <w:vAlign w:val="top"/>
          </w:tcPr>
          <w:p>
            <w:pPr>
              <w:pStyle w:val="TableText"/>
              <w:spacing w:before="139" w:line="220" w:lineRule="auto"/>
              <w:ind w:left="25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川投能源</w:t>
            </w:r>
          </w:p>
        </w:tc>
        <w:tc>
          <w:tcPr>
            <w:tcW w:w="1136" w:type="dxa"/>
            <w:shd w:val="clear" w:color="auto" w:fill="D9D9D9"/>
            <w:vAlign w:val="top"/>
          </w:tcPr>
          <w:p>
            <w:pPr>
              <w:spacing w:before="168" w:line="187" w:lineRule="auto"/>
              <w:ind w:left="19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2023-</w:t>
            </w:r>
            <w:r>
              <w:rPr>
                <w:rFonts w:ascii="Times New Roman" w:eastAsia="Times New Roman" w:hAnsi="Times New Roman" w:cs="Times New Roman"/>
                <w:spacing w:val="-22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12-30</w:t>
            </w:r>
          </w:p>
        </w:tc>
        <w:tc>
          <w:tcPr>
            <w:tcW w:w="886" w:type="dxa"/>
            <w:shd w:val="clear" w:color="auto" w:fill="D9D9D9"/>
            <w:vAlign w:val="top"/>
          </w:tcPr>
          <w:p>
            <w:pPr>
              <w:pStyle w:val="TableText"/>
              <w:spacing w:before="139" w:line="223" w:lineRule="auto"/>
              <w:ind w:left="28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赎回</w:t>
            </w:r>
          </w:p>
        </w:tc>
        <w:tc>
          <w:tcPr>
            <w:tcW w:w="1136" w:type="dxa"/>
            <w:shd w:val="clear" w:color="auto" w:fill="D9D9D9"/>
            <w:vAlign w:val="top"/>
          </w:tcPr>
          <w:p>
            <w:pPr>
              <w:spacing w:before="168" w:line="187" w:lineRule="auto"/>
              <w:ind w:left="38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40.00</w:t>
            </w:r>
          </w:p>
        </w:tc>
        <w:tc>
          <w:tcPr>
            <w:tcW w:w="991" w:type="dxa"/>
            <w:shd w:val="clear" w:color="auto" w:fill="D9D9D9"/>
            <w:vAlign w:val="top"/>
          </w:tcPr>
          <w:p>
            <w:pPr>
              <w:spacing w:before="168" w:line="187" w:lineRule="auto"/>
              <w:ind w:left="31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24.96</w:t>
            </w:r>
          </w:p>
        </w:tc>
        <w:tc>
          <w:tcPr>
            <w:tcW w:w="1133" w:type="dxa"/>
            <w:shd w:val="clear" w:color="auto" w:fill="D9D9D9"/>
            <w:vAlign w:val="top"/>
          </w:tcPr>
          <w:p>
            <w:pPr>
              <w:spacing w:before="168" w:line="187" w:lineRule="auto"/>
              <w:ind w:left="44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>1.87</w:t>
            </w:r>
          </w:p>
        </w:tc>
        <w:tc>
          <w:tcPr>
            <w:tcW w:w="1524" w:type="dxa"/>
            <w:shd w:val="clear" w:color="auto" w:fill="D9D9D9"/>
            <w:vAlign w:val="top"/>
          </w:tcPr>
          <w:p>
            <w:pPr>
              <w:pStyle w:val="TableText"/>
              <w:spacing w:before="139" w:line="218" w:lineRule="auto"/>
              <w:ind w:left="22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电力及公用事业</w:t>
            </w:r>
          </w:p>
        </w:tc>
        <w:tc>
          <w:tcPr>
            <w:tcW w:w="1135" w:type="dxa"/>
            <w:shd w:val="clear" w:color="auto" w:fill="D9D9D9"/>
            <w:vAlign w:val="top"/>
          </w:tcPr>
          <w:p>
            <w:pPr>
              <w:pStyle w:val="TableText"/>
              <w:spacing w:before="34" w:line="227" w:lineRule="auto"/>
              <w:ind w:left="491" w:right="167" w:hanging="314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红利低估板</w:t>
            </w:r>
            <w:r>
              <w:rPr>
                <w:spacing w:val="3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04"/>
        </w:trPr>
        <w:tc>
          <w:tcPr>
            <w:tcW w:w="1135" w:type="dxa"/>
            <w:vAlign w:val="top"/>
          </w:tcPr>
          <w:p>
            <w:pPr>
              <w:pStyle w:val="TableText"/>
              <w:spacing w:before="115" w:line="220" w:lineRule="auto"/>
              <w:ind w:left="2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滨化转债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14" w:line="225" w:lineRule="auto"/>
              <w:ind w:left="25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滨化股份</w:t>
            </w:r>
          </w:p>
        </w:tc>
        <w:tc>
          <w:tcPr>
            <w:tcW w:w="1136" w:type="dxa"/>
            <w:vAlign w:val="top"/>
          </w:tcPr>
          <w:p>
            <w:pPr>
              <w:spacing w:before="146" w:line="187" w:lineRule="auto"/>
              <w:ind w:left="2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2021-5-11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15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46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24.00</w:t>
            </w:r>
          </w:p>
        </w:tc>
        <w:tc>
          <w:tcPr>
            <w:tcW w:w="991" w:type="dxa"/>
            <w:vAlign w:val="top"/>
          </w:tcPr>
          <w:p>
            <w:pPr>
              <w:spacing w:before="146" w:line="187" w:lineRule="auto"/>
              <w:ind w:left="3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7.44</w:t>
            </w:r>
          </w:p>
        </w:tc>
        <w:tc>
          <w:tcPr>
            <w:tcW w:w="1133" w:type="dxa"/>
            <w:vAlign w:val="top"/>
          </w:tcPr>
          <w:p>
            <w:pPr>
              <w:spacing w:before="146" w:line="187" w:lineRule="auto"/>
              <w:ind w:left="42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4.92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15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0" w:line="221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04"/>
        </w:trPr>
        <w:tc>
          <w:tcPr>
            <w:tcW w:w="1135" w:type="dxa"/>
            <w:vAlign w:val="top"/>
          </w:tcPr>
          <w:p>
            <w:pPr>
              <w:pStyle w:val="TableText"/>
              <w:spacing w:before="126" w:line="220" w:lineRule="auto"/>
              <w:ind w:left="2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滨化转债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26" w:line="225" w:lineRule="auto"/>
              <w:ind w:left="25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滨化股份</w:t>
            </w:r>
          </w:p>
        </w:tc>
        <w:tc>
          <w:tcPr>
            <w:tcW w:w="1136" w:type="dxa"/>
            <w:vAlign w:val="top"/>
          </w:tcPr>
          <w:p>
            <w:pPr>
              <w:spacing w:before="157" w:line="187" w:lineRule="auto"/>
              <w:ind w:left="27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</w:rPr>
              <w:t>2021-9-1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26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57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24.00</w:t>
            </w:r>
          </w:p>
        </w:tc>
        <w:tc>
          <w:tcPr>
            <w:tcW w:w="991" w:type="dxa"/>
            <w:vAlign w:val="top"/>
          </w:tcPr>
          <w:p>
            <w:pPr>
              <w:spacing w:before="157" w:line="187" w:lineRule="auto"/>
              <w:ind w:left="35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4.68</w:t>
            </w:r>
          </w:p>
        </w:tc>
        <w:tc>
          <w:tcPr>
            <w:tcW w:w="1133" w:type="dxa"/>
            <w:vAlign w:val="top"/>
          </w:tcPr>
          <w:p>
            <w:pPr>
              <w:spacing w:before="157" w:line="187" w:lineRule="auto"/>
              <w:ind w:left="42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4.61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26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23" w:line="214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38"/>
        </w:trPr>
        <w:tc>
          <w:tcPr>
            <w:tcW w:w="1135" w:type="dxa"/>
            <w:shd w:val="clear" w:color="auto" w:fill="D9D9D9"/>
            <w:vAlign w:val="top"/>
          </w:tcPr>
          <w:p>
            <w:pPr>
              <w:pStyle w:val="TableText"/>
              <w:spacing w:before="137" w:line="220" w:lineRule="auto"/>
              <w:ind w:left="2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滨化转债</w:t>
            </w:r>
          </w:p>
        </w:tc>
        <w:tc>
          <w:tcPr>
            <w:tcW w:w="1133" w:type="dxa"/>
            <w:shd w:val="clear" w:color="auto" w:fill="D9D9D9"/>
            <w:vAlign w:val="top"/>
          </w:tcPr>
          <w:p>
            <w:pPr>
              <w:pStyle w:val="TableText"/>
              <w:spacing w:before="137" w:line="225" w:lineRule="auto"/>
              <w:ind w:left="25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滨化股份</w:t>
            </w:r>
          </w:p>
        </w:tc>
        <w:tc>
          <w:tcPr>
            <w:tcW w:w="1136" w:type="dxa"/>
            <w:shd w:val="clear" w:color="auto" w:fill="D9D9D9"/>
            <w:vAlign w:val="top"/>
          </w:tcPr>
          <w:p>
            <w:pPr>
              <w:spacing w:before="169" w:line="187" w:lineRule="auto"/>
              <w:ind w:left="19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2021-</w:t>
            </w:r>
            <w:r>
              <w:rPr>
                <w:rFonts w:ascii="Times New Roman" w:eastAsia="Times New Roman" w:hAnsi="Times New Roman" w:cs="Times New Roman"/>
                <w:spacing w:val="-22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12-22</w:t>
            </w:r>
          </w:p>
        </w:tc>
        <w:tc>
          <w:tcPr>
            <w:tcW w:w="886" w:type="dxa"/>
            <w:shd w:val="clear" w:color="auto" w:fill="D9D9D9"/>
            <w:vAlign w:val="top"/>
          </w:tcPr>
          <w:p>
            <w:pPr>
              <w:pStyle w:val="TableText"/>
              <w:spacing w:before="137" w:line="223" w:lineRule="auto"/>
              <w:ind w:left="28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赎回</w:t>
            </w:r>
          </w:p>
        </w:tc>
        <w:tc>
          <w:tcPr>
            <w:tcW w:w="1136" w:type="dxa"/>
            <w:shd w:val="clear" w:color="auto" w:fill="D9D9D9"/>
            <w:vAlign w:val="top"/>
          </w:tcPr>
          <w:p>
            <w:pPr>
              <w:spacing w:before="169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24.00</w:t>
            </w:r>
          </w:p>
        </w:tc>
        <w:tc>
          <w:tcPr>
            <w:tcW w:w="991" w:type="dxa"/>
            <w:shd w:val="clear" w:color="auto" w:fill="D9D9D9"/>
            <w:vAlign w:val="top"/>
          </w:tcPr>
          <w:p>
            <w:pPr>
              <w:spacing w:before="169" w:line="187" w:lineRule="auto"/>
              <w:ind w:left="35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4.34</w:t>
            </w:r>
          </w:p>
        </w:tc>
        <w:tc>
          <w:tcPr>
            <w:tcW w:w="1133" w:type="dxa"/>
            <w:shd w:val="clear" w:color="auto" w:fill="D9D9D9"/>
            <w:vAlign w:val="top"/>
          </w:tcPr>
          <w:p>
            <w:pPr>
              <w:spacing w:before="169" w:line="187" w:lineRule="auto"/>
              <w:ind w:left="42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4.30</w:t>
            </w:r>
          </w:p>
        </w:tc>
        <w:tc>
          <w:tcPr>
            <w:tcW w:w="1524" w:type="dxa"/>
            <w:shd w:val="clear" w:color="auto" w:fill="D9D9D9"/>
            <w:vAlign w:val="top"/>
          </w:tcPr>
          <w:p>
            <w:pPr>
              <w:pStyle w:val="TableText"/>
              <w:spacing w:before="137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shd w:val="clear" w:color="auto" w:fill="D9D9D9"/>
            <w:vAlign w:val="top"/>
          </w:tcPr>
          <w:p>
            <w:pPr>
              <w:pStyle w:val="TableText"/>
              <w:spacing w:before="34" w:line="227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03"/>
        </w:trPr>
        <w:tc>
          <w:tcPr>
            <w:tcW w:w="1135" w:type="dxa"/>
            <w:vAlign w:val="top"/>
          </w:tcPr>
          <w:p>
            <w:pPr>
              <w:pStyle w:val="TableText"/>
              <w:spacing w:before="115" w:line="220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14" w:line="229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盛屯矿业</w:t>
            </w:r>
          </w:p>
        </w:tc>
        <w:tc>
          <w:tcPr>
            <w:tcW w:w="1136" w:type="dxa"/>
            <w:vAlign w:val="top"/>
          </w:tcPr>
          <w:p>
            <w:pPr>
              <w:spacing w:before="146" w:line="187" w:lineRule="auto"/>
              <w:ind w:left="19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2020-</w:t>
            </w:r>
            <w:r>
              <w:rPr>
                <w:rFonts w:ascii="Times New Roman" w:eastAsia="Times New Roman" w:hAnsi="Times New Roman" w:cs="Times New Roman"/>
                <w:spacing w:val="-22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11-26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14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46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23.86</w:t>
            </w:r>
          </w:p>
        </w:tc>
        <w:tc>
          <w:tcPr>
            <w:tcW w:w="991" w:type="dxa"/>
            <w:vAlign w:val="top"/>
          </w:tcPr>
          <w:p>
            <w:pPr>
              <w:spacing w:before="146" w:line="187" w:lineRule="auto"/>
              <w:ind w:left="3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6"/>
                <w:szCs w:val="16"/>
              </w:rPr>
              <w:t>16.84</w:t>
            </w:r>
          </w:p>
        </w:tc>
        <w:tc>
          <w:tcPr>
            <w:tcW w:w="1133" w:type="dxa"/>
            <w:vAlign w:val="top"/>
          </w:tcPr>
          <w:p>
            <w:pPr>
              <w:spacing w:before="146" w:line="187" w:lineRule="auto"/>
              <w:ind w:left="4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5.27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14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1" w:line="220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15"/>
        </w:trPr>
        <w:tc>
          <w:tcPr>
            <w:tcW w:w="1135" w:type="dxa"/>
            <w:vAlign w:val="top"/>
          </w:tcPr>
          <w:p>
            <w:pPr>
              <w:pStyle w:val="TableText"/>
              <w:spacing w:before="127" w:line="220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26" w:line="229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盛屯矿业</w:t>
            </w:r>
          </w:p>
        </w:tc>
        <w:tc>
          <w:tcPr>
            <w:tcW w:w="1136" w:type="dxa"/>
            <w:vAlign w:val="top"/>
          </w:tcPr>
          <w:p>
            <w:pPr>
              <w:spacing w:before="158" w:line="187" w:lineRule="auto"/>
              <w:ind w:left="19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2020-</w:t>
            </w:r>
            <w:r>
              <w:rPr>
                <w:rFonts w:ascii="Times New Roman" w:eastAsia="Times New Roman" w:hAnsi="Times New Roman" w:cs="Times New Roman"/>
                <w:spacing w:val="-22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12-29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27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58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23.86</w:t>
            </w:r>
          </w:p>
        </w:tc>
        <w:tc>
          <w:tcPr>
            <w:tcW w:w="991" w:type="dxa"/>
            <w:vAlign w:val="top"/>
          </w:tcPr>
          <w:p>
            <w:pPr>
              <w:spacing w:before="158" w:line="187" w:lineRule="auto"/>
              <w:ind w:left="3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7.92</w:t>
            </w:r>
          </w:p>
        </w:tc>
        <w:tc>
          <w:tcPr>
            <w:tcW w:w="1133" w:type="dxa"/>
            <w:vAlign w:val="top"/>
          </w:tcPr>
          <w:p>
            <w:pPr>
              <w:spacing w:before="158" w:line="187" w:lineRule="auto"/>
              <w:ind w:left="4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5.18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27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23" w:line="220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15"/>
        </w:trPr>
        <w:tc>
          <w:tcPr>
            <w:tcW w:w="1135" w:type="dxa"/>
            <w:vAlign w:val="top"/>
          </w:tcPr>
          <w:p>
            <w:pPr>
              <w:pStyle w:val="TableText"/>
              <w:spacing w:before="127" w:line="220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27" w:line="229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盛屯矿业</w:t>
            </w:r>
          </w:p>
        </w:tc>
        <w:tc>
          <w:tcPr>
            <w:tcW w:w="1136" w:type="dxa"/>
            <w:vAlign w:val="top"/>
          </w:tcPr>
          <w:p>
            <w:pPr>
              <w:spacing w:before="158" w:line="187" w:lineRule="auto"/>
              <w:ind w:left="2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2021-</w:t>
            </w:r>
            <w:r>
              <w:rPr>
                <w:rFonts w:ascii="Times New Roman" w:eastAsia="Times New Roman" w:hAnsi="Times New Roman" w:cs="Times New Roman"/>
                <w:spacing w:val="-15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1-20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27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58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23.86</w:t>
            </w:r>
          </w:p>
        </w:tc>
        <w:tc>
          <w:tcPr>
            <w:tcW w:w="991" w:type="dxa"/>
            <w:vAlign w:val="top"/>
          </w:tcPr>
          <w:p>
            <w:pPr>
              <w:spacing w:before="158" w:line="187" w:lineRule="auto"/>
              <w:ind w:left="3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7.50</w:t>
            </w:r>
          </w:p>
        </w:tc>
        <w:tc>
          <w:tcPr>
            <w:tcW w:w="1133" w:type="dxa"/>
            <w:vAlign w:val="top"/>
          </w:tcPr>
          <w:p>
            <w:pPr>
              <w:spacing w:before="158" w:line="187" w:lineRule="auto"/>
              <w:ind w:left="4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5.12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27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23" w:line="220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15"/>
        </w:trPr>
        <w:tc>
          <w:tcPr>
            <w:tcW w:w="1135" w:type="dxa"/>
            <w:vAlign w:val="top"/>
          </w:tcPr>
          <w:p>
            <w:pPr>
              <w:pStyle w:val="TableText"/>
              <w:spacing w:before="127" w:line="220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27" w:line="229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盛屯矿业</w:t>
            </w:r>
          </w:p>
        </w:tc>
        <w:tc>
          <w:tcPr>
            <w:tcW w:w="1136" w:type="dxa"/>
            <w:vAlign w:val="top"/>
          </w:tcPr>
          <w:p>
            <w:pPr>
              <w:spacing w:before="158" w:line="187" w:lineRule="auto"/>
              <w:ind w:left="2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2021-2-10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27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58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23.86</w:t>
            </w:r>
          </w:p>
        </w:tc>
        <w:tc>
          <w:tcPr>
            <w:tcW w:w="991" w:type="dxa"/>
            <w:vAlign w:val="top"/>
          </w:tcPr>
          <w:p>
            <w:pPr>
              <w:spacing w:before="158" w:line="187" w:lineRule="auto"/>
              <w:ind w:left="36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6.71</w:t>
            </w:r>
          </w:p>
        </w:tc>
        <w:tc>
          <w:tcPr>
            <w:tcW w:w="1133" w:type="dxa"/>
            <w:vAlign w:val="top"/>
          </w:tcPr>
          <w:p>
            <w:pPr>
              <w:spacing w:before="158" w:line="187" w:lineRule="auto"/>
              <w:ind w:left="4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5.06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27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23" w:line="220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15"/>
        </w:trPr>
        <w:tc>
          <w:tcPr>
            <w:tcW w:w="1135" w:type="dxa"/>
            <w:vAlign w:val="top"/>
          </w:tcPr>
          <w:p>
            <w:pPr>
              <w:pStyle w:val="TableText"/>
              <w:spacing w:before="127" w:line="220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27" w:line="229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盛屯矿业</w:t>
            </w:r>
          </w:p>
        </w:tc>
        <w:tc>
          <w:tcPr>
            <w:tcW w:w="1136" w:type="dxa"/>
            <w:vAlign w:val="top"/>
          </w:tcPr>
          <w:p>
            <w:pPr>
              <w:spacing w:before="156" w:line="187" w:lineRule="auto"/>
              <w:ind w:left="2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2021-3-10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27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56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23.86</w:t>
            </w:r>
          </w:p>
        </w:tc>
        <w:tc>
          <w:tcPr>
            <w:tcW w:w="991" w:type="dxa"/>
            <w:vAlign w:val="top"/>
          </w:tcPr>
          <w:p>
            <w:pPr>
              <w:spacing w:before="156" w:line="187" w:lineRule="auto"/>
              <w:ind w:left="36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6.02</w:t>
            </w:r>
          </w:p>
        </w:tc>
        <w:tc>
          <w:tcPr>
            <w:tcW w:w="1133" w:type="dxa"/>
            <w:vAlign w:val="top"/>
          </w:tcPr>
          <w:p>
            <w:pPr>
              <w:spacing w:before="156" w:line="187" w:lineRule="auto"/>
              <w:ind w:left="42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4.98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27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23" w:line="220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14"/>
        </w:trPr>
        <w:tc>
          <w:tcPr>
            <w:tcW w:w="1135" w:type="dxa"/>
            <w:vAlign w:val="top"/>
          </w:tcPr>
          <w:p>
            <w:pPr>
              <w:pStyle w:val="TableText"/>
              <w:spacing w:before="128" w:line="220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28" w:line="229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盛屯矿业</w:t>
            </w:r>
          </w:p>
        </w:tc>
        <w:tc>
          <w:tcPr>
            <w:tcW w:w="1136" w:type="dxa"/>
            <w:vAlign w:val="top"/>
          </w:tcPr>
          <w:p>
            <w:pPr>
              <w:spacing w:before="157" w:line="187" w:lineRule="auto"/>
              <w:ind w:left="2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2021-3-31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28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57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23.86</w:t>
            </w:r>
          </w:p>
        </w:tc>
        <w:tc>
          <w:tcPr>
            <w:tcW w:w="991" w:type="dxa"/>
            <w:vAlign w:val="top"/>
          </w:tcPr>
          <w:p>
            <w:pPr>
              <w:spacing w:before="157" w:line="187" w:lineRule="auto"/>
              <w:ind w:left="36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5.96</w:t>
            </w:r>
          </w:p>
        </w:tc>
        <w:tc>
          <w:tcPr>
            <w:tcW w:w="1133" w:type="dxa"/>
            <w:vAlign w:val="top"/>
          </w:tcPr>
          <w:p>
            <w:pPr>
              <w:spacing w:before="157" w:line="187" w:lineRule="auto"/>
              <w:ind w:left="42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4.92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28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24" w:line="219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15"/>
        </w:trPr>
        <w:tc>
          <w:tcPr>
            <w:tcW w:w="1135" w:type="dxa"/>
            <w:vAlign w:val="top"/>
          </w:tcPr>
          <w:p>
            <w:pPr>
              <w:pStyle w:val="TableText"/>
              <w:spacing w:before="129" w:line="220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29" w:line="229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盛屯矿业</w:t>
            </w:r>
          </w:p>
        </w:tc>
        <w:tc>
          <w:tcPr>
            <w:tcW w:w="1136" w:type="dxa"/>
            <w:vAlign w:val="top"/>
          </w:tcPr>
          <w:p>
            <w:pPr>
              <w:spacing w:before="158" w:line="187" w:lineRule="auto"/>
              <w:ind w:left="2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2021-4-22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29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58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23.86</w:t>
            </w:r>
          </w:p>
        </w:tc>
        <w:tc>
          <w:tcPr>
            <w:tcW w:w="991" w:type="dxa"/>
            <w:vAlign w:val="top"/>
          </w:tcPr>
          <w:p>
            <w:pPr>
              <w:spacing w:before="158" w:line="187" w:lineRule="auto"/>
              <w:ind w:left="36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5.23</w:t>
            </w:r>
          </w:p>
        </w:tc>
        <w:tc>
          <w:tcPr>
            <w:tcW w:w="1133" w:type="dxa"/>
            <w:vAlign w:val="top"/>
          </w:tcPr>
          <w:p>
            <w:pPr>
              <w:spacing w:before="158" w:line="187" w:lineRule="auto"/>
              <w:ind w:left="42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4.86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29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23" w:line="220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15"/>
        </w:trPr>
        <w:tc>
          <w:tcPr>
            <w:tcW w:w="1135" w:type="dxa"/>
            <w:vAlign w:val="top"/>
          </w:tcPr>
          <w:p>
            <w:pPr>
              <w:pStyle w:val="TableText"/>
              <w:spacing w:before="129" w:line="220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29" w:line="229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盛屯矿业</w:t>
            </w:r>
          </w:p>
        </w:tc>
        <w:tc>
          <w:tcPr>
            <w:tcW w:w="1136" w:type="dxa"/>
            <w:vAlign w:val="top"/>
          </w:tcPr>
          <w:p>
            <w:pPr>
              <w:spacing w:before="158" w:line="187" w:lineRule="auto"/>
              <w:ind w:left="2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2021-5-18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29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58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23.86</w:t>
            </w:r>
          </w:p>
        </w:tc>
        <w:tc>
          <w:tcPr>
            <w:tcW w:w="991" w:type="dxa"/>
            <w:vAlign w:val="top"/>
          </w:tcPr>
          <w:p>
            <w:pPr>
              <w:spacing w:before="158" w:line="187" w:lineRule="auto"/>
              <w:ind w:left="36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5.22</w:t>
            </w:r>
          </w:p>
        </w:tc>
        <w:tc>
          <w:tcPr>
            <w:tcW w:w="1133" w:type="dxa"/>
            <w:vAlign w:val="top"/>
          </w:tcPr>
          <w:p>
            <w:pPr>
              <w:spacing w:before="158" w:line="187" w:lineRule="auto"/>
              <w:ind w:left="42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4.79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29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23" w:line="220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15"/>
        </w:trPr>
        <w:tc>
          <w:tcPr>
            <w:tcW w:w="1135" w:type="dxa"/>
            <w:vAlign w:val="top"/>
          </w:tcPr>
          <w:p>
            <w:pPr>
              <w:pStyle w:val="TableText"/>
              <w:spacing w:before="130" w:line="220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29" w:line="229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盛屯矿业</w:t>
            </w:r>
          </w:p>
        </w:tc>
        <w:tc>
          <w:tcPr>
            <w:tcW w:w="1136" w:type="dxa"/>
            <w:vAlign w:val="top"/>
          </w:tcPr>
          <w:p>
            <w:pPr>
              <w:spacing w:before="158" w:line="187" w:lineRule="auto"/>
              <w:ind w:left="27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2021-6-8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29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58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23.86</w:t>
            </w:r>
          </w:p>
        </w:tc>
        <w:tc>
          <w:tcPr>
            <w:tcW w:w="991" w:type="dxa"/>
            <w:vAlign w:val="top"/>
          </w:tcPr>
          <w:p>
            <w:pPr>
              <w:spacing w:before="158" w:line="187" w:lineRule="auto"/>
              <w:ind w:left="36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5.22</w:t>
            </w:r>
          </w:p>
        </w:tc>
        <w:tc>
          <w:tcPr>
            <w:tcW w:w="1133" w:type="dxa"/>
            <w:vAlign w:val="top"/>
          </w:tcPr>
          <w:p>
            <w:pPr>
              <w:spacing w:before="158" w:line="187" w:lineRule="auto"/>
              <w:ind w:left="42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4.73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29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23" w:line="220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15"/>
        </w:trPr>
        <w:tc>
          <w:tcPr>
            <w:tcW w:w="1135" w:type="dxa"/>
            <w:vAlign w:val="top"/>
          </w:tcPr>
          <w:p>
            <w:pPr>
              <w:pStyle w:val="TableText"/>
              <w:spacing w:before="127" w:line="220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27" w:line="229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盛屯矿业</w:t>
            </w:r>
          </w:p>
        </w:tc>
        <w:tc>
          <w:tcPr>
            <w:tcW w:w="1136" w:type="dxa"/>
            <w:vAlign w:val="top"/>
          </w:tcPr>
          <w:p>
            <w:pPr>
              <w:spacing w:before="159" w:line="187" w:lineRule="auto"/>
              <w:ind w:left="2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2021-7-29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27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59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23.86</w:t>
            </w:r>
          </w:p>
        </w:tc>
        <w:tc>
          <w:tcPr>
            <w:tcW w:w="991" w:type="dxa"/>
            <w:vAlign w:val="top"/>
          </w:tcPr>
          <w:p>
            <w:pPr>
              <w:spacing w:before="159" w:line="187" w:lineRule="auto"/>
              <w:ind w:left="36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3.84</w:t>
            </w:r>
          </w:p>
        </w:tc>
        <w:tc>
          <w:tcPr>
            <w:tcW w:w="1133" w:type="dxa"/>
            <w:vAlign w:val="top"/>
          </w:tcPr>
          <w:p>
            <w:pPr>
              <w:spacing w:before="159" w:line="187" w:lineRule="auto"/>
              <w:ind w:left="42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4.59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27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23" w:line="220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15"/>
        </w:trPr>
        <w:tc>
          <w:tcPr>
            <w:tcW w:w="1135" w:type="dxa"/>
            <w:vAlign w:val="top"/>
          </w:tcPr>
          <w:p>
            <w:pPr>
              <w:pStyle w:val="TableText"/>
              <w:spacing w:before="128" w:line="220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27" w:line="229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盛屯矿业</w:t>
            </w:r>
          </w:p>
        </w:tc>
        <w:tc>
          <w:tcPr>
            <w:tcW w:w="1136" w:type="dxa"/>
            <w:vAlign w:val="top"/>
          </w:tcPr>
          <w:p>
            <w:pPr>
              <w:spacing w:before="159" w:line="187" w:lineRule="auto"/>
              <w:ind w:left="2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2021-9-18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27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59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23.86</w:t>
            </w:r>
          </w:p>
        </w:tc>
        <w:tc>
          <w:tcPr>
            <w:tcW w:w="991" w:type="dxa"/>
            <w:vAlign w:val="top"/>
          </w:tcPr>
          <w:p>
            <w:pPr>
              <w:spacing w:before="159" w:line="187" w:lineRule="auto"/>
              <w:ind w:left="36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3.84</w:t>
            </w:r>
          </w:p>
        </w:tc>
        <w:tc>
          <w:tcPr>
            <w:tcW w:w="1133" w:type="dxa"/>
            <w:vAlign w:val="top"/>
          </w:tcPr>
          <w:p>
            <w:pPr>
              <w:spacing w:before="159" w:line="187" w:lineRule="auto"/>
              <w:ind w:left="42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4.46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27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23" w:line="220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  <w:tr>
        <w:tblPrEx>
          <w:tblW w:w="10209" w:type="dxa"/>
          <w:tblInd w:w="105" w:type="dxa"/>
          <w:tblLayout w:type="fixed"/>
        </w:tblPrEx>
        <w:trPr>
          <w:trHeight w:val="415"/>
        </w:trPr>
        <w:tc>
          <w:tcPr>
            <w:tcW w:w="1135" w:type="dxa"/>
            <w:vAlign w:val="top"/>
          </w:tcPr>
          <w:p>
            <w:pPr>
              <w:pStyle w:val="TableText"/>
              <w:spacing w:before="128" w:line="220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盛屯转债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27" w:line="229" w:lineRule="auto"/>
              <w:ind w:left="2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盛屯矿业</w:t>
            </w:r>
          </w:p>
        </w:tc>
        <w:tc>
          <w:tcPr>
            <w:tcW w:w="1136" w:type="dxa"/>
            <w:vAlign w:val="top"/>
          </w:tcPr>
          <w:p>
            <w:pPr>
              <w:spacing w:before="159" w:line="187" w:lineRule="auto"/>
              <w:ind w:left="2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2021-</w:t>
            </w:r>
            <w:r>
              <w:rPr>
                <w:rFonts w:ascii="Times New Roman" w:eastAsia="Times New Roman" w:hAnsi="Times New Roman" w:cs="Times New Roman"/>
                <w:spacing w:val="-15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11-6</w:t>
            </w:r>
          </w:p>
        </w:tc>
        <w:tc>
          <w:tcPr>
            <w:tcW w:w="886" w:type="dxa"/>
            <w:vAlign w:val="top"/>
          </w:tcPr>
          <w:p>
            <w:pPr>
              <w:pStyle w:val="TableText"/>
              <w:spacing w:before="128" w:line="223" w:lineRule="auto"/>
              <w:ind w:left="21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不赎回</w:t>
            </w:r>
          </w:p>
        </w:tc>
        <w:tc>
          <w:tcPr>
            <w:tcW w:w="1136" w:type="dxa"/>
            <w:vAlign w:val="top"/>
          </w:tcPr>
          <w:p>
            <w:pPr>
              <w:spacing w:before="159" w:line="187" w:lineRule="auto"/>
              <w:ind w:left="3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23.86</w:t>
            </w:r>
          </w:p>
        </w:tc>
        <w:tc>
          <w:tcPr>
            <w:tcW w:w="991" w:type="dxa"/>
            <w:vAlign w:val="top"/>
          </w:tcPr>
          <w:p>
            <w:pPr>
              <w:spacing w:before="159" w:line="187" w:lineRule="auto"/>
              <w:ind w:left="36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3.84</w:t>
            </w:r>
          </w:p>
        </w:tc>
        <w:tc>
          <w:tcPr>
            <w:tcW w:w="1133" w:type="dxa"/>
            <w:vAlign w:val="top"/>
          </w:tcPr>
          <w:p>
            <w:pPr>
              <w:spacing w:before="159" w:line="187" w:lineRule="auto"/>
              <w:ind w:left="42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4.32</w:t>
            </w:r>
          </w:p>
        </w:tc>
        <w:tc>
          <w:tcPr>
            <w:tcW w:w="1524" w:type="dxa"/>
            <w:vAlign w:val="top"/>
          </w:tcPr>
          <w:p>
            <w:pPr>
              <w:pStyle w:val="TableText"/>
              <w:spacing w:before="128" w:line="218" w:lineRule="auto"/>
              <w:ind w:left="14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电力设备及新能源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25" w:line="219" w:lineRule="auto"/>
              <w:ind w:left="406" w:right="167" w:hanging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新能源军工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板块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https://d.book118.com/695011012030011100</w:t>
        </w:r>
      </w:hyperlink>
    </w:p>
    <w:p/>
    <w:sectPr>
      <w:headerReference w:type="default" r:id="rId54"/>
      <w:footerReference w:type="default" r:id="rId55"/>
      <w:type w:val="continuous"/>
      <w:pgSz w:w="11907" w:h="16839"/>
      <w:pgMar w:top="1584" w:right="703" w:bottom="1480" w:left="847" w:header="853" w:footer="990" w:gutter="0"/>
      <w:pgNumType w:start="15"/>
      <w:cols w:num="1" w:space="708" w:equalWidth="0">
        <w:col w:w="103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  <w:ind w:firstLine="32"/>
    </w:pPr>
    <w:r>
      <w:pict>
        <v:shape id="_x0000_i2050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40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87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  <w:ind w:firstLine="32"/>
    </w:pPr>
    <w:r>
      <w:pict>
        <v:shape id="_x0000_i2052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40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87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  <w:ind w:firstLine="32"/>
    </w:pPr>
    <w:r>
      <w:pict>
        <v:shape id="_x0000_i2054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40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87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  <w:ind w:firstLine="32"/>
    </w:pPr>
    <w:r>
      <w:pict>
        <v:shape id="_x0000_i2056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40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87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  <w:ind w:firstLine="187"/>
    </w:pPr>
    <w:r>
      <w:pict>
        <v:shape id="_x0000_i2058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55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100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  <w:ind w:firstLine="187"/>
    </w:pPr>
    <w:r>
      <w:pict>
        <v:shape id="_x0000_i2060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55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100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  <w:ind w:firstLine="187"/>
    </w:pPr>
    <w:r>
      <w:pict>
        <v:shape id="_x0000_i2062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55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100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  <w:ind w:firstLine="187"/>
    </w:pPr>
    <w:r>
      <w:pict>
        <v:shape id="_x0000_i2064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55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100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  <w:ind w:firstLine="187"/>
    </w:pPr>
    <w:r>
      <w:pict>
        <v:shape id="_x0000_i2066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55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100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  <w:ind w:firstLine="187"/>
    </w:pPr>
    <w:r>
      <w:pict>
        <v:shape id="_x0000_i2068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55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100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  <w:ind w:firstLine="7"/>
    </w:pPr>
    <w:r>
      <w:pict>
        <v:shape id="_x0000_i2070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7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84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  <w:ind w:firstLine="7"/>
    </w:pPr>
    <w:r>
      <w:pict>
        <v:shape id="_x0000_i2072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7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84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  <w:ind w:firstLine="7"/>
    </w:pPr>
    <w:r>
      <w:pict>
        <v:shape id="_x0000_i2074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7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84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49" style="width:508.1pt;height:0.75pt;margin-top:78.48pt;margin-left:42.72pt;mso-position-horizontal-relative:page;mso-position-vertical-relative:page;position:absolute;z-index:251659264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5449384</wp:posOffset>
          </wp:positionH>
          <wp:positionV relativeFrom="page">
            <wp:posOffset>541836</wp:posOffset>
          </wp:positionV>
          <wp:extent cx="1500242" cy="35690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0242" cy="35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20" w:lineRule="auto"/>
      <w:ind w:left="90"/>
    </w:pPr>
    <w:r>
      <w:rPr>
        <w:color w:val="333366"/>
        <w14:textOutline w14:w="3831">
          <w14:solidFill>
            <w14:srgbClr w14:val="333366"/>
          </w14:solidFill>
          <w14:prstDash w14:val="solid"/>
          <w14:miter w14:lim="10"/>
        </w14:textOutline>
      </w:rPr>
      <w:t>债市研究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51" style="width:508.1pt;height:0.75pt;margin-top:78.48pt;margin-left:42.72pt;mso-position-horizontal-relative:page;mso-position-vertical-relative:page;position:absolute;z-index:251661312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5449384</wp:posOffset>
          </wp:positionH>
          <wp:positionV relativeFrom="page">
            <wp:posOffset>541836</wp:posOffset>
          </wp:positionV>
          <wp:extent cx="1500242" cy="356900"/>
          <wp:effectExtent l="0" t="0" r="0" b="0"/>
          <wp:wrapNone/>
          <wp:docPr id="498355998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8355998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0242" cy="35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20" w:lineRule="auto"/>
      <w:ind w:left="90"/>
    </w:pPr>
    <w:r>
      <w:rPr>
        <w:color w:val="333366"/>
        <w14:textOutline w14:w="3831">
          <w14:solidFill>
            <w14:srgbClr w14:val="333366"/>
          </w14:solidFill>
          <w14:prstDash w14:val="solid"/>
          <w14:miter w14:lim="10"/>
        </w14:textOutline>
      </w:rPr>
      <w:t>债市研究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53" style="width:508.1pt;height:0.75pt;margin-top:78.48pt;margin-left:42.72pt;mso-position-horizontal-relative:page;mso-position-vertical-relative:page;position:absolute;z-index:251663360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5449384</wp:posOffset>
          </wp:positionH>
          <wp:positionV relativeFrom="page">
            <wp:posOffset>541836</wp:posOffset>
          </wp:positionV>
          <wp:extent cx="1500242" cy="356900"/>
          <wp:effectExtent l="0" t="0" r="0" b="0"/>
          <wp:wrapNone/>
          <wp:docPr id="1562854158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2854158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0242" cy="35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20" w:lineRule="auto"/>
      <w:ind w:left="90"/>
    </w:pPr>
    <w:r>
      <w:rPr>
        <w:color w:val="333366"/>
        <w14:textOutline w14:w="3831">
          <w14:solidFill>
            <w14:srgbClr w14:val="333366"/>
          </w14:solidFill>
          <w14:prstDash w14:val="solid"/>
          <w14:miter w14:lim="10"/>
        </w14:textOutline>
      </w:rPr>
      <w:t>债市研究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55" style="width:508.1pt;height:0.75pt;margin-top:78.48pt;margin-left:42.72pt;mso-position-horizontal-relative:page;mso-position-vertical-relative:page;position:absolute;z-index:251665408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5449384</wp:posOffset>
          </wp:positionH>
          <wp:positionV relativeFrom="page">
            <wp:posOffset>541836</wp:posOffset>
          </wp:positionV>
          <wp:extent cx="1500242" cy="356900"/>
          <wp:effectExtent l="0" t="0" r="0" b="0"/>
          <wp:wrapNone/>
          <wp:docPr id="137745821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745821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0242" cy="35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20" w:lineRule="auto"/>
      <w:ind w:left="90"/>
    </w:pPr>
    <w:r>
      <w:rPr>
        <w:color w:val="333366"/>
        <w14:textOutline w14:w="3831">
          <w14:solidFill>
            <w14:srgbClr w14:val="333366"/>
          </w14:solidFill>
          <w14:prstDash w14:val="solid"/>
          <w14:miter w14:lim="10"/>
        </w14:textOutline>
      </w:rPr>
      <w:t>债市研究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57" style="width:508.1pt;height:0.75pt;margin-top:78.48pt;margin-left:42.72pt;mso-position-horizontal-relative:page;mso-position-vertical-relative:page;position:absolute;z-index:251667456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5449384</wp:posOffset>
          </wp:positionH>
          <wp:positionV relativeFrom="page">
            <wp:posOffset>541836</wp:posOffset>
          </wp:positionV>
          <wp:extent cx="1500242" cy="35690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0242" cy="35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20" w:lineRule="auto"/>
      <w:ind w:left="244"/>
    </w:pPr>
    <w:r>
      <w:rPr>
        <w:color w:val="333366"/>
        <w14:textOutline w14:w="3831">
          <w14:solidFill>
            <w14:srgbClr w14:val="333366"/>
          </w14:solidFill>
          <w14:prstDash w14:val="solid"/>
          <w14:miter w14:lim="10"/>
        </w14:textOutline>
      </w:rPr>
      <w:t>债市研究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59" style="width:508.1pt;height:0.75pt;margin-top:78.48pt;margin-left:42.72pt;mso-position-horizontal-relative:page;mso-position-vertical-relative:page;position:absolute;z-index:251669504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5449384</wp:posOffset>
          </wp:positionH>
          <wp:positionV relativeFrom="page">
            <wp:posOffset>541836</wp:posOffset>
          </wp:positionV>
          <wp:extent cx="1500242" cy="356900"/>
          <wp:effectExtent l="0" t="0" r="0" b="0"/>
          <wp:wrapNone/>
          <wp:docPr id="1947007187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7007187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0242" cy="35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20" w:lineRule="auto"/>
      <w:ind w:left="244"/>
    </w:pPr>
    <w:r>
      <w:rPr>
        <w:color w:val="333366"/>
        <w14:textOutline w14:w="3831">
          <w14:solidFill>
            <w14:srgbClr w14:val="333366"/>
          </w14:solidFill>
          <w14:prstDash w14:val="solid"/>
          <w14:miter w14:lim="10"/>
        </w14:textOutline>
      </w:rPr>
      <w:t>债市研究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61" style="width:508.1pt;height:0.75pt;margin-top:78.48pt;margin-left:42.72pt;mso-position-horizontal-relative:page;mso-position-vertical-relative:page;position:absolute;z-index:251671552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5449384</wp:posOffset>
          </wp:positionH>
          <wp:positionV relativeFrom="page">
            <wp:posOffset>541836</wp:posOffset>
          </wp:positionV>
          <wp:extent cx="1500242" cy="356900"/>
          <wp:effectExtent l="0" t="0" r="0" b="0"/>
          <wp:wrapNone/>
          <wp:docPr id="2136591679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6591679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0242" cy="35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20" w:lineRule="auto"/>
      <w:ind w:left="244"/>
    </w:pPr>
    <w:r>
      <w:rPr>
        <w:color w:val="333366"/>
        <w14:textOutline w14:w="3831">
          <w14:solidFill>
            <w14:srgbClr w14:val="333366"/>
          </w14:solidFill>
          <w14:prstDash w14:val="solid"/>
          <w14:miter w14:lim="10"/>
        </w14:textOutline>
      </w:rPr>
      <w:t>债市研究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63" style="width:508.1pt;height:0.75pt;margin-top:78.48pt;margin-left:42.72pt;mso-position-horizontal-relative:page;mso-position-vertical-relative:page;position:absolute;z-index:251673600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5449384</wp:posOffset>
          </wp:positionH>
          <wp:positionV relativeFrom="page">
            <wp:posOffset>541836</wp:posOffset>
          </wp:positionV>
          <wp:extent cx="1500242" cy="356900"/>
          <wp:effectExtent l="0" t="0" r="0" b="0"/>
          <wp:wrapNone/>
          <wp:docPr id="1176751303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751303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0242" cy="35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20" w:lineRule="auto"/>
      <w:ind w:left="244"/>
    </w:pPr>
    <w:r>
      <w:rPr>
        <w:color w:val="333366"/>
        <w14:textOutline w14:w="3831">
          <w14:solidFill>
            <w14:srgbClr w14:val="333366"/>
          </w14:solidFill>
          <w14:prstDash w14:val="solid"/>
          <w14:miter w14:lim="10"/>
        </w14:textOutline>
      </w:rPr>
      <w:t>债市研究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65" style="width:508.1pt;height:0.75pt;margin-top:78.48pt;margin-left:42.72pt;mso-position-horizontal-relative:page;mso-position-vertical-relative:page;position:absolute;z-index:251675648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5449384</wp:posOffset>
          </wp:positionH>
          <wp:positionV relativeFrom="page">
            <wp:posOffset>541836</wp:posOffset>
          </wp:positionV>
          <wp:extent cx="1500242" cy="356900"/>
          <wp:effectExtent l="0" t="0" r="0" b="0"/>
          <wp:wrapNone/>
          <wp:docPr id="845891213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5891213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0242" cy="35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20" w:lineRule="auto"/>
      <w:ind w:left="244"/>
    </w:pPr>
    <w:r>
      <w:rPr>
        <w:color w:val="333366"/>
        <w14:textOutline w14:w="3831">
          <w14:solidFill>
            <w14:srgbClr w14:val="333366"/>
          </w14:solidFill>
          <w14:prstDash w14:val="solid"/>
          <w14:miter w14:lim="10"/>
        </w14:textOutline>
      </w:rPr>
      <w:t>债市研究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67" style="width:508.1pt;height:0.75pt;margin-top:78.48pt;margin-left:42.72pt;mso-position-horizontal-relative:page;mso-position-vertical-relative:page;position:absolute;z-index:251677696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5449384</wp:posOffset>
          </wp:positionH>
          <wp:positionV relativeFrom="page">
            <wp:posOffset>541836</wp:posOffset>
          </wp:positionV>
          <wp:extent cx="1500242" cy="356900"/>
          <wp:effectExtent l="0" t="0" r="0" b="0"/>
          <wp:wrapNone/>
          <wp:docPr id="326470016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6470016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0242" cy="35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20" w:lineRule="auto"/>
      <w:ind w:left="244"/>
    </w:pPr>
    <w:r>
      <w:rPr>
        <w:color w:val="333366"/>
        <w14:textOutline w14:w="3831">
          <w14:solidFill>
            <w14:srgbClr w14:val="333366"/>
          </w14:solidFill>
          <w14:prstDash w14:val="solid"/>
          <w14:miter w14:lim="10"/>
        </w14:textOutline>
      </w:rPr>
      <w:t>债市研究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69" style="width:508.1pt;height:0.75pt;margin-top:78.48pt;margin-left:42.72pt;mso-position-horizontal-relative:page;mso-position-vertical-relative:page;position:absolute;z-index:251679744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5449384</wp:posOffset>
          </wp:positionH>
          <wp:positionV relativeFrom="page">
            <wp:posOffset>541836</wp:posOffset>
          </wp:positionV>
          <wp:extent cx="1500242" cy="356900"/>
          <wp:effectExtent l="0" t="0" r="0" b="0"/>
          <wp:wrapNone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0242" cy="35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20" w:lineRule="auto"/>
      <w:ind w:left="64"/>
    </w:pPr>
    <w:r>
      <w:rPr>
        <w:color w:val="333366"/>
        <w14:textOutline w14:w="3831">
          <w14:solidFill>
            <w14:srgbClr w14:val="333366"/>
          </w14:solidFill>
          <w14:prstDash w14:val="solid"/>
          <w14:miter w14:lim="10"/>
        </w14:textOutline>
      </w:rPr>
      <w:t>债市研究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71" style="width:508.1pt;height:0.75pt;margin-top:78.48pt;margin-left:42.72pt;mso-position-horizontal-relative:page;mso-position-vertical-relative:page;position:absolute;z-index:251681792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5449384</wp:posOffset>
          </wp:positionH>
          <wp:positionV relativeFrom="page">
            <wp:posOffset>541836</wp:posOffset>
          </wp:positionV>
          <wp:extent cx="1500242" cy="356900"/>
          <wp:effectExtent l="0" t="0" r="0" b="0"/>
          <wp:wrapNone/>
          <wp:docPr id="1711132439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1132439" name="IM 7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0242" cy="35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20" w:lineRule="auto"/>
      <w:ind w:left="64"/>
    </w:pPr>
    <w:r>
      <w:rPr>
        <w:color w:val="333366"/>
        <w14:textOutline w14:w="3831">
          <w14:solidFill>
            <w14:srgbClr w14:val="333366"/>
          </w14:solidFill>
          <w14:prstDash w14:val="solid"/>
          <w14:miter w14:lim="10"/>
        </w14:textOutline>
      </w:rPr>
      <w:t>债市研究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73" style="width:508.1pt;height:0.75pt;margin-top:78.48pt;margin-left:42.72pt;mso-position-horizontal-relative:page;mso-position-vertical-relative:page;position:absolute;z-index:251683840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5449384</wp:posOffset>
          </wp:positionH>
          <wp:positionV relativeFrom="page">
            <wp:posOffset>541836</wp:posOffset>
          </wp:positionV>
          <wp:extent cx="1500242" cy="356900"/>
          <wp:effectExtent l="0" t="0" r="0" b="0"/>
          <wp:wrapNone/>
          <wp:docPr id="1138642650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642650" name="IM 7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0242" cy="35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20" w:lineRule="auto"/>
      <w:ind w:left="64"/>
    </w:pPr>
    <w:r>
      <w:rPr>
        <w:color w:val="333366"/>
        <w14:textOutline w14:w="3831">
          <w14:solidFill>
            <w14:srgbClr w14:val="333366"/>
          </w14:solidFill>
          <w14:prstDash w14:val="solid"/>
          <w14:miter w14:lim="10"/>
        </w14:textOutline>
      </w:rPr>
      <w:t>债市研究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header" Target="header2.xml" /><Relationship Id="rId16" Type="http://schemas.openxmlformats.org/officeDocument/2006/relationships/footer" Target="footer2.xml" /><Relationship Id="rId17" Type="http://schemas.openxmlformats.org/officeDocument/2006/relationships/header" Target="header3.xml" /><Relationship Id="rId18" Type="http://schemas.openxmlformats.org/officeDocument/2006/relationships/footer" Target="footer3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header" Target="header5.xml" /><Relationship Id="rId22" Type="http://schemas.openxmlformats.org/officeDocument/2006/relationships/footer" Target="footer5.xml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header" Target="header6.xml" /><Relationship Id="rId28" Type="http://schemas.openxmlformats.org/officeDocument/2006/relationships/footer" Target="footer6.xml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image" Target="media/image17.png" /><Relationship Id="rId34" Type="http://schemas.openxmlformats.org/officeDocument/2006/relationships/image" Target="media/image18.png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image" Target="media/image21.png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image" Target="media/image1.png" /><Relationship Id="rId40" Type="http://schemas.openxmlformats.org/officeDocument/2006/relationships/image" Target="media/image24.png" /><Relationship Id="rId41" Type="http://schemas.openxmlformats.org/officeDocument/2006/relationships/image" Target="media/image25.png" /><Relationship Id="rId42" Type="http://schemas.openxmlformats.org/officeDocument/2006/relationships/image" Target="media/image26.png" /><Relationship Id="rId43" Type="http://schemas.openxmlformats.org/officeDocument/2006/relationships/header" Target="header8.xml" /><Relationship Id="rId44" Type="http://schemas.openxmlformats.org/officeDocument/2006/relationships/footer" Target="footer8.xml" /><Relationship Id="rId45" Type="http://schemas.openxmlformats.org/officeDocument/2006/relationships/header" Target="header9.xml" /><Relationship Id="rId46" Type="http://schemas.openxmlformats.org/officeDocument/2006/relationships/footer" Target="footer9.xml" /><Relationship Id="rId47" Type="http://schemas.openxmlformats.org/officeDocument/2006/relationships/header" Target="header10.xml" /><Relationship Id="rId48" Type="http://schemas.openxmlformats.org/officeDocument/2006/relationships/footer" Target="footer10.xml" /><Relationship Id="rId49" Type="http://schemas.openxmlformats.org/officeDocument/2006/relationships/header" Target="header11.xml" /><Relationship Id="rId5" Type="http://schemas.openxmlformats.org/officeDocument/2006/relationships/image" Target="media/image2.png" /><Relationship Id="rId50" Type="http://schemas.openxmlformats.org/officeDocument/2006/relationships/footer" Target="footer11.xml" /><Relationship Id="rId51" Type="http://schemas.openxmlformats.org/officeDocument/2006/relationships/header" Target="header12.xml" /><Relationship Id="rId52" Type="http://schemas.openxmlformats.org/officeDocument/2006/relationships/footer" Target="footer12.xml" /><Relationship Id="rId53" Type="http://schemas.openxmlformats.org/officeDocument/2006/relationships/hyperlink" Target="https://d.book118.com/695011012030011100" TargetMode="External" /><Relationship Id="rId54" Type="http://schemas.openxmlformats.org/officeDocument/2006/relationships/header" Target="header13.xml" /><Relationship Id="rId55" Type="http://schemas.openxmlformats.org/officeDocument/2006/relationships/footer" Target="footer13.xm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兴业证券-转债退出方式变化的影响讨论-240114.pdf</dc:title>
  <cp:revision>0</cp:revision>
  <dcterms:created xsi:type="dcterms:W3CDTF">2024-01-25T09:20:05Z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2024-01-25T09:29:57Z</vt:filetime>
  </property>
  <property fmtid="{D5CDD505-2E9C-101B-9397-08002B2CF9AE}" pid="3" name="CRO">
    <vt:lpwstr>wqlLaW5nc29mdCBQREYgdG8gV1BTIDkw</vt:lpwstr>
  </property>
</Properties>
</file>