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77D17" w:rsidP="00B77D17" w14:paraId="28DBEB5E" w14:textId="77777777">
      <w:pPr>
        <w:spacing w:before="48" w:beforeLines="20" w:after="360" w:afterLines="150" w:line="360" w:lineRule="auto"/>
        <w:jc w:val="center"/>
        <w:rPr>
          <w:rFonts w:ascii="华文中宋" w:eastAsia="华文中宋" w:hAnsi="华文中宋"/>
          <w:b/>
          <w:sz w:val="30"/>
        </w:rPr>
      </w:pPr>
      <w:r w:rsidRPr="00B77D17">
        <w:rPr>
          <w:rFonts w:ascii="华文中宋" w:eastAsia="华文中宋" w:hAnsi="华文中宋"/>
          <w:b/>
          <w:sz w:val="30"/>
        </w:rPr>
        <w:t>2024</w:t>
      </w:r>
      <w:r w:rsidRPr="00B77D17">
        <w:rPr>
          <w:rFonts w:ascii="华文中宋" w:eastAsia="华文中宋" w:hAnsi="华文中宋"/>
          <w:b/>
          <w:sz w:val="30"/>
        </w:rPr>
        <w:t>年新疆维吾尔自治区储备粮管理有限责任公司人员招聘考试题库及答案解析</w:t>
      </w:r>
    </w:p>
    <w:p w:rsidR="00A77B3E" w14:paraId="17E14BFE"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92D16C1" w14:textId="77777777">
      <w:pPr>
        <w:spacing w:after="260" w:line="360" w:lineRule="auto"/>
      </w:pPr>
      <w:r>
        <w:rPr>
          <w:rFonts w:eastAsia="微软雅黑" w:cs="宋体"/>
          <w:b/>
        </w:rPr>
        <w:t>一、言语理解与表达</w:t>
      </w:r>
    </w:p>
    <w:p w:rsidR="00E0697D" w14:paraId="11CECEE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过去我们一直强调农村的公共事业由农民、农村集体组织自己办，国家的公共服务没有向农村倾斜。因此，城乡之间公共事业发展的差距非常大，突出的问题，一是基础设施缺乏，二是教育、文化、卫生等社会事业发展明显滞后。近几年来，国家在农村实施“六小”工程，</w:t>
      </w:r>
      <w:r w:rsidRPr="00E0697D">
        <w:rPr>
          <w:rFonts w:ascii="Times New Roman" w:eastAsia="微软雅黑" w:hAnsi="微软雅黑" w:cs="宋体" w:hint="eastAsia"/>
          <w:szCs w:val="18"/>
        </w:rPr>
        <w:t>2004</w:t>
      </w:r>
      <w:r w:rsidRPr="00E0697D">
        <w:rPr>
          <w:rFonts w:ascii="Times New Roman" w:eastAsia="微软雅黑" w:hAnsi="微软雅黑" w:cs="宋体" w:hint="eastAsia"/>
          <w:szCs w:val="18"/>
        </w:rPr>
        <w:t>年投入</w:t>
      </w:r>
      <w:r w:rsidRPr="00E0697D">
        <w:rPr>
          <w:rFonts w:ascii="Times New Roman" w:eastAsia="微软雅黑" w:hAnsi="微软雅黑" w:cs="宋体" w:hint="eastAsia"/>
          <w:szCs w:val="18"/>
        </w:rPr>
        <w:t>280</w:t>
      </w:r>
      <w:r w:rsidRPr="00E0697D">
        <w:rPr>
          <w:rFonts w:ascii="Times New Roman" w:eastAsia="微软雅黑" w:hAnsi="微软雅黑" w:cs="宋体" w:hint="eastAsia"/>
          <w:szCs w:val="18"/>
        </w:rPr>
        <w:t>多亿元，其中包括一部分道路建设资金，农村基础设施的面貌确实有了一定程度的改善。国家在农村教育和卫生方面的投在不断增加，但是差距还是非常大。</w:t>
      </w:r>
    </w:p>
    <w:p w:rsidR="00E0697D" w14:paraId="45E3E66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这段文字主要是强调</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530BEF7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、农村公共事业发展差距大</w:t>
      </w:r>
    </w:p>
    <w:p w:rsidR="00E0697D" w14:paraId="0BEF6CF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、“六小”工程改善了农村基础设施</w:t>
      </w:r>
    </w:p>
    <w:p w:rsidR="00E0697D" w14:paraId="7B3448C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、国家投入重点应放在农村社会事业发展上</w:t>
      </w:r>
    </w:p>
    <w:p w:rsidR="00E0697D" w14:paraId="1FD8B63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、农村公共事业仍需要国家加大投入</w:t>
      </w:r>
    </w:p>
    <w:p w:rsidR="00E0697D" w14:paraId="57D401A0"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7B4F2B31"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片段表达了这样一个思维过程“过去由于意识上的问题，造成城乡之间公共事业差别大，近几年，国家开始增加投入，改善了一些设施，但是差距仍然非常大”，“差距大”是事实，因此农村仍需要国家加大投入。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14:paraId="2738EF5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2</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生活是文学创作的重要源泉，“好似地下矿苗中未经洗练的纯金”。真正有为的乡土作家，能够“深掘、广采、炼合金”，想方设法把纯金洗练出来，进而“</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在优美的形式里”，使自己的作品精纯而有</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w:t>
      </w:r>
    </w:p>
    <w:p w:rsidR="00E0697D" w14:paraId="4E43804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依次填入画横线部分最恰当的一项是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0E9DE8A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、融入深度</w:t>
      </w:r>
    </w:p>
    <w:p w:rsidR="00E0697D" w14:paraId="5AF44BD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、熔化硬度</w:t>
      </w:r>
    </w:p>
    <w:p w:rsidR="00E0697D" w14:paraId="690DDE1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、架构高度</w:t>
      </w:r>
    </w:p>
    <w:p w:rsidR="00E0697D" w14:paraId="540D8BD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、锻造密度</w:t>
      </w:r>
    </w:p>
    <w:p w:rsidR="00E0697D" w14:paraId="26BAAA7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622B997C"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文段将文学创作比喻成金子从开采、洗练到最后变成纯金的过程，“熔化”“硬度”与“纯金”的制炼过程和质地相呼应，更符合文段语境。故选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14:paraId="3DAC119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很多人都喜欢将自己眼中的世界分门别类，并用固有的认知打上标签。这种“刻板印象”</w:t>
      </w:r>
      <w:r w:rsidRPr="00E0697D">
        <w:rPr>
          <w:rFonts w:ascii="Times New Roman" w:eastAsia="微软雅黑" w:hAnsi="微软雅黑" w:cs="宋体" w:hint="eastAsia"/>
          <w:szCs w:val="18"/>
        </w:rPr>
        <w:t>的存在，确实在某种程度上提高了我们的认知</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，但也将我们的思维框定到已有的版图中，周边世界千变万化，而我们却在熟悉的境地里</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、停滞不前。</w:t>
      </w:r>
    </w:p>
    <w:p w:rsidR="00E0697D" w14:paraId="0D2BF579"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szCs w:val="18"/>
        </w:rPr>
        <w:t>依次填入横线部分最恰当的一项是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6A74E31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、层次</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泥足深陷</w:t>
      </w:r>
    </w:p>
    <w:p w:rsidR="00E0697D" w14:paraId="2138FC2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、水平</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闭门造车</w:t>
      </w:r>
    </w:p>
    <w:p w:rsidR="00E0697D" w14:paraId="222DC48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、效率</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固步自封</w:t>
      </w:r>
    </w:p>
    <w:p w:rsidR="00E0697D" w14:paraId="50DA160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、能力</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一意孤行</w:t>
      </w:r>
    </w:p>
    <w:p w:rsidR="00E0697D" w14:paraId="598C35A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14:paraId="72F428F4"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第一空，横线处所填词语和“提高”搭配，四个选项均可填入文段中。第二空，横线后出现顿号，故横线处所填词语与“停滞不前”构成并列关系，含义相近，“停滞不前”强调停止下来，不继续前进。</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项“固步自封”</w:t>
      </w:r>
      <w:r w:rsidRPr="00E0697D">
        <w:rPr>
          <w:rFonts w:ascii="Times New Roman" w:eastAsia="微软雅黑" w:hAnsi="微软雅黑" w:cs="宋体" w:hint="eastAsia"/>
          <w:szCs w:val="18"/>
        </w:rPr>
        <w:t>比喻守着老一套，不求进步，体现出“不前进”的含义，符合文意，当选。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项“泥足深陷”比喻陷入麻烦的境地却无法轻易脱离或陷于某件事已不能自拔，“陷入麻烦”与“不继续前进”侧重点不一致，且该词语程度过重，排除</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项“闭门造车”强调不考虑客观实际情况，只凭主观想法办事，与“停滞不前”无法构成同义并列，排除</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项“一意孤行”指不接受别人的劝告，顽固地按照自己的主观想法去做，与“停滞不前”语义相反，排除。故选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p>
    <w:p w:rsidR="00E0697D" w14:paraId="1BD4033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相对于小汽车和公共汽车这两种交通方式，轨道交通具有较强的规模经济性，即只有当乘客流量相当大时才会实现盈亏平衡，所以适宜在已经成熟的社区建设，但这样一来，就不能起到为土地开发导向的作用。如果想用轨道交通导向，就要忍受较长时间的亏损，并且冒较大投资风险，且难以融资。</w:t>
      </w:r>
    </w:p>
    <w:p w:rsidR="00E0697D" w14:paraId="2F8B2DA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这段文字不支持的观点是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0963BBD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、小汽车和公共汽车的投资风险比轨道交通小</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https://d.book118.com/695022220114011043</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rsidP="00E002BD" w14:paraId="5649CC0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77D17" w14:paraId="4B9DDE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rsidP="00E002BD" w14:paraId="6825FA51" w14:textId="64C07E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77D17" w14:paraId="234C69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14:paraId="053953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rsidP="00E002B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77D1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rsidP="00E002BD" w14:textId="64C07E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77D1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rsidP="00E002B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77D1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rsidP="00E002BD" w14:textId="64C07E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77D1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14:paraId="11A9B1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14:paraId="46B6435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14:paraId="634E439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D1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7675BD"/>
    <w:rsid w:val="009C641C"/>
    <w:rsid w:val="00A77B3E"/>
    <w:rsid w:val="00B77D17"/>
    <w:rsid w:val="00CA2A55"/>
    <w:rsid w:val="00E002BD"/>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FE14DBC"/>
  <w15:docId w15:val="{2A5422DC-0A84-466C-A877-0052CBB7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B77D1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77D17"/>
    <w:rPr>
      <w:sz w:val="18"/>
      <w:szCs w:val="18"/>
    </w:rPr>
  </w:style>
  <w:style w:type="paragraph" w:styleId="Footer">
    <w:name w:val="footer"/>
    <w:basedOn w:val="Normal"/>
    <w:link w:val="a0"/>
    <w:rsid w:val="00B77D17"/>
    <w:pPr>
      <w:tabs>
        <w:tab w:val="center" w:pos="4153"/>
        <w:tab w:val="right" w:pos="8306"/>
      </w:tabs>
      <w:snapToGrid w:val="0"/>
    </w:pPr>
    <w:rPr>
      <w:sz w:val="18"/>
      <w:szCs w:val="18"/>
    </w:rPr>
  </w:style>
  <w:style w:type="character" w:customStyle="1" w:styleId="a0">
    <w:name w:val="页脚 字符"/>
    <w:basedOn w:val="DefaultParagraphFont"/>
    <w:link w:val="Footer"/>
    <w:rsid w:val="00B77D17"/>
    <w:rPr>
      <w:sz w:val="18"/>
      <w:szCs w:val="18"/>
    </w:rPr>
  </w:style>
  <w:style w:type="character" w:styleId="PageNumber">
    <w:name w:val="page number"/>
    <w:basedOn w:val="DefaultParagraphFont"/>
    <w:rsid w:val="00B77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9502222011401104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2024-01-17T08:18:00Z</dcterms:created>
  <dcterms:modified xsi:type="dcterms:W3CDTF">2024-01-17T08:18:00Z</dcterms:modified>
</cp:coreProperties>
</file>