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2024年辽宁政法职业学院高职单招（英语／数学／语文）笔试历年真题摘选含答案解析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“五十步笑百步”这个成语源自（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A.《庄子》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B.《韩非子》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在《灯下漫笔》一文中，鲁迅认为青年的使命是（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A.崇奉国粹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B.赞颂固有精神文明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C.热心复古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D.创造第三样时代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《长亭送别》中，表现莺莺对现实不满的最为强烈的曲词是（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A.有梦也难寻觅。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B.但得一个并头莲，煞强如状元及第。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C.前暮私情，昨夜成亲，今日别离。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D.蜗角虚名，蝇头微利，拆鸳鸯在两下里。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鲁迅所处的时代是（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A.中国力争个性解放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B.中国进入现代化时期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C.中国复兴传统文化时期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D.中国正受外敌入侵、挨打的时期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艾青的成名作是（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A.《北方》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B.《我爱这士地》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C.《向太阳》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D.《大堰河——我的保姆》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成语“夙兴夜寐”、“日薄西山”、“路不拾遗”依次出自（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A.《诗经·氓》、《陈情表》、《季氏将伐颛臾》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B.《诗经·氓》、《陈情表》、《礼记·大同》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C.《郑伯克段于鄢》、《礼记·大同》、《陈情表》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D.《季氏将伐颛臾》、《诗经·氓》、《礼记·大同》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“我则或一日而返焉，或二三日而返焉，或五六日而返焉”所运用的修辞方法是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A.比喻、夸张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B.比喻、层递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C.层递、夸张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https://d.book118.com/696105150134010101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696105150134010101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