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湖南省2023年中考语文模拟试题及答案汇总九</w:t>
      </w:r>
    </w:p>
    <w:p>
      <w:pPr>
        <w:rPr>
          <w:rFonts w:hint="eastAsia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一、积累与运用（共18分）</w:t>
      </w:r>
    </w:p>
    <w:p>
      <w:pPr>
        <w:spacing w:line="360" w:lineRule="auto"/>
        <w:ind w:left="0"/>
        <w:jc w:val="left"/>
      </w:pPr>
      <w:r>
        <w:t>1．</w:t>
      </w:r>
      <w:r>
        <w:rPr>
          <w:rFonts w:ascii="Times New Roman" w:hAnsi="Times New Roman"/>
          <w:b w:val="0"/>
          <w:i w:val="0"/>
          <w:color w:val="000000"/>
          <w:sz w:val="22"/>
        </w:rPr>
        <w:t>下面是某同学根据语文书做的字音字形分类笔记，其中有错误的一项是（　　）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A．注意因多音字造成的误读，如：“拮据（jū）”不能读成“拮据（jù）”，“勾（gòu）当”不能读成“勾（gōu）当”，“冠（guān）冕”不能读成“冠（guàn）冕”。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B．注意因方言中前后鼻音发音造成的误读，如：“灰烬（jìng）”应读成“灰烬（jìn）”，“伶（lín）俐”应读成“伶（líng）俐”，“发怔（zhèn）”应读成“发怔（zhèng）”。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C．注意形似造成的误写，如：“亵渎”不能写成“亵读”，“羡慕”不能写成“羡幕”，“作楫”不能写成“作揖”。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D．注意成语字形的误写，如：“前扑后继”应写成“前仆后继”，“自残形秽”应写成“自惭形秽”，“自吹自雷”应写成“自吹自擂”。</w:t>
      </w:r>
    </w:p>
    <w:p>
      <w:pPr>
        <w:spacing w:line="360" w:lineRule="auto"/>
        <w:ind w:left="0"/>
        <w:jc w:val="left"/>
      </w:pPr>
      <w:r>
        <w:t>2．</w:t>
      </w:r>
      <w:r>
        <w:rPr>
          <w:rFonts w:ascii="Times New Roman" w:hAnsi="Times New Roman"/>
          <w:b w:val="0"/>
          <w:i w:val="0"/>
          <w:color w:val="000000"/>
          <w:sz w:val="22"/>
        </w:rPr>
        <w:t>下面加点词使用不恰当的一项是（　　）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如今的时代，读屏、听读和读书三种阅读方式并存，“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相得益彰</w:t>
      </w:r>
      <w:r>
        <w:rPr>
          <w:rFonts w:ascii="Times New Roman" w:hAnsi="Times New Roman"/>
          <w:b w:val="0"/>
          <w:i w:val="0"/>
          <w:color w:val="000000"/>
          <w:sz w:val="22"/>
        </w:rPr>
        <w:t>”共同构成了多元化的阅读时代。所谓阅读，不一定限制于某种方式，能做到随时随地阅读，是不断提升自我的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不二法门</w:t>
      </w:r>
      <w:r>
        <w:rPr>
          <w:rFonts w:ascii="Times New Roman" w:hAnsi="Times New Roman"/>
          <w:b w:val="0"/>
          <w:i w:val="0"/>
          <w:color w:val="000000"/>
          <w:sz w:val="22"/>
        </w:rPr>
        <w:t>。但是，即便如此，阅读依旧没有做到全民普及化。在如今的青少年群体中，阅读的匮乏已经到了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间不容发</w:t>
      </w:r>
      <w:r>
        <w:rPr>
          <w:rFonts w:ascii="Times New Roman" w:hAnsi="Times New Roman"/>
          <w:b w:val="0"/>
          <w:i w:val="0"/>
          <w:color w:val="000000"/>
          <w:sz w:val="22"/>
        </w:rPr>
        <w:t>的地步，这个问题必须引起重视，否则，提升国民文化素养，将成为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可望不可及</w:t>
      </w:r>
      <w:r>
        <w:rPr>
          <w:rFonts w:ascii="Times New Roman" w:hAnsi="Times New Roman"/>
          <w:b w:val="0"/>
          <w:i w:val="0"/>
          <w:color w:val="000000"/>
          <w:sz w:val="22"/>
        </w:rPr>
        <w:t>的事。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A．相得益彰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B．不二法门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C．间不容发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D．可望不可及</w:t>
      </w:r>
    </w:p>
    <w:p>
      <w:pPr>
        <w:spacing w:line="360" w:lineRule="auto"/>
        <w:ind w:left="0"/>
        <w:jc w:val="left"/>
      </w:pPr>
      <w:r>
        <w:t>3．</w:t>
      </w:r>
      <w:r>
        <w:rPr>
          <w:rFonts w:ascii="Times New Roman" w:hAnsi="Times New Roman"/>
          <w:b w:val="0"/>
          <w:i w:val="0"/>
          <w:color w:val="000000"/>
          <w:sz w:val="22"/>
        </w:rPr>
        <w:t>下面一段话表述没有语病的一句是（　　）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学校2002班级组织开展了关于班级管理的班会活动。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在会议中，如何让班级在学校班级管理的比拼中脱颖而出，班干部们作出的回答都是积极和肯定的。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同学们认为，班干部的个人魅力对于班级管理是很重要的，如纪律委员肖能有海纳百川的容人之量，就是和自己意见不一样的同学，都能坦诚相对，毫无芥蒂成为朋友。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班主任老师也认为，如果班干部做到了公正无私，这不仅会使班级的管理更加井然有序，也能使班级的同心力得到更强的凝聚。</w:t>
      </w: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通过这次活动，班干部表示，一定会克服在班级管理中遇到的种种不利条件，尽自己所能加强班级管理。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rPr>
          <w:rFonts w:ascii="Calibri" w:hAnsi="Calibri"/>
          <w:b w:val="0"/>
          <w:i w:val="0"/>
          <w:color w:val="000000"/>
          <w:sz w:val="22"/>
        </w:rPr>
        <w:t>④</w:t>
      </w:r>
    </w:p>
    <w:p>
      <w:pPr>
        <w:spacing w:line="360" w:lineRule="auto"/>
        <w:ind w:left="0"/>
        <w:jc w:val="left"/>
        <w:sectPr>
          <w:headerReference w:type="default" r:id="rId5"/>
          <w:footerReference w:type="default" r:id="rId6"/>
          <w:pgSz w:w="11906" w:h="16838"/>
          <w:pgMar w:top="567" w:right="850" w:bottom="850" w:left="850" w:header="426" w:footer="515" w:gutter="0"/>
          <w:cols w:num="1" w:space="425"/>
          <w:docGrid w:type="lines" w:linePitch="312" w:charSpace="0"/>
        </w:sectPr>
      </w:pPr>
      <w:r>
        <w:t>4．</w:t>
      </w:r>
      <w:r>
        <w:rPr>
          <w:rFonts w:ascii="Times New Roman" w:hAnsi="Times New Roman"/>
          <w:b w:val="0"/>
          <w:i w:val="0"/>
          <w:color w:val="000000"/>
          <w:sz w:val="22"/>
        </w:rPr>
        <w:t>2014年12月13日，是我国首个南京大屠杀死难者国家公祭日。为铭记日本侵华战争给中国人民带来的深重灾难，激励同学们为国家的发展做出贡献，学校举办了“勿忘国耻，振兴中华”主题活动，同学们纷纷发表自己的看法。下列发言中，语言不得体的一句是（　　）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A．学生甲：忘记历史就意味着背叛，前事不忘，后事之师，我们难道不该牢记历史吗？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B．学生乙：我非常赞同设立国家公祭日，种瓜得瓜，种豆得豆，我们不能忘记历史。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C．学生丙：要避免历史悲剧重演，我们还要百尺竿头，更进一步，继续增强国家实力。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D．学生丁：我们应该珍惜和平，走和平发展道路，行百里者半九十，我们丝毫不能懈怠！</w:t>
      </w:r>
    </w:p>
    <w:p>
      <w:pPr>
        <w:spacing w:line="360" w:lineRule="auto"/>
        <w:ind w:left="0"/>
        <w:jc w:val="left"/>
        <w:textAlignment w:val="center"/>
      </w:pPr>
      <w:r>
        <w:t>5．</w:t>
      </w:r>
      <w:r>
        <w:rPr>
          <w:rFonts w:ascii="Times New Roman" w:hAnsi="Times New Roman"/>
          <w:b w:val="0"/>
          <w:i w:val="0"/>
          <w:color w:val="000000"/>
          <w:sz w:val="22"/>
        </w:rPr>
        <w:t>下列句子中传统文化常识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不正确</w:t>
      </w:r>
      <w:r>
        <w:rPr>
          <w:rFonts w:ascii="Times New Roman" w:hAnsi="Times New Roman"/>
          <w:b w:val="0"/>
          <w:i w:val="0"/>
          <w:color w:val="000000"/>
          <w:sz w:val="22"/>
        </w:rPr>
        <w:t>的一项是（　　）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A．年龄虽相差一个“不惑之年”，但因共同爱好，我们很快成了忘年交，总聊个没完。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B．小满已过，芒种将至。芒种是农历二十四节气中的第9个节气，夏季的第三个节气，表示仲夏时节的正式开始；芒种字面的意思是“有芒的麦子快收，有芒的稻子可种”。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C．旧时一夜分成五更，每更大约两小时。其中一更天：戌时20：00-22：00；二更天：亥时22：00-24：00；三更天：子时00：00-02：00；四更天：丑时02：00-04：00；五更天：寅时04：00-06：00。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D．“端午小长假有划龙舟比赛，一起去看吧！”“好呀，别忘了把艾草挂在门上，再多带几个粽子！”</w:t>
      </w:r>
    </w:p>
    <w:p>
      <w:pPr>
        <w:spacing w:line="360" w:lineRule="auto"/>
        <w:ind w:left="0"/>
        <w:jc w:val="left"/>
      </w:pPr>
      <w:r>
        <w:t>6．</w:t>
      </w:r>
      <w:r>
        <w:rPr>
          <w:rFonts w:ascii="Times New Roman" w:hAnsi="Times New Roman"/>
          <w:b w:val="0"/>
          <w:i w:val="0"/>
          <w:color w:val="000000"/>
          <w:sz w:val="22"/>
        </w:rPr>
        <w:t>在研学活动中，同学们写了一些感言，请你补充其中空缺的古诗文。</w:t>
      </w:r>
    </w:p>
    <w:p>
      <w:pPr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（1）北京冬奥会的科技亮点精彩纷呈，从智能体育场馆、数字、低碳到很多细节方面的新科技，带给世人“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”（岑参《白雪歌送武判官归京》）般的惊喜。</w:t>
      </w:r>
    </w:p>
    <w:p>
      <w:pPr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（2）在世界新冠肺炎疫情依旧持续的大背景下，北京冬奥会在严冬里给世界带来温暖，对三万多名来自世界各地的宾朋好友和运动员，中国人用“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？”（《&lt;论语〉&gt;十二章》）的诚挚热情欢迎他们。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综合性学习</w:t>
      </w:r>
    </w:p>
    <w:p>
      <w:pPr>
        <w:spacing w:line="360" w:lineRule="auto"/>
        <w:ind w:firstLine="42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2022年冬季奥运会和2008年夏季奥运会都在北京举行，且这两届奥运会的会徽都融入了汉字元素，展现了汉字之美。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122805" cy="1027430"/>
            <wp:effectExtent l="0" t="0" r="10795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22805" cy="1027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7．请参照示例，简述你对2022年冬奥会会徽中主要图形的理解。</w:t>
      </w:r>
    </w:p>
    <w:p>
      <w:pPr>
        <w:spacing w:line="360" w:lineRule="auto"/>
        <w:ind w:firstLine="286" w:firstLineChars="130"/>
        <w:jc w:val="left"/>
        <w:rPr>
          <w:rFonts w:ascii="Times New Roman" w:hAnsi="Times New Roman"/>
          <w:b w:val="0"/>
          <w:i w:val="0"/>
          <w:color w:val="000000"/>
          <w:sz w:val="22"/>
        </w:rPr>
        <w:sectPr>
          <w:headerReference w:type="default" r:id="rId8"/>
          <w:footerReference w:type="default" r:id="rId9"/>
          <w:type w:val="nextPage"/>
          <w:pgSz w:w="11906" w:h="16838"/>
          <w:pgMar w:top="567" w:right="850" w:bottom="850" w:left="850" w:header="426" w:footer="515" w:gutter="0"/>
          <w:pgNumType w:start="2"/>
          <w:cols w:num="1" w:space="425"/>
          <w:titlePg w:val="0"/>
          <w:docGrid w:type="lines" w:linePitch="312" w:charSpace="0"/>
        </w:sectPr>
      </w:pPr>
    </w:p>
    <w:p>
      <w:pPr>
        <w:spacing w:line="360" w:lineRule="auto"/>
        <w:ind w:firstLine="286" w:firstLineChars="13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/>
          <w:b w:val="0"/>
          <w:i w:val="0"/>
          <w:color w:val="000000"/>
          <w:sz w:val="22"/>
        </w:rPr>
        <w:t>示例：（2008年夏季奥运会会徽）这是一个近似椭圆形的中国传统印章，上面刻着一个运动员在向前奔跑、迎接胜利的图案。同时图案像“京”字，象征着奥运会的举办地北京；又像“文”字，取意中国悠久的传统文化。</w:t>
      </w: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  <w:u w:val="single"/>
        </w:rPr>
      </w:pPr>
      <w:r>
        <w:rPr>
          <w:rFonts w:ascii="Times New Roman" w:hAnsi="Times New Roman"/>
          <w:b w:val="0"/>
          <w:i w:val="0"/>
          <w:color w:val="000000"/>
          <w:sz w:val="22"/>
        </w:rPr>
        <w:t>我的理解：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 xml:space="preserve">　                                                                                 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 xml:space="preserve">                                                                                             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8．为宣传冬奥，学校开展对联征集活动。请你以“冬奥”“冰雪”为上下联的开头，补全下面对联，激发同学们参加冰雪运动的热情。</w:t>
      </w:r>
    </w:p>
    <w:p>
      <w:pPr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上联：冬奥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 下联：冰雪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　</w:t>
      </w:r>
    </w:p>
    <w:p>
      <w:pPr>
        <w:rPr>
          <w:rFonts w:hint="eastAsia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二、阅读与理解（共46分）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阅读下面这首诗，回答问题。</w:t>
      </w:r>
    </w:p>
    <w:p>
      <w:pPr>
        <w:spacing w:line="360" w:lineRule="auto"/>
        <w:ind w:firstLine="286" w:firstLineChars="130"/>
        <w:jc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六安署病中</w:t>
      </w:r>
    </w:p>
    <w:p>
      <w:pPr>
        <w:spacing w:line="360" w:lineRule="auto"/>
        <w:ind w:firstLine="286" w:firstLineChars="130"/>
        <w:jc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【明末清初】 史可法</w:t>
      </w:r>
    </w:p>
    <w:p>
      <w:pPr>
        <w:spacing w:line="360" w:lineRule="auto"/>
        <w:ind w:firstLine="286" w:firstLineChars="130"/>
        <w:jc w:val="center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待理犹烦苦抱疴</w:t>
      </w:r>
      <w:r>
        <w:rPr>
          <w:rFonts w:ascii="Calibri" w:hAnsi="Calibri"/>
          <w:b w:val="0"/>
          <w:i w:val="0"/>
          <w:color w:val="000000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，公馀侧枕柰</w:t>
      </w:r>
      <w:r>
        <w:rPr>
          <w:rFonts w:ascii="Calibri" w:hAnsi="Calibri"/>
          <w:b w:val="0"/>
          <w:i w:val="0"/>
          <w:color w:val="000000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如何。民饥由己嗟艰食，兵悍逢人欲弄戈</w:t>
      </w:r>
      <w:r>
        <w:rPr>
          <w:rFonts w:ascii="Calibri" w:hAnsi="Calibri"/>
          <w:b w:val="0"/>
          <w:i w:val="0"/>
          <w:color w:val="000000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center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抚字</w:t>
      </w:r>
      <w:r>
        <w:rPr>
          <w:rFonts w:ascii="Calibri" w:hAnsi="Calibri"/>
          <w:b w:val="0"/>
          <w:i w:val="0"/>
          <w:color w:val="000000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无能先布德，催科</w:t>
      </w:r>
      <w:r>
        <w:rPr>
          <w:rFonts w:ascii="Calibri" w:hAnsi="Calibri"/>
          <w:b w:val="0"/>
          <w:i w:val="0"/>
          <w:color w:val="000000"/>
        </w:rPr>
        <w:t>⑤</w:t>
      </w:r>
      <w:r>
        <w:rPr>
          <w:rFonts w:ascii="Times New Roman" w:hAnsi="Times New Roman"/>
          <w:b w:val="0"/>
          <w:i w:val="0"/>
          <w:color w:val="000000"/>
          <w:sz w:val="22"/>
        </w:rPr>
        <w:t>宁忍复为苛。白云交瘁燕山下</w:t>
      </w:r>
      <w:r>
        <w:rPr>
          <w:rFonts w:ascii="Calibri" w:hAnsi="Calibri"/>
          <w:b w:val="0"/>
          <w:i w:val="0"/>
          <w:color w:val="000000"/>
        </w:rPr>
        <w:t>⑥</w:t>
      </w:r>
      <w:r>
        <w:rPr>
          <w:rFonts w:ascii="Times New Roman" w:hAnsi="Times New Roman"/>
          <w:b w:val="0"/>
          <w:i w:val="0"/>
          <w:color w:val="000000"/>
          <w:sz w:val="22"/>
        </w:rPr>
        <w:t>，国手</w:t>
      </w:r>
      <w:r>
        <w:rPr>
          <w:rFonts w:ascii="Calibri" w:hAnsi="Calibri"/>
          <w:b w:val="0"/>
          <w:i w:val="0"/>
          <w:color w:val="000000"/>
        </w:rPr>
        <w:t>⑦</w:t>
      </w:r>
      <w:r>
        <w:rPr>
          <w:rFonts w:ascii="Times New Roman" w:hAnsi="Times New Roman"/>
          <w:b w:val="0"/>
          <w:i w:val="0"/>
          <w:color w:val="000000"/>
          <w:sz w:val="22"/>
        </w:rPr>
        <w:t>谁怜妙剂多。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【注释】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抱疴：害病。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柰：音义同“奈”，怎样，如何。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弄戈：动刀兵，挥舞刀枪。</w:t>
      </w: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抚字：安抚教育人民。</w:t>
      </w:r>
      <w:r>
        <w:rPr>
          <w:rFonts w:ascii="Calibri" w:hAnsi="Calibri"/>
          <w:b w:val="0"/>
          <w:i w:val="0"/>
          <w:color w:val="000000"/>
          <w:sz w:val="22"/>
        </w:rPr>
        <w:t>⑤</w:t>
      </w:r>
      <w:r>
        <w:rPr>
          <w:rFonts w:ascii="Times New Roman" w:hAnsi="Times New Roman"/>
          <w:b w:val="0"/>
          <w:i w:val="0"/>
          <w:color w:val="000000"/>
          <w:sz w:val="22"/>
        </w:rPr>
        <w:t>催科：催科，催征粮税。作者曾奏免受灾地区农民的田租。</w:t>
      </w:r>
      <w:r>
        <w:rPr>
          <w:rFonts w:ascii="Calibri" w:hAnsi="Calibri"/>
          <w:b w:val="0"/>
          <w:i w:val="0"/>
          <w:color w:val="000000"/>
          <w:sz w:val="22"/>
        </w:rPr>
        <w:t>⑥</w:t>
      </w:r>
      <w:r>
        <w:rPr>
          <w:rFonts w:ascii="Times New Roman" w:hAnsi="Times New Roman"/>
          <w:b w:val="0"/>
          <w:i w:val="0"/>
          <w:color w:val="000000"/>
          <w:sz w:val="22"/>
        </w:rPr>
        <w:t>白云：白云，借指帝都。交瘁，困顿憔悴的意思。燕山，在今河北蓟县东南，这里燕山下指河北一带，当时清兵曾多次越长城入关侵掠，蹂躏河北、山东、河南等地。</w:t>
      </w:r>
      <w:r>
        <w:rPr>
          <w:rFonts w:ascii="Calibri" w:hAnsi="Calibri"/>
          <w:b w:val="0"/>
          <w:i w:val="0"/>
          <w:color w:val="000000"/>
          <w:sz w:val="22"/>
        </w:rPr>
        <w:t>⑦</w:t>
      </w:r>
      <w:r>
        <w:rPr>
          <w:rFonts w:ascii="Times New Roman" w:hAnsi="Times New Roman"/>
          <w:b w:val="0"/>
          <w:i w:val="0"/>
          <w:color w:val="000000"/>
          <w:sz w:val="22"/>
        </w:rPr>
        <w:t>国手：指医国手，《国语·晋语》：“上医医国”。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9．对本诗内容的理解和分析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不正确</w:t>
      </w:r>
      <w:r>
        <w:rPr>
          <w:rFonts w:ascii="Times New Roman" w:hAnsi="Times New Roman"/>
          <w:b w:val="0"/>
          <w:i w:val="0"/>
          <w:color w:val="000000"/>
          <w:sz w:val="22"/>
        </w:rPr>
        <w:t>的一项是（　　）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A．“苦抱疴”“公馀侧枕”反映出作者虽在病中，仍在为政务劳心。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B．“嗟艰食”“逢人欲弄戈”反映百姓饥馑与军队的威武强悍。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C．“抚字”“布德”能看出作者在施政方面的理念。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D．“白云交瘁燕山下”使用借代手法暗示了明王朝面临的危局。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10．下面是对本诗的创意朗读指导，请你将表格内容补充完整。</w:t>
      </w:r>
    </w:p>
    <w:tbl>
      <w:tblPr>
        <w:tblStyle w:val="TableNormal"/>
        <w:tblW w:w="9240" w:type="dxa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6"/>
        <w:gridCol w:w="2073"/>
        <w:gridCol w:w="4610"/>
        <w:gridCol w:w="1571"/>
      </w:tblGrid>
      <w:tr>
        <w:tblPrEx>
          <w:tblW w:w="9240" w:type="dxa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诗句</w:t>
            </w:r>
          </w:p>
        </w:tc>
        <w:tc>
          <w:tcPr>
            <w:tcW w:w="207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易错字读音</w:t>
            </w:r>
          </w:p>
        </w:tc>
        <w:tc>
          <w:tcPr>
            <w:tcW w:w="46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情感内蕴</w:t>
            </w:r>
          </w:p>
        </w:tc>
        <w:tc>
          <w:tcPr>
            <w:tcW w:w="157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语气</w:t>
            </w:r>
          </w:p>
        </w:tc>
      </w:tr>
      <w:tr>
        <w:tblPrEx>
          <w:tblW w:w="9240" w:type="dxa"/>
          <w:tblInd w:w="38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首联</w:t>
            </w:r>
          </w:p>
        </w:tc>
        <w:tc>
          <w:tcPr>
            <w:tcW w:w="207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抱疴（kē）</w:t>
            </w:r>
          </w:p>
        </w:tc>
        <w:tc>
          <w:tcPr>
            <w:tcW w:w="46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在病中操劳的烦闷与无奈</w:t>
            </w:r>
          </w:p>
        </w:tc>
        <w:tc>
          <w:tcPr>
            <w:tcW w:w="157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低沉</w:t>
            </w:r>
          </w:p>
        </w:tc>
      </w:tr>
    </w:tbl>
    <w:p>
      <w:pPr>
        <w:sectPr>
          <w:headerReference w:type="default" r:id="rId10"/>
          <w:footerReference w:type="default" r:id="rId11"/>
          <w:type w:val="nextPage"/>
          <w:pgSz w:w="11906" w:h="16838"/>
          <w:pgMar w:top="567" w:right="850" w:bottom="850" w:left="850" w:header="426" w:footer="515" w:gutter="0"/>
          <w:pgNumType w:start="3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9240" w:type="dxa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6"/>
        <w:gridCol w:w="2073"/>
        <w:gridCol w:w="4610"/>
        <w:gridCol w:w="1571"/>
      </w:tblGrid>
      <w:tr>
        <w:tblPrEx>
          <w:tblW w:w="9240" w:type="dxa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颔联</w:t>
            </w:r>
          </w:p>
        </w:tc>
        <w:tc>
          <w:tcPr>
            <w:tcW w:w="207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弄戈（gē）</w:t>
            </w:r>
          </w:p>
        </w:tc>
        <w:tc>
          <w:tcPr>
            <w:tcW w:w="4610" w:type="dxa"/>
            <w:vMerge w:val="restart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  <w:textAlignment w:val="center"/>
            </w:pPr>
            <w:r>
              <w:rPr>
                <w:rFonts w:ascii="Calibri" w:hAnsi="Calibri"/>
                <w:b w:val="0"/>
                <w:i w:val="0"/>
                <w:color w:val="000000"/>
                <w:sz w:val="22"/>
              </w:rPr>
              <w:t>①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                  　</w:t>
            </w:r>
          </w:p>
        </w:tc>
        <w:tc>
          <w:tcPr>
            <w:tcW w:w="157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由弱渐强</w:t>
            </w:r>
          </w:p>
        </w:tc>
      </w:tr>
      <w:tr>
        <w:tblPrEx>
          <w:tblW w:w="9240" w:type="dxa"/>
          <w:tblInd w:w="38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颈联</w:t>
            </w:r>
          </w:p>
        </w:tc>
        <w:tc>
          <w:tcPr>
            <w:tcW w:w="207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为苛（kē）</w:t>
            </w:r>
          </w:p>
        </w:tc>
        <w:tc>
          <w:tcPr>
            <w:tcW w:w="4610" w:type="dxa"/>
            <w:vMerge/>
            <w:tcBorders>
              <w:top w:val="nil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>
            <w:pPr>
              <w:spacing w:line="360" w:lineRule="auto"/>
            </w:pPr>
          </w:p>
        </w:tc>
        <w:tc>
          <w:tcPr>
            <w:tcW w:w="157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稍强</w:t>
            </w:r>
          </w:p>
        </w:tc>
      </w:tr>
      <w:tr>
        <w:tblPrEx>
          <w:tblW w:w="9240" w:type="dxa"/>
          <w:tblInd w:w="38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尾联</w:t>
            </w:r>
          </w:p>
        </w:tc>
        <w:tc>
          <w:tcPr>
            <w:tcW w:w="207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交瘁（cuì）</w:t>
            </w:r>
          </w:p>
        </w:tc>
        <w:tc>
          <w:tcPr>
            <w:tcW w:w="46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  <w:textAlignment w:val="center"/>
            </w:pPr>
            <w:r>
              <w:rPr>
                <w:rFonts w:ascii="Calibri" w:hAnsi="Calibri"/>
                <w:b w:val="0"/>
                <w:i w:val="0"/>
                <w:color w:val="000000"/>
                <w:sz w:val="22"/>
              </w:rPr>
              <w:t>②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                  　</w:t>
            </w:r>
          </w:p>
        </w:tc>
        <w:tc>
          <w:tcPr>
            <w:tcW w:w="157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由强渐弱</w:t>
            </w:r>
          </w:p>
        </w:tc>
      </w:tr>
    </w:tbl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阅读下面的文言文，回答问题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史可法，字宪之，祥符人。举崇祯元年进士，授西安府推官，稍迁户部主事，历员外郎、郎中。可法短小精悍，面黑，目烁烁有光。可法廉信，与下均</w:t>
      </w:r>
      <w:r>
        <w:rPr>
          <w:rFonts w:ascii="Calibri" w:hAnsi="Calibri"/>
          <w:b w:val="0"/>
          <w:i w:val="0"/>
          <w:color w:val="000000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劳苦。</w:t>
      </w:r>
      <w:r>
        <w:rPr>
          <w:rFonts w:ascii="Times New Roman" w:hAnsi="Times New Roman"/>
          <w:b w:val="0"/>
          <w:i w:val="0"/>
          <w:color w:val="000000"/>
          <w:sz w:val="22"/>
          <w:u w:val="wave"/>
        </w:rPr>
        <w:t>军行，士不饱不先食，未授衣不先御，以故得士死力。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十七年四月朔，闻贼犯阙</w:t>
      </w:r>
      <w:r>
        <w:rPr>
          <w:rFonts w:ascii="Calibri" w:hAnsi="Calibri"/>
          <w:b w:val="0"/>
          <w:i w:val="0"/>
          <w:color w:val="000000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，誓师勤王</w:t>
      </w:r>
      <w:r>
        <w:rPr>
          <w:rFonts w:ascii="Calibri" w:hAnsi="Calibri"/>
          <w:b w:val="0"/>
          <w:i w:val="0"/>
          <w:color w:val="000000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。渡江抵浦口，闻北都既陷，缟衣发丧。凤阳总督马士英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潜</w:t>
      </w:r>
      <w:r>
        <w:rPr>
          <w:rFonts w:ascii="Times New Roman" w:hAnsi="Times New Roman"/>
          <w:b w:val="0"/>
          <w:i w:val="0"/>
          <w:color w:val="000000"/>
          <w:sz w:val="22"/>
        </w:rPr>
        <w:t>与阮大铖计议，主立福王。群臣入朝，王色赧</w:t>
      </w:r>
      <w:r>
        <w:rPr>
          <w:rFonts w:ascii="Calibri" w:hAnsi="Calibri"/>
          <w:b w:val="0"/>
          <w:i w:val="0"/>
          <w:color w:val="000000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欲避。可法曰：“王毋避，宜正受。”既朝，议战守。可法曰：“王宜素服郊次，发师北征，示天下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以</w:t>
      </w:r>
      <w:r>
        <w:rPr>
          <w:rFonts w:ascii="Times New Roman" w:hAnsi="Times New Roman"/>
          <w:b w:val="0"/>
          <w:i w:val="0"/>
          <w:color w:val="000000"/>
          <w:sz w:val="22"/>
        </w:rPr>
        <w:t>必报仇之义。”王唯唯。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总兵官高杰居扬州桀骜甚可法开诚布公导以君臣大义。</w:t>
      </w:r>
      <w:r>
        <w:rPr>
          <w:rFonts w:ascii="Times New Roman" w:hAnsi="Times New Roman"/>
          <w:b w:val="0"/>
          <w:i w:val="0"/>
          <w:color w:val="000000"/>
          <w:sz w:val="22"/>
        </w:rPr>
        <w:t>杰大感悟，奉约束。杰帅师北征，至睢州，为许定国所杀。部下兵大乱，屠睢旁近二百里殆尽。变闻，可法流涕顿足叹曰：“中原不可为矣。”遂如徐州。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俄报盱眙已降大清，可法一日夜奔还扬州。大清兵大至，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薄</w:t>
      </w:r>
      <w:r>
        <w:rPr>
          <w:rFonts w:ascii="Times New Roman" w:hAnsi="Times New Roman"/>
          <w:b w:val="0"/>
          <w:i w:val="0"/>
          <w:color w:val="000000"/>
          <w:sz w:val="22"/>
        </w:rPr>
        <w:t>城下，城遂破。可法自刎不殊</w:t>
      </w:r>
      <w:r>
        <w:rPr>
          <w:rFonts w:ascii="Calibri" w:hAnsi="Calibri"/>
          <w:b w:val="0"/>
          <w:i w:val="0"/>
          <w:color w:val="000000"/>
        </w:rPr>
        <w:t>⑤</w:t>
      </w:r>
      <w:r>
        <w:rPr>
          <w:rFonts w:ascii="Times New Roman" w:hAnsi="Times New Roman"/>
          <w:b w:val="0"/>
          <w:i w:val="0"/>
          <w:color w:val="000000"/>
          <w:sz w:val="22"/>
        </w:rPr>
        <w:t>，一参将拥可法出小东门，遂被执。可法大呼曰：“我史督师也。”遂杀之。可法年四十余，无子，其妻欲置妾。太息曰：“王事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方</w:t>
      </w:r>
      <w:r>
        <w:rPr>
          <w:rFonts w:ascii="Times New Roman" w:hAnsi="Times New Roman"/>
          <w:b w:val="0"/>
          <w:i w:val="0"/>
          <w:color w:val="000000"/>
          <w:sz w:val="22"/>
        </w:rPr>
        <w:t>殷，敢为儿女计乎!”可法死，逾年，家人举袍笏</w:t>
      </w:r>
      <w:r>
        <w:rPr>
          <w:rFonts w:ascii="Calibri" w:hAnsi="Calibri"/>
          <w:b w:val="0"/>
          <w:i w:val="0"/>
          <w:color w:val="000000"/>
        </w:rPr>
        <w:t>⑥</w:t>
      </w:r>
      <w:r>
        <w:rPr>
          <w:rFonts w:ascii="Times New Roman" w:hAnsi="Times New Roman"/>
          <w:b w:val="0"/>
          <w:i w:val="0"/>
          <w:color w:val="000000"/>
          <w:sz w:val="22"/>
        </w:rPr>
        <w:t>招魂，葬于扬州郭外之梅花岭。</w:t>
      </w:r>
    </w:p>
    <w:p>
      <w:pPr>
        <w:spacing w:line="360" w:lineRule="auto"/>
        <w:ind w:firstLine="286" w:firstLineChars="130"/>
        <w:jc w:val="right"/>
      </w:pPr>
      <w:r>
        <w:rPr>
          <w:rFonts w:ascii="Times New Roman" w:hAnsi="Times New Roman"/>
          <w:b w:val="0"/>
          <w:i w:val="0"/>
          <w:color w:val="000000"/>
          <w:sz w:val="22"/>
        </w:rPr>
        <w:t>（节选自《明史•史可法传》，有删减）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【注释】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均：同等，此为动词，指共同承担。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阙：宫门、城门两侧的高台，中间有道路，台上起楼观。借指朝廷，也借指京城。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勤王：指君主的统治受到威胁而动摇时，臣子起兵救援王朝。</w:t>
      </w: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赧：因羞愧而脸红。</w:t>
      </w:r>
      <w:r>
        <w:rPr>
          <w:rFonts w:ascii="Calibri" w:hAnsi="Calibri"/>
          <w:b w:val="0"/>
          <w:i w:val="0"/>
          <w:color w:val="000000"/>
          <w:sz w:val="22"/>
        </w:rPr>
        <w:t>⑤</w:t>
      </w:r>
      <w:r>
        <w:rPr>
          <w:rFonts w:ascii="Times New Roman" w:hAnsi="Times New Roman"/>
          <w:b w:val="0"/>
          <w:i w:val="0"/>
          <w:color w:val="000000"/>
          <w:sz w:val="22"/>
        </w:rPr>
        <w:t>殊：死亡。</w:t>
      </w:r>
      <w:r>
        <w:rPr>
          <w:rFonts w:ascii="Calibri" w:hAnsi="Calibri"/>
          <w:b w:val="0"/>
          <w:i w:val="0"/>
          <w:color w:val="000000"/>
          <w:sz w:val="22"/>
        </w:rPr>
        <w:t>⑥</w:t>
      </w:r>
      <w:r>
        <w:rPr>
          <w:rFonts w:ascii="Times New Roman" w:hAnsi="Times New Roman"/>
          <w:b w:val="0"/>
          <w:i w:val="0"/>
          <w:color w:val="000000"/>
          <w:sz w:val="22"/>
        </w:rPr>
        <w:t>袍笏：朝服和手板。品官朝觐君王时使用。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11．下面对文中字词的理解或推断，其中有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明显错误</w:t>
      </w:r>
      <w:r>
        <w:rPr>
          <w:rFonts w:ascii="Times New Roman" w:hAnsi="Times New Roman"/>
          <w:b w:val="0"/>
          <w:i w:val="0"/>
          <w:color w:val="000000"/>
          <w:sz w:val="22"/>
        </w:rPr>
        <w:t>的一项是（　　）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A．“凤阳总督马士英潜与阮大铖计议”中的“潜”本义为“隐藏在水面下活动”，此处可引申为“偷偷地，私下里”。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B．“以”在古文中有“用来”、“因为”、“认为”、“凭借”、“用”等含义，“示天下以必报仇之义”中的“以”是“用”的意思。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C．“薄城下”与“薄暮冥冥”的“薄”含义相同。</w:t>
      </w:r>
    </w:p>
    <w:p>
      <w:pPr>
        <w:spacing w:line="360" w:lineRule="auto"/>
        <w:jc w:val="left"/>
        <w:sectPr>
          <w:headerReference w:type="default" r:id="rId12"/>
          <w:footerReference w:type="default" r:id="rId13"/>
          <w:type w:val="nextPage"/>
          <w:pgSz w:w="11906" w:h="16838"/>
          <w:pgMar w:top="567" w:right="850" w:bottom="850" w:left="850" w:header="426" w:footer="515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D．由“春蚕到死丝方尽”可知“王事方殷”的“方”含义为“才”。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12．下列对文中画线语句的断句，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正确</w:t>
      </w:r>
      <w:r>
        <w:rPr>
          <w:rFonts w:ascii="Times New Roman" w:hAnsi="Times New Roman"/>
          <w:b w:val="0"/>
          <w:i w:val="0"/>
          <w:color w:val="000000"/>
          <w:sz w:val="22"/>
        </w:rPr>
        <w:t>的一项是（　　）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A．总兵官高杰居扬州/桀骜甚/可法开诚布公/导以君臣大义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B．总兵官高杰居扬州/桀骜甚可法/开诚布公导/以君臣大义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C．总兵官高杰居/扬州桀骜甚/可法开诚布公导/以君臣大义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D．总兵官高杰居扬州/桀骜甚可法/开诚布公/导以君臣大义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13．用现代汉语翻译文中画波浪线的句子。</w:t>
      </w: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/>
          <w:b w:val="0"/>
          <w:i w:val="0"/>
          <w:color w:val="000000"/>
          <w:sz w:val="22"/>
        </w:rPr>
        <w:t>军行，士不饱不先食，未授衣不先御，以故得士死力。</w:t>
      </w: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/>
          <w:b w:val="0"/>
          <w:i w:val="0"/>
          <w:color w:val="000000"/>
          <w:sz w:val="22"/>
        </w:rPr>
        <w:t>14．在扬州城外梅花岭，有民族英雄史可法的衣冠冢。冢前有一副对联“数点梅花亡国泪，二分明月故臣心”，激励了无数人的民族自尊心和爱国热情。你如何评价史可法呢？请结合原文内容作答。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阅读下面材料，回答问题。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【材料一】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长沙某中学16岁男生阿涛（化名），近一年来学习和做事拖拉，成绩下降，经常头痛， 近日在医院做心理治疗。阿涛初中一直是年级前三名，今年高中开始寄宿，开学不久因生活小事与同学发生争执，觉得自己被孤立，再加上高中学习压力增大，他开始有拖延行为，甚 至厌学情绪，并还渐出现紧张、烦躁不安、食欲差、头痛、失眠等现象。医生与阿涛详细沟通后，诊断他为青少年情绪障碍。医生表示，阿涛的症状因拖延行为所致。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人们对拖延行为有不同的看法。有人认为，拖延是“时间杀手”，是一种恶习，是对自已的人生不负责任。也有人认为，拖延一下并不要紧。人们一般只对不喜欢做的和觉得拖一拖也没问题的事拖延。从某种角度上说，拖延其实是一种自我调节的机制。当你面对自己不喜欢做的事情时，拖一拖，能缓解你的不良情绪，让你能平静地面对要做的事情。把很多事情拖到最后一刻再做，往往能激发自身更大的潜能，完成任务的效率会更高。当然，大多数拖延症患者对自己的拖延症感到焦虑，也想改掉，却迟迟不采取行动。</w:t>
      </w:r>
    </w:p>
    <w:p>
      <w:pPr>
        <w:spacing w:line="360" w:lineRule="auto"/>
        <w:ind w:firstLine="286" w:firstLineChars="130"/>
        <w:jc w:val="right"/>
        <w:sectPr>
          <w:headerReference w:type="default" r:id="rId14"/>
          <w:footerReference w:type="default" r:id="rId15"/>
          <w:type w:val="nextPage"/>
          <w:pgSz w:w="11906" w:h="16838"/>
          <w:pgMar w:top="567" w:right="850" w:bottom="850" w:left="850" w:header="426" w:footer="515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选自《长沙晚报》有改动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【材料二】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心理学家认为，“拖延”是一种普遍的心理和行为现象。每个人都会有不同程度的拖延行为。当拖延行为成为一种牢固的行为习惯时，那就是患上了拖延症。调查表明：50%的中学生认为自己有拖延症，80%的大学生认为自己有拖延症，86%的职场人认为自己有拖延症，其中50%的职场人不拖到最后一刻不开始工作。拖延症常见的类型如下图：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3200400" cy="165925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1659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造成拖延症的原因很多，其中最重要的是主观因素：有的人因害怕失败，不想承担失败后果而拖延；有的人因过于追求完美，害怕达不到理想效果而拖延；有的人本身就懒情，不愿做事。其次，造成拖延症的原因也有外界因素，如任务过多或者难度过大，超出了个人的能力，会让人拖延或逃避任务。外界的诱惑尤其是娱乐方面的诱惑，也往往会导致拖延行为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【材料三】</w:t>
      </w:r>
    </w:p>
    <w:p>
      <w:pPr>
        <w:spacing w:line="360" w:lineRule="auto"/>
        <w:ind w:firstLine="42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如何克服拖延行为？医生表示，试着制定一些个人目标：将任务细化，使任务看上去更加简单、直接且具有可行性，并进行优先等级排序；每天留出一定的时间针对性做此事；学会暗示自己即刻开始行动；把重要的事情在自己工作效率最高时段优先做等。此外，注重日常生活的科学管理，如加强锻炼，保证睡眠充足，提高身体机能，避免因分心而造成拖延。同时，应尽量优化日常工作和学习环境，减少用手机等使人分心的事物，要选择在注意力集中的氛围中学习和工作。</w:t>
      </w:r>
    </w:p>
    <w:p>
      <w:pPr>
        <w:spacing w:line="360" w:lineRule="auto"/>
        <w:ind w:firstLine="420"/>
        <w:jc w:val="right"/>
      </w:pPr>
      <w:r>
        <w:rPr>
          <w:rFonts w:ascii="Times New Roman" w:hAnsi="Times New Roman"/>
          <w:b w:val="0"/>
          <w:i w:val="0"/>
          <w:color w:val="000000"/>
          <w:sz w:val="22"/>
        </w:rPr>
        <w:t>选自《长沙晚报》有改动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15．【理解推断】根据上面三则材料，下列说法正确的一项是（　　）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A．所有的成年人都认为拖延是“时间杀手”，是一种恶习。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B．调查发现，中学生、大学生、职场人三类人中，中学生的拖延症最为严重。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C．造成拖延症的客观因素主要有娱乐诱惑、追求完美，任务过多过难等。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D．大多数拖延症患者对自己的拖延症感到焦虑，也想改掉，却迟迟不采取行动。</w:t>
      </w:r>
    </w:p>
    <w:p>
      <w:pPr>
        <w:spacing w:line="360" w:lineRule="auto"/>
        <w:ind w:left="0"/>
        <w:jc w:val="left"/>
        <w:sectPr>
          <w:headerReference w:type="default" r:id="rId17"/>
          <w:footerReference w:type="default" r:id="rId18"/>
          <w:type w:val="nextPage"/>
          <w:pgSz w:w="11906" w:h="16838"/>
          <w:pgMar w:top="567" w:right="850" w:bottom="850" w:left="850" w:header="426" w:footer="515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16．【迁移运用】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一位学生患有拖延症，下面是对他的一份观察记录。假如你是一位自律监督师，请据材料二和材料三分析他拖延症的类型并给出对策。</w:t>
      </w:r>
    </w:p>
    <w:tbl>
      <w:tblPr>
        <w:tblStyle w:val="TableNormal"/>
        <w:tblW w:w="10076" w:type="dxa"/>
        <w:tblInd w:w="4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52"/>
        <w:gridCol w:w="6524"/>
      </w:tblGrid>
      <w:tr>
        <w:tblPrEx>
          <w:tblW w:w="10076" w:type="dxa"/>
          <w:tblInd w:w="4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76" w:type="dxa"/>
            <w:gridSpan w:val="2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观察记录</w:t>
            </w:r>
          </w:p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8点：起床，吃早餐。</w:t>
            </w:r>
          </w:p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9点：家长叫他做作业，他说时间还早，要休息一下，</w:t>
            </w:r>
          </w:p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11点：家长再催，他依然说时间还早，作业肯定能做完，绝对没问题。</w:t>
            </w:r>
          </w:p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12点：吃午饭，午休。</w:t>
            </w:r>
          </w:p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15点：开始做作业。</w:t>
            </w:r>
          </w:p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15点20分：跑去吃水果、听音乐。</w:t>
            </w:r>
          </w:p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17点：还在听音乐，家长问他作业是否完成，他说离明天上学还早呢，不着急。 第二天上学，老师给家长发来短信：您的孩子又没交作业！</w:t>
            </w:r>
          </w:p>
        </w:tc>
      </w:tr>
      <w:tr>
        <w:tblPrEx>
          <w:tblW w:w="10076" w:type="dxa"/>
          <w:tblInd w:w="4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76" w:type="dxa"/>
            <w:gridSpan w:val="2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自律监督师的分析和对策</w:t>
            </w:r>
          </w:p>
        </w:tc>
      </w:tr>
      <w:tr>
        <w:tblPrEx>
          <w:tblW w:w="10076" w:type="dxa"/>
          <w:tblInd w:w="4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拖延症的类型</w:t>
            </w:r>
          </w:p>
        </w:tc>
        <w:tc>
          <w:tcPr>
            <w:tcW w:w="652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  <w:textAlignment w:val="center"/>
            </w:pPr>
            <w:r>
              <w:rPr>
                <w:rFonts w:ascii="Calibri" w:hAnsi="Calibri"/>
                <w:b w:val="0"/>
                <w:i w:val="0"/>
                <w:color w:val="000000"/>
                <w:sz w:val="22"/>
              </w:rPr>
              <w:t>①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    　</w:t>
            </w:r>
          </w:p>
          <w:p>
            <w:pPr>
              <w:spacing w:line="360" w:lineRule="auto"/>
              <w:ind w:left="135"/>
              <w:jc w:val="left"/>
              <w:textAlignment w:val="center"/>
            </w:pPr>
            <w:r>
              <w:rPr>
                <w:rFonts w:ascii="Calibri" w:hAnsi="Calibri"/>
                <w:b w:val="0"/>
                <w:i w:val="0"/>
                <w:color w:val="000000"/>
                <w:sz w:val="22"/>
              </w:rPr>
              <w:t>②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    　</w:t>
            </w:r>
          </w:p>
        </w:tc>
      </w:tr>
      <w:tr>
        <w:tblPrEx>
          <w:tblW w:w="10076" w:type="dxa"/>
          <w:tblInd w:w="4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对策</w:t>
            </w:r>
          </w:p>
        </w:tc>
        <w:tc>
          <w:tcPr>
            <w:tcW w:w="652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  <w:textAlignment w:val="center"/>
            </w:pPr>
            <w:r>
              <w:rPr>
                <w:rFonts w:ascii="Calibri" w:hAnsi="Calibri"/>
                <w:b w:val="0"/>
                <w:i w:val="0"/>
                <w:color w:val="000000"/>
                <w:sz w:val="22"/>
              </w:rPr>
              <w:t>①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                                                                          　</w:t>
            </w:r>
          </w:p>
          <w:p>
            <w:pPr>
              <w:spacing w:line="360" w:lineRule="auto"/>
              <w:ind w:left="135"/>
              <w:jc w:val="left"/>
              <w:textAlignment w:val="center"/>
            </w:pPr>
            <w:r>
              <w:rPr>
                <w:rFonts w:ascii="Calibri" w:hAnsi="Calibri"/>
                <w:b w:val="0"/>
                <w:i w:val="0"/>
                <w:color w:val="000000"/>
                <w:sz w:val="22"/>
              </w:rPr>
              <w:t>②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                                                                                              　</w:t>
            </w:r>
          </w:p>
        </w:tc>
      </w:tr>
    </w:tbl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阅读下面的文章，回答问题。</w:t>
      </w:r>
    </w:p>
    <w:p>
      <w:pPr>
        <w:spacing w:line="360" w:lineRule="auto"/>
        <w:ind w:firstLine="286" w:firstLineChars="130"/>
        <w:jc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舍  得</w:t>
      </w:r>
    </w:p>
    <w:p>
      <w:pPr>
        <w:spacing w:line="360" w:lineRule="auto"/>
        <w:ind w:firstLine="286" w:firstLineChars="130"/>
        <w:jc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赵海宁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父亲去世10年后，在我的“软硬兼施”下，母亲终于同意来郑州跟着我——她最小的女儿一起生活。一天，母亲对先生说，星期天喊你那些朋友回家来吃饭吧，我都来了大半个月了，没见他们来过呢。妈，他们经常在外面聚呢。我替先生解释，母亲摇头，态度坚决地让先生在周末把他们带回家来聚一聚。</w:t>
      </w:r>
    </w:p>
    <w:p>
      <w:pPr>
        <w:spacing w:line="360" w:lineRule="auto"/>
        <w:ind w:firstLine="420"/>
        <w:jc w:val="left"/>
        <w:textAlignment w:val="center"/>
        <w:sectPr>
          <w:headerReference w:type="default" r:id="rId19"/>
          <w:footerReference w:type="default" r:id="rId20"/>
          <w:type w:val="nextPage"/>
          <w:pgSz w:w="11906" w:h="16838"/>
          <w:pgMar w:top="567" w:right="850" w:bottom="850" w:left="850" w:header="426" w:footer="515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Calibri" w:hAnsi="Calibri"/>
          <w:b w:val="0"/>
          <w:i w:val="0"/>
          <w:color w:val="000000"/>
          <w:sz w:val="22"/>
        </w:rPr>
        <w:t>②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周末一整天，母亲都在厨房忙碌。我望着母亲的身影，一丝温暖涌入心间。我将母亲做好的饭菜一一端出，那几个事业有成、几乎天天在饭店应酬的哥们，立刻被几盘小菜和面食小点吸引过去。其中一个忍不住伸手捏起一个菜饺，喃喃说，小时候最爱吃母亲做的菜饺了。母亲便把整盘菜饺端到他面前，说，喜欢就多吃，以后常来家里吃，我给你们做。那个男人点着头，眼圈忽然就红了，他的母亲已经去世多年，他已经很久没回过家乡了。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一个周末的下午，有人敲门，是住在对面的女人，端着一盆洗干净的大樱桃。女人有点儿不好意思地说，送给大娘尝尝。我诧异不已，当初搬过来时，因为装修走线的问题，我们和她家闹了点儿矛盾。现在她冷不丁送来刚刚上市的新鲜樱桃，我摸不着头脑，一时竟不知该说什么好。她的脸就那样红着，有点儿语无伦次：大娘做的点心，孩子可爱吃呢……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有一次，得知先生一个同事的孩子患了白血病，母亲要我们送些钱过去。因为是来往并不密切的同事，我们只想象征性地表示一下，母亲却坚决不答应，说，人这辈子，谁都可能会碰到难事，要舍得，好人一生平安。我们听了母亲的话。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⑤</w:t>
      </w:r>
      <w:r>
        <w:rPr>
          <w:rFonts w:ascii="Times New Roman" w:hAnsi="Times New Roman"/>
          <w:b w:val="0"/>
          <w:i w:val="0"/>
          <w:color w:val="000000"/>
          <w:sz w:val="22"/>
        </w:rPr>
        <w:t>母亲过来半年后，先生竟然意外升职了，在单位的推荐选票上，他的票数遥遥领先。先生回来笑着说，这是妈的功劳呢，我这票是妈给拉来的。我们才发现，最近我们的人际关系竟然空前好起来，那种好，明显地少了客套，多了真诚。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⑥</w:t>
      </w:r>
      <w:r>
        <w:rPr>
          <w:rFonts w:ascii="Times New Roman" w:hAnsi="Times New Roman"/>
          <w:b w:val="0"/>
          <w:i w:val="0"/>
          <w:color w:val="000000"/>
          <w:sz w:val="22"/>
        </w:rPr>
        <w:t>这几天天气出奇的煦暖，我很想带母亲到处走走。可母亲因为天生晕车，坐次车如生场大病，于是一概拒绝出门。那个周末，我灵机一动，妈，我骑车带你去。母亲笑着同意了。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⑦</w:t>
      </w:r>
      <w:r>
        <w:rPr>
          <w:rFonts w:ascii="Times New Roman" w:hAnsi="Times New Roman"/>
          <w:b w:val="0"/>
          <w:i w:val="0"/>
          <w:color w:val="000000"/>
          <w:sz w:val="22"/>
        </w:rPr>
        <w:t>小心地骑到路口，是红灯，我轻轻下车。还未站稳，一个警察从人流中穿过来，走到我面前说，不许带人你不知道吗？还在前面带。说完，埋头便开罚单。母亲愣了一下，攥着我的胳膊要下来，我赶忙扶稳她，跟那个年轻的警察说了声对不起，解释说，我母亲晕车，年纪大了，不能坐车，我想带她去动物园看看…… 警察愣了一下，这才看清我带的是一位老人，还不等他说什么，母亲责备我，你怎么不告诉我城里骑车不让带人呢？便急着要下来。我正不知所措，那个警察伸手一把搀住了母亲，大娘，对不起，是我没有看清楚，城里只是不让骑车带孩子——您坐好。他忽然抬起胳膊，向母亲庄重地敬了个礼。然后转身，举旗，以我从未见过的飒爽英姿打起标准的手势：杂乱的人群霎时腾出一个空间，两边前行车辆魔法般定住。年轻英俊的警察用还未脱去稚嫩的笑脸看着我，招手示意我通过。我带着母亲，缓缓地行走在熙攘的人群中劈开的一条人行道上。车辆静止，行人驻足，世界突然安静，空气里流动着一种久违的温情——我带着母亲在众人的目光里骄傲前行。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⑧</w:t>
      </w:r>
      <w:r>
        <w:rPr>
          <w:rFonts w:ascii="Times New Roman" w:hAnsi="Times New Roman"/>
          <w:b w:val="0"/>
          <w:i w:val="0"/>
          <w:color w:val="000000"/>
          <w:sz w:val="22"/>
        </w:rPr>
        <w:t>这是我有生以来第一次受到如此特殊，如此温情，如此厚重的礼遇。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⑨</w:t>
      </w:r>
      <w:r>
        <w:rPr>
          <w:rFonts w:ascii="Times New Roman" w:hAnsi="Times New Roman"/>
          <w:b w:val="0"/>
          <w:i w:val="0"/>
          <w:color w:val="000000"/>
          <w:sz w:val="22"/>
        </w:rPr>
        <w:t>母亲是在跟我住的第三年查出肺癌的。那天，母亲对我说，你爸他想我了。妈，可是我舍不得。梅，这次，你得舍得。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她笑起来，眼睛里面蓄满了暖暖的光亮，手轻轻地拍打着我的手背。</w:t>
      </w:r>
      <w:r>
        <w:rPr>
          <w:rFonts w:ascii="Times New Roman" w:hAnsi="Times New Roman"/>
          <w:b w:val="0"/>
          <w:i w:val="0"/>
          <w:color w:val="000000"/>
          <w:sz w:val="22"/>
        </w:rPr>
        <w:t>但是这一次，母亲，我舍不得。我说不出来，心就那么疼啊，疼得碎掉了。</w:t>
      </w:r>
    </w:p>
    <w:p>
      <w:pPr>
        <w:spacing w:line="360" w:lineRule="auto"/>
        <w:ind w:firstLine="420"/>
        <w:jc w:val="left"/>
        <w:textAlignment w:val="center"/>
        <w:sectPr>
          <w:headerReference w:type="default" r:id="rId21"/>
          <w:footerReference w:type="default" r:id="rId22"/>
          <w:type w:val="nextPage"/>
          <w:pgSz w:w="11906" w:h="16838"/>
          <w:pgMar w:top="567" w:right="850" w:bottom="850" w:left="850" w:header="426" w:footer="515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Calibri" w:hAnsi="Calibri"/>
          <w:b w:val="0"/>
          <w:i w:val="0"/>
          <w:color w:val="000000"/>
          <w:sz w:val="22"/>
        </w:rPr>
        <w:t>⑩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母亲走的那天，送葬的队伍浩浩荡荡，从村头排到村尾，除了亲戚，还有我和先生的同学、朋友、同事，以及我们社区前后左右的邻居们……很多很多人，有些是我见过但不熟悉的，有些是我根本就不认识的，大家神情肃穆，流露出哀伤和不舍。一位老奶奶跟我说，闺女啊，你娘前世积的什么德哟，我这辈子可从来没见过这么大的场面啊！</w:t>
      </w:r>
    </w:p>
    <w:p>
      <w:pPr>
        <w:spacing w:line="360" w:lineRule="auto"/>
        <w:ind w:firstLine="286" w:firstLineChars="130"/>
        <w:jc w:val="right"/>
      </w:pPr>
      <w:r>
        <w:rPr>
          <w:rFonts w:ascii="Times New Roman" w:hAnsi="Times New Roman"/>
          <w:b w:val="0"/>
          <w:i w:val="0"/>
          <w:color w:val="000000"/>
          <w:sz w:val="22"/>
        </w:rPr>
        <w:t>（本文有删改）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17．【梳理概括】文章记叙了母亲的许多事情，也穿插着“我”身处其中的心理活动，请根据文章内容补全下面的表格。</w:t>
      </w:r>
    </w:p>
    <w:tbl>
      <w:tblPr>
        <w:tblStyle w:val="TableNormal"/>
        <w:tblW w:w="10225" w:type="dxa"/>
        <w:tblInd w:w="-18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9"/>
        <w:gridCol w:w="5265"/>
        <w:gridCol w:w="3291"/>
      </w:tblGrid>
      <w:tr>
        <w:tblPrEx>
          <w:tblW w:w="10225" w:type="dxa"/>
          <w:tblInd w:w="-18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时间</w:t>
            </w:r>
          </w:p>
        </w:tc>
        <w:tc>
          <w:tcPr>
            <w:tcW w:w="526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与母亲相关的事情</w:t>
            </w:r>
          </w:p>
        </w:tc>
        <w:tc>
          <w:tcPr>
            <w:tcW w:w="32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“我”的心理活动</w:t>
            </w:r>
          </w:p>
        </w:tc>
      </w:tr>
      <w:tr>
        <w:tblPrEx>
          <w:tblW w:w="10225" w:type="dxa"/>
          <w:tblInd w:w="-1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周末</w:t>
            </w:r>
          </w:p>
        </w:tc>
        <w:tc>
          <w:tcPr>
            <w:tcW w:w="526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母亲为先生的同事做美食</w:t>
            </w:r>
          </w:p>
        </w:tc>
        <w:tc>
          <w:tcPr>
            <w:tcW w:w="32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温暖</w:t>
            </w:r>
          </w:p>
        </w:tc>
      </w:tr>
      <w:tr>
        <w:tblPrEx>
          <w:tblW w:w="10225" w:type="dxa"/>
          <w:tblInd w:w="-1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有一次</w:t>
            </w:r>
          </w:p>
        </w:tc>
        <w:tc>
          <w:tcPr>
            <w:tcW w:w="526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母亲坚持让我们送钱给孩子患病的同事</w:t>
            </w:r>
          </w:p>
        </w:tc>
        <w:tc>
          <w:tcPr>
            <w:tcW w:w="32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顺从</w:t>
            </w:r>
          </w:p>
        </w:tc>
      </w:tr>
      <w:tr>
        <w:tblPrEx>
          <w:tblW w:w="10225" w:type="dxa"/>
          <w:tblInd w:w="-1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半年后</w:t>
            </w:r>
          </w:p>
        </w:tc>
        <w:tc>
          <w:tcPr>
            <w:tcW w:w="526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  <w:textAlignment w:val="center"/>
            </w:pPr>
            <w:r>
              <w:rPr>
                <w:rFonts w:ascii="Calibri" w:hAnsi="Calibri"/>
                <w:b w:val="0"/>
                <w:i w:val="0"/>
                <w:color w:val="000000"/>
                <w:sz w:val="22"/>
              </w:rPr>
              <w:t>①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                      　</w:t>
            </w:r>
          </w:p>
        </w:tc>
        <w:tc>
          <w:tcPr>
            <w:tcW w:w="32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骄傲</w:t>
            </w:r>
          </w:p>
        </w:tc>
      </w:tr>
      <w:tr>
        <w:tblPrEx>
          <w:tblW w:w="10225" w:type="dxa"/>
          <w:tblInd w:w="-1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那天</w:t>
            </w:r>
          </w:p>
        </w:tc>
        <w:tc>
          <w:tcPr>
            <w:tcW w:w="526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母亲检查出肺癌</w:t>
            </w:r>
          </w:p>
        </w:tc>
        <w:tc>
          <w:tcPr>
            <w:tcW w:w="32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  <w:textAlignment w:val="center"/>
            </w:pPr>
            <w:r>
              <w:rPr>
                <w:rFonts w:ascii="Calibri" w:hAnsi="Calibri"/>
                <w:b w:val="0"/>
                <w:i w:val="0"/>
                <w:color w:val="000000"/>
                <w:sz w:val="22"/>
              </w:rPr>
              <w:t>②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</w:tr>
    </w:tbl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18．【分析鉴赏】请从描写的角度，赏析文章中第</w:t>
      </w:r>
      <w:r>
        <w:rPr>
          <w:rFonts w:ascii="Calibri" w:hAnsi="Calibri"/>
          <w:b w:val="0"/>
          <w:i w:val="0"/>
          <w:color w:val="000000"/>
          <w:sz w:val="22"/>
        </w:rPr>
        <w:t>⑨</w:t>
      </w:r>
      <w:r>
        <w:rPr>
          <w:rFonts w:ascii="Times New Roman" w:hAnsi="Times New Roman"/>
          <w:b w:val="0"/>
          <w:i w:val="0"/>
          <w:color w:val="000000"/>
          <w:sz w:val="22"/>
        </w:rPr>
        <w:t>段划横线的句子。</w:t>
      </w:r>
    </w:p>
    <w:p>
      <w:pPr>
        <w:spacing w:line="360" w:lineRule="auto"/>
        <w:ind w:firstLine="42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/>
          <w:b w:val="0"/>
          <w:i w:val="0"/>
          <w:color w:val="000000"/>
          <w:sz w:val="22"/>
        </w:rPr>
        <w:t>她笑起来，眼睛里面蓄满了暖暖的光亮，手轻轻地拍打着我的手背。</w:t>
      </w: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19．【分析探究】请简要概括文中“母亲”的性格特点。结合文章以及下面的链接材料，谈一谈你对“舍得”一词的理解？ </w:t>
      </w: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/>
          <w:b w:val="0"/>
          <w:i w:val="0"/>
          <w:color w:val="000000"/>
          <w:sz w:val="22"/>
        </w:rPr>
        <w:t>【链接材料】以前，在农村有这样一个习俗。每当柿子成熟的季节，农民不会把柿子全都摘光，总会特意留下几颗柿子挂在枝头。一来是为了给路过的行人享用；二来是留给鸟儿过冬的时候食用，让它们能够存活下来。这样一来，来年春天，鸟儿就能够捉树上的虫子，让柿子“安然无恙”地生长。</w:t>
      </w: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阅读下面的片段，回答问题。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【文段一】</w:t>
      </w:r>
    </w:p>
    <w:p>
      <w:pPr>
        <w:spacing w:line="360" w:lineRule="auto"/>
        <w:ind w:firstLine="42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从远古的墓莹/从黑暗的年代/从人类死亡之流的那边/震惊沉睡的山脉/若火轮飞旋于沙丘之上/太阳向我滚来……</w:t>
      </w:r>
    </w:p>
    <w:p>
      <w:pPr>
        <w:spacing w:line="360" w:lineRule="auto"/>
        <w:ind w:firstLine="420"/>
        <w:jc w:val="left"/>
        <w:sectPr>
          <w:headerReference w:type="default" r:id="rId23"/>
          <w:footerReference w:type="default" r:id="rId24"/>
          <w:type w:val="nextPage"/>
          <w:pgSz w:w="11906" w:h="16838"/>
          <w:pgMar w:top="567" w:right="850" w:bottom="850" w:left="850" w:header="426" w:footer="515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它以难掩的光芒/使生命呼吸/使高树繁枝向它舞蹈/使河流带着狂歌奔向它去</w:t>
      </w:r>
    </w:p>
    <w:p>
      <w:pPr>
        <w:spacing w:line="360" w:lineRule="auto"/>
        <w:ind w:firstLine="42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当它来时，我听见/冬蛰的虫蛹转动于地下/群众在旷场上高声说话/城市从远方/用电力与钢铁召唤它</w:t>
      </w:r>
    </w:p>
    <w:p>
      <w:pPr>
        <w:spacing w:line="360" w:lineRule="auto"/>
        <w:ind w:firstLine="42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于是我的心胸/被火焰之手撕开/陈腐的灵魂/搁弃在河畔/我乃有对于人类再生之确信</w:t>
      </w:r>
    </w:p>
    <w:p>
      <w:pPr>
        <w:spacing w:line="360" w:lineRule="auto"/>
        <w:ind w:firstLine="286" w:firstLineChars="130"/>
        <w:jc w:val="right"/>
      </w:pPr>
      <w:r>
        <w:rPr>
          <w:rFonts w:ascii="Times New Roman" w:hAnsi="Times New Roman"/>
          <w:b w:val="0"/>
          <w:i w:val="0"/>
          <w:color w:val="000000"/>
          <w:sz w:val="22"/>
        </w:rPr>
        <w:t>——艾青《太阳》，写于一九三七年春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【文段二】</w:t>
      </w:r>
    </w:p>
    <w:p>
      <w:pPr>
        <w:spacing w:line="360" w:lineRule="auto"/>
        <w:ind w:firstLine="42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有篇言语，单道梁山泊的好处，怎见得：八方共域，异姓一家。天地显罡煞之精，人境合杰灵之美。千里面朝夕相见，一寸心死生可同。相貌语言，南北东西虽各别；心情肝胆，忠诚信义并无差。其人则有帝子神孙，富豪将吏，并三教九流，乃至猎户渔人，屠儿刽子，都一般儿哥弟称呼，不分贵贱；且又有同胞手足，捉对夫妻，与叔侄郎舅，以及跟随主仆，争冤雠，皆一样的酒筵欢乐，无问亲疏。或精灵，或粗卤，或村朴，或风流，何尝相碍，果然识性同居；或笔舌，或刀枪，或奔驰，或偷骗，各有偏长，真是随才器使。可恨的是假文墨，没奈何著一个「圣手书生」，聊存风雅；最恼的是大头巾，幸喜得先杀却「白衣秀士」，洗尽酸悭。地方四五百里，英雄一百八人。昔时常说江湖上闻名，似古楼钟声声传播；今日始知星辰中列姓，如念珠子个个连牵。在晁盖恐托胆称王，归天及早；惟宋江肯呼群保义，把寨为头。休言啸聚山林，早愿瞻依廊庙。八方英城，异姓一家。天地。</w:t>
      </w:r>
    </w:p>
    <w:p>
      <w:pPr>
        <w:spacing w:line="360" w:lineRule="auto"/>
        <w:ind w:firstLine="286" w:firstLineChars="130"/>
        <w:jc w:val="right"/>
      </w:pPr>
      <w:r>
        <w:rPr>
          <w:rFonts w:ascii="Times New Roman" w:hAnsi="Times New Roman"/>
          <w:b w:val="0"/>
          <w:i w:val="0"/>
          <w:color w:val="000000"/>
          <w:sz w:val="22"/>
        </w:rPr>
        <w:t>——《水浒传）第七十一回《忠义堂石碣受天文 梁山泊英雄排座次》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20．下列各项中，表述正确的一项是（　　）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A．“太阳”“月亮”“鸟”和“土地”是艾青早期诗歌中最常见的几个意象。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B．20世纪30年代，艾青的诗歌特点是诗句整齐，诗情深沉，诗意警策。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C．《水浒传》中，武松绰号行者，其最大的形象特点是忍辱负重、谨慎克制。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D．《水浒传》中与鲁达有关的情节有大闹野猪林、大闹五台山、拳打镇关西等。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/>
          <w:b w:val="0"/>
          <w:i w:val="0"/>
          <w:color w:val="000000"/>
          <w:sz w:val="22"/>
        </w:rPr>
        <w:t>21．理想，是西南联大师生心中不灭的灯塔，指引着他们于黑暗中前行。请根据以上两个文段，联系创作背景，简析《艾青诗选》和《水浒传》分别体现了作者怎样的理想。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rPr>
          <w:rFonts w:ascii="黑体" w:eastAsia="黑体" w:hAnsi="黑体" w:cs="黑体" w:hint="eastAsia"/>
          <w:b/>
          <w:bCs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____________________________________________________________________________________</w:t>
      </w:r>
    </w:p>
    <w:p>
      <w:pPr>
        <w:rPr>
          <w:rFonts w:hint="eastAsia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三、表达与写作（共56分）</w:t>
      </w:r>
    </w:p>
    <w:p>
      <w:pPr>
        <w:spacing w:line="360" w:lineRule="auto"/>
        <w:ind w:left="0"/>
        <w:jc w:val="left"/>
      </w:pPr>
      <w:r>
        <w:t>22．</w:t>
      </w:r>
      <w:r>
        <w:rPr>
          <w:rFonts w:ascii="Times New Roman" w:hAnsi="Times New Roman"/>
          <w:b w:val="0"/>
          <w:i w:val="0"/>
          <w:color w:val="000000"/>
          <w:sz w:val="22"/>
        </w:rPr>
        <w:t>下面图1中是最近的网络热词，请任选三个，参考图2“写作小贴士”，有创意地表达，写一段连贯的话，体现中学生眼中的正能量，不少于120字。</w:t>
      </w:r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https://d.book118.com/696115152131010033</w:t>
        </w:r>
      </w:hyperlink>
    </w:p>
    <w:p>
      <w:pPr>
        <w:spacing w:line="360" w:lineRule="auto"/>
        <w:ind w:left="0"/>
        <w:jc w:val="left"/>
      </w:pPr>
    </w:p>
    <w:sectPr>
      <w:headerReference w:type="default" r:id="rId26"/>
      <w:footerReference w:type="default" r:id="rId27"/>
      <w:type w:val="nextPage"/>
      <w:pgSz w:w="11906" w:h="16838"/>
      <w:pgMar w:top="567" w:right="850" w:bottom="850" w:left="850" w:header="426" w:footer="515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jc w:val="center"/>
      <w:rPr>
        <w:rFonts w:ascii="微软雅黑" w:eastAsia="微软雅黑" w:hAnsi="微软雅黑"/>
      </w:rPr>
    </w:pP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jc w:val="center"/>
      <w:rPr>
        <w:rFonts w:ascii="微软雅黑" w:eastAsia="微软雅黑" w:hAnsi="微软雅黑"/>
      </w:rPr>
    </w:pP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jc w:val="center"/>
      <w:rPr>
        <w:rFonts w:ascii="微软雅黑" w:eastAsia="微软雅黑" w:hAnsi="微软雅黑"/>
      </w:rPr>
    </w:pP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4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jc w:val="center"/>
      <w:rPr>
        <w:rFonts w:ascii="微软雅黑" w:eastAsia="微软雅黑" w:hAnsi="微软雅黑"/>
      </w:rPr>
    </w:pP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4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jc w:val="center"/>
      <w:rPr>
        <w:rFonts w:ascii="微软雅黑" w:eastAsia="微软雅黑" w:hAnsi="微软雅黑"/>
      </w:rPr>
    </w:pP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5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jc w:val="center"/>
      <w:rPr>
        <w:rFonts w:ascii="微软雅黑" w:eastAsia="微软雅黑" w:hAnsi="微软雅黑"/>
      </w:rPr>
    </w:pP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6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jc w:val="center"/>
      <w:rPr>
        <w:rFonts w:ascii="微软雅黑" w:eastAsia="微软雅黑" w:hAnsi="微软雅黑"/>
      </w:rPr>
    </w:pP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7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jc w:val="center"/>
      <w:rPr>
        <w:rFonts w:ascii="微软雅黑" w:eastAsia="微软雅黑" w:hAnsi="微软雅黑"/>
      </w:rPr>
    </w:pP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jc w:val="center"/>
      <w:rPr>
        <w:rFonts w:ascii="微软雅黑" w:eastAsia="微软雅黑" w:hAnsi="微软雅黑"/>
      </w:rPr>
    </w:pP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jc w:val="center"/>
      <w:rPr>
        <w:rFonts w:ascii="微软雅黑" w:eastAsia="微软雅黑" w:hAnsi="微软雅黑"/>
      </w:rPr>
    </w:pP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1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083"/>
    <w:rsid w:val="001957A4"/>
    <w:rsid w:val="001C2E01"/>
    <w:rsid w:val="0023135B"/>
    <w:rsid w:val="002A3E4C"/>
    <w:rsid w:val="002F2B6F"/>
    <w:rsid w:val="004C353A"/>
    <w:rsid w:val="00530734"/>
    <w:rsid w:val="00534152"/>
    <w:rsid w:val="00534887"/>
    <w:rsid w:val="0071385B"/>
    <w:rsid w:val="00762740"/>
    <w:rsid w:val="007E26CD"/>
    <w:rsid w:val="008F3083"/>
    <w:rsid w:val="00B85EF2"/>
    <w:rsid w:val="00BE4FA2"/>
    <w:rsid w:val="00FA5B34"/>
    <w:rsid w:val="7ED72BB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header" Target="header4.xml" /><Relationship Id="rId13" Type="http://schemas.openxmlformats.org/officeDocument/2006/relationships/footer" Target="footer4.xm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image" Target="media/image2.png" /><Relationship Id="rId17" Type="http://schemas.openxmlformats.org/officeDocument/2006/relationships/header" Target="header6.xml" /><Relationship Id="rId18" Type="http://schemas.openxmlformats.org/officeDocument/2006/relationships/footer" Target="footer6.xml" /><Relationship Id="rId19" Type="http://schemas.openxmlformats.org/officeDocument/2006/relationships/header" Target="header7.xml" /><Relationship Id="rId2" Type="http://schemas.openxmlformats.org/officeDocument/2006/relationships/webSettings" Target="webSettings.xml" /><Relationship Id="rId20" Type="http://schemas.openxmlformats.org/officeDocument/2006/relationships/footer" Target="footer7.xml" /><Relationship Id="rId21" Type="http://schemas.openxmlformats.org/officeDocument/2006/relationships/header" Target="header8.xml" /><Relationship Id="rId22" Type="http://schemas.openxmlformats.org/officeDocument/2006/relationships/footer" Target="footer8.xml" /><Relationship Id="rId23" Type="http://schemas.openxmlformats.org/officeDocument/2006/relationships/header" Target="header9.xml" /><Relationship Id="rId24" Type="http://schemas.openxmlformats.org/officeDocument/2006/relationships/footer" Target="footer9.xml" /><Relationship Id="rId25" Type="http://schemas.openxmlformats.org/officeDocument/2006/relationships/hyperlink" Target="https://d.book118.com/696115152131010033" TargetMode="External" /><Relationship Id="rId26" Type="http://schemas.openxmlformats.org/officeDocument/2006/relationships/header" Target="header10.xml" /><Relationship Id="rId27" Type="http://schemas.openxmlformats.org/officeDocument/2006/relationships/footer" Target="footer10.xml" /><Relationship Id="rId28" Type="http://schemas.openxmlformats.org/officeDocument/2006/relationships/theme" Target="theme/theme1.xml" /><Relationship Id="rId29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image" Target="media/image1.png" /><Relationship Id="rId8" Type="http://schemas.openxmlformats.org/officeDocument/2006/relationships/header" Target="header2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13</Pages>
  <Words>0</Words>
  <Characters>0</Characters>
  <Application>Microsoft Office Word</Application>
  <DocSecurity>0</DocSecurity>
  <Lines>0</Lines>
  <Paragraphs>0</Paragraphs>
  <ScaleCrop>false</ScaleCrop>
  <Company>出卷网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湖南省长沙市2023年中考语文全真模拟试卷04</dc:title>
  <dc:subject>chujuan.cn</dc:subject>
  <dc:creator>www.chujuan.cn</dc:creator>
  <dc:description>中小学教师出卷，试卷下载</dc:description>
  <cp:lastModifiedBy>Administrator</cp:lastModifiedBy>
  <cp:revision>5</cp:revision>
  <dcterms:created xsi:type="dcterms:W3CDTF">2021-12-20T01:40:00Z</dcterms:created>
  <dcterms:modified xsi:type="dcterms:W3CDTF">2024-01-09T08:44:01Z</dcterms:modified>
  <cp:category>出卷宝; 出卷网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