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时间频率计量标准器具项目规划设计方案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13" w:history="1">
        <w:r>
          <w:rPr>
            <w:rFonts w:ascii="仿宋" w:eastAsia="仿宋" w:hAnsi="仿宋" w:cs="仿宋" w:hint="eastAsia"/>
            <w:lang w:eastAsia="zh-CN"/>
          </w:rPr>
          <w:t>前言</w:t>
        </w:r>
        <w:r>
          <w:tab/>
        </w:r>
        <w:r>
          <w:fldChar w:fldCharType="begin"/>
        </w:r>
        <w:r>
          <w:instrText xml:space="preserve"> PAGEREF _Toc5913 \h </w:instrText>
        </w:r>
        <w:r>
          <w:fldChar w:fldCharType="separate"/>
        </w:r>
        <w:r>
          <w:t>3</w:t>
        </w:r>
        <w:r>
          <w:fldChar w:fldCharType="end"/>
        </w:r>
      </w:hyperlink>
    </w:p>
    <w:p>
      <w:pPr>
        <w:pStyle w:val="TOC1"/>
        <w:tabs>
          <w:tab w:val="right" w:leader="dot" w:pos="8306"/>
        </w:tabs>
      </w:pPr>
      <w:hyperlink w:anchor="_Toc14627" w:history="1">
        <w:r>
          <w:rPr>
            <w:rFonts w:ascii="仿宋" w:eastAsia="仿宋" w:hAnsi="仿宋" w:cs="仿宋" w:hint="eastAsia"/>
            <w:lang w:eastAsia="zh-CN"/>
          </w:rPr>
          <w:t>一、时间频率计量标准器具项目建设单位说明</w:t>
        </w:r>
        <w:r>
          <w:tab/>
        </w:r>
        <w:r>
          <w:fldChar w:fldCharType="begin"/>
        </w:r>
        <w:r>
          <w:instrText xml:space="preserve"> PAGEREF _Toc14627 \h </w:instrText>
        </w:r>
        <w:r>
          <w:fldChar w:fldCharType="separate"/>
        </w:r>
        <w:r>
          <w:t>3</w:t>
        </w:r>
        <w:r>
          <w:fldChar w:fldCharType="end"/>
        </w:r>
      </w:hyperlink>
    </w:p>
    <w:p>
      <w:pPr>
        <w:pStyle w:val="TOC2"/>
        <w:tabs>
          <w:tab w:val="right" w:leader="dot" w:pos="8306"/>
        </w:tabs>
      </w:pPr>
      <w:hyperlink w:anchor="_Toc13632" w:history="1">
        <w:r>
          <w:rPr>
            <w:rFonts w:ascii="仿宋" w:eastAsia="仿宋" w:hAnsi="仿宋" w:cs="仿宋" w:hint="eastAsia"/>
            <w:lang w:eastAsia="zh-CN"/>
          </w:rPr>
          <w:t>(一)、时间频率计量标准器具项目承办单位基本情况</w:t>
        </w:r>
        <w:r>
          <w:tab/>
        </w:r>
        <w:r>
          <w:fldChar w:fldCharType="begin"/>
        </w:r>
        <w:r>
          <w:instrText xml:space="preserve"> PAGEREF _Toc13632 \h </w:instrText>
        </w:r>
        <w:r>
          <w:fldChar w:fldCharType="separate"/>
        </w:r>
        <w:r>
          <w:t>3</w:t>
        </w:r>
        <w:r>
          <w:fldChar w:fldCharType="end"/>
        </w:r>
      </w:hyperlink>
    </w:p>
    <w:p>
      <w:pPr>
        <w:pStyle w:val="TOC2"/>
        <w:tabs>
          <w:tab w:val="right" w:leader="dot" w:pos="8306"/>
        </w:tabs>
      </w:pPr>
      <w:hyperlink w:anchor="_Toc20650" w:history="1">
        <w:r>
          <w:rPr>
            <w:rFonts w:ascii="仿宋" w:eastAsia="仿宋" w:hAnsi="仿宋" w:cs="仿宋" w:hint="eastAsia"/>
            <w:lang w:eastAsia="zh-CN"/>
          </w:rPr>
          <w:t>(二)、公司经济效益分析</w:t>
        </w:r>
        <w:r>
          <w:tab/>
        </w:r>
        <w:r>
          <w:fldChar w:fldCharType="begin"/>
        </w:r>
        <w:r>
          <w:instrText xml:space="preserve"> PAGEREF _Toc20650 \h </w:instrText>
        </w:r>
        <w:r>
          <w:fldChar w:fldCharType="separate"/>
        </w:r>
        <w:r>
          <w:t>4</w:t>
        </w:r>
        <w:r>
          <w:fldChar w:fldCharType="end"/>
        </w:r>
      </w:hyperlink>
    </w:p>
    <w:p>
      <w:pPr>
        <w:pStyle w:val="TOC1"/>
        <w:tabs>
          <w:tab w:val="right" w:leader="dot" w:pos="8306"/>
        </w:tabs>
      </w:pPr>
      <w:hyperlink w:anchor="_Toc27612" w:history="1">
        <w:r>
          <w:rPr>
            <w:rFonts w:ascii="仿宋" w:eastAsia="仿宋" w:hAnsi="仿宋" w:cs="仿宋" w:hint="eastAsia"/>
            <w:lang w:eastAsia="zh-CN"/>
          </w:rPr>
          <w:t>二、时间频率计量标准器具项目绩效评估</w:t>
        </w:r>
        <w:r>
          <w:tab/>
        </w:r>
        <w:r>
          <w:fldChar w:fldCharType="begin"/>
        </w:r>
        <w:r>
          <w:instrText xml:space="preserve"> PAGEREF _Toc27612 \h </w:instrText>
        </w:r>
        <w:r>
          <w:fldChar w:fldCharType="separate"/>
        </w:r>
        <w:r>
          <w:t>5</w:t>
        </w:r>
        <w:r>
          <w:fldChar w:fldCharType="end"/>
        </w:r>
      </w:hyperlink>
    </w:p>
    <w:p>
      <w:pPr>
        <w:pStyle w:val="TOC2"/>
        <w:tabs>
          <w:tab w:val="right" w:leader="dot" w:pos="8306"/>
        </w:tabs>
      </w:pPr>
      <w:hyperlink w:anchor="_Toc15331" w:history="1">
        <w:r>
          <w:rPr>
            <w:rFonts w:ascii="仿宋" w:eastAsia="仿宋" w:hAnsi="仿宋" w:cs="仿宋" w:hint="eastAsia"/>
            <w:lang w:eastAsia="zh-CN"/>
          </w:rPr>
          <w:t>(一)、绩效评估指标</w:t>
        </w:r>
        <w:r>
          <w:tab/>
        </w:r>
        <w:r>
          <w:fldChar w:fldCharType="begin"/>
        </w:r>
        <w:r>
          <w:instrText xml:space="preserve"> PAGEREF _Toc15331 \h </w:instrText>
        </w:r>
        <w:r>
          <w:fldChar w:fldCharType="separate"/>
        </w:r>
        <w:r>
          <w:t>5</w:t>
        </w:r>
        <w:r>
          <w:fldChar w:fldCharType="end"/>
        </w:r>
      </w:hyperlink>
    </w:p>
    <w:p>
      <w:pPr>
        <w:pStyle w:val="TOC2"/>
        <w:tabs>
          <w:tab w:val="right" w:leader="dot" w:pos="8306"/>
        </w:tabs>
      </w:pPr>
      <w:hyperlink w:anchor="_Toc26925" w:history="1">
        <w:r>
          <w:rPr>
            <w:rFonts w:ascii="仿宋" w:eastAsia="仿宋" w:hAnsi="仿宋" w:cs="仿宋" w:hint="eastAsia"/>
            <w:lang w:eastAsia="zh-CN"/>
          </w:rPr>
          <w:t>(二)、绩效评估方法</w:t>
        </w:r>
        <w:r>
          <w:tab/>
        </w:r>
        <w:r>
          <w:fldChar w:fldCharType="begin"/>
        </w:r>
        <w:r>
          <w:instrText xml:space="preserve"> PAGEREF _Toc26925 \h </w:instrText>
        </w:r>
        <w:r>
          <w:fldChar w:fldCharType="separate"/>
        </w:r>
        <w:r>
          <w:t>6</w:t>
        </w:r>
        <w:r>
          <w:fldChar w:fldCharType="end"/>
        </w:r>
      </w:hyperlink>
    </w:p>
    <w:p>
      <w:pPr>
        <w:pStyle w:val="TOC2"/>
        <w:tabs>
          <w:tab w:val="right" w:leader="dot" w:pos="8306"/>
        </w:tabs>
      </w:pPr>
      <w:hyperlink w:anchor="_Toc17056" w:history="1">
        <w:r>
          <w:rPr>
            <w:rFonts w:ascii="仿宋" w:eastAsia="仿宋" w:hAnsi="仿宋" w:cs="仿宋" w:hint="eastAsia"/>
            <w:lang w:eastAsia="zh-CN"/>
          </w:rPr>
          <w:t>(三)、绩效评估周期</w:t>
        </w:r>
        <w:r>
          <w:tab/>
        </w:r>
        <w:r>
          <w:fldChar w:fldCharType="begin"/>
        </w:r>
        <w:r>
          <w:instrText xml:space="preserve"> PAGEREF _Toc17056 \h </w:instrText>
        </w:r>
        <w:r>
          <w:fldChar w:fldCharType="separate"/>
        </w:r>
        <w:r>
          <w:t>7</w:t>
        </w:r>
        <w:r>
          <w:fldChar w:fldCharType="end"/>
        </w:r>
      </w:hyperlink>
    </w:p>
    <w:p>
      <w:pPr>
        <w:pStyle w:val="TOC1"/>
        <w:tabs>
          <w:tab w:val="right" w:leader="dot" w:pos="8306"/>
        </w:tabs>
      </w:pPr>
      <w:hyperlink w:anchor="_Toc9730" w:history="1">
        <w:r>
          <w:rPr>
            <w:rFonts w:ascii="仿宋" w:eastAsia="仿宋" w:hAnsi="仿宋" w:cs="仿宋" w:hint="eastAsia"/>
            <w:lang w:eastAsia="zh-CN"/>
          </w:rPr>
          <w:t>三、产品规划分析</w:t>
        </w:r>
        <w:r>
          <w:tab/>
        </w:r>
        <w:r>
          <w:fldChar w:fldCharType="begin"/>
        </w:r>
        <w:r>
          <w:instrText xml:space="preserve"> PAGEREF _Toc9730 \h </w:instrText>
        </w:r>
        <w:r>
          <w:fldChar w:fldCharType="separate"/>
        </w:r>
        <w:r>
          <w:t>8</w:t>
        </w:r>
        <w:r>
          <w:fldChar w:fldCharType="end"/>
        </w:r>
      </w:hyperlink>
    </w:p>
    <w:p>
      <w:pPr>
        <w:pStyle w:val="TOC2"/>
        <w:tabs>
          <w:tab w:val="right" w:leader="dot" w:pos="8306"/>
        </w:tabs>
      </w:pPr>
      <w:hyperlink w:anchor="_Toc12694" w:history="1">
        <w:r>
          <w:rPr>
            <w:rFonts w:ascii="仿宋" w:eastAsia="仿宋" w:hAnsi="仿宋" w:cs="仿宋" w:hint="eastAsia"/>
            <w:lang w:eastAsia="zh-CN"/>
          </w:rPr>
          <w:t>(一)、产品规划</w:t>
        </w:r>
        <w:r>
          <w:tab/>
        </w:r>
        <w:r>
          <w:fldChar w:fldCharType="begin"/>
        </w:r>
        <w:r>
          <w:instrText xml:space="preserve"> PAGEREF _Toc12694 \h </w:instrText>
        </w:r>
        <w:r>
          <w:fldChar w:fldCharType="separate"/>
        </w:r>
        <w:r>
          <w:t>8</w:t>
        </w:r>
        <w:r>
          <w:fldChar w:fldCharType="end"/>
        </w:r>
      </w:hyperlink>
    </w:p>
    <w:p>
      <w:pPr>
        <w:pStyle w:val="TOC2"/>
        <w:tabs>
          <w:tab w:val="right" w:leader="dot" w:pos="8306"/>
        </w:tabs>
      </w:pPr>
      <w:hyperlink w:anchor="_Toc7899" w:history="1">
        <w:r>
          <w:rPr>
            <w:rFonts w:ascii="仿宋" w:eastAsia="仿宋" w:hAnsi="仿宋" w:cs="仿宋" w:hint="eastAsia"/>
            <w:lang w:eastAsia="zh-CN"/>
          </w:rPr>
          <w:t>(二)、建设规模</w:t>
        </w:r>
        <w:r>
          <w:tab/>
        </w:r>
        <w:r>
          <w:fldChar w:fldCharType="begin"/>
        </w:r>
        <w:r>
          <w:instrText xml:space="preserve"> PAGEREF _Toc7899 \h </w:instrText>
        </w:r>
        <w:r>
          <w:fldChar w:fldCharType="separate"/>
        </w:r>
        <w:r>
          <w:t>9</w:t>
        </w:r>
        <w:r>
          <w:fldChar w:fldCharType="end"/>
        </w:r>
      </w:hyperlink>
    </w:p>
    <w:p>
      <w:pPr>
        <w:pStyle w:val="TOC1"/>
        <w:tabs>
          <w:tab w:val="right" w:leader="dot" w:pos="8306"/>
        </w:tabs>
      </w:pPr>
      <w:hyperlink w:anchor="_Toc21372" w:history="1">
        <w:r>
          <w:rPr>
            <w:rFonts w:ascii="仿宋" w:eastAsia="仿宋" w:hAnsi="仿宋" w:cs="仿宋" w:hint="eastAsia"/>
            <w:lang w:eastAsia="zh-CN"/>
          </w:rPr>
          <w:t>四、时间频率计量标准器具项目可持续发展</w:t>
        </w:r>
        <w:r>
          <w:tab/>
        </w:r>
        <w:r>
          <w:fldChar w:fldCharType="begin"/>
        </w:r>
        <w:r>
          <w:instrText xml:space="preserve"> PAGEREF _Toc21372 \h </w:instrText>
        </w:r>
        <w:r>
          <w:fldChar w:fldCharType="separate"/>
        </w:r>
        <w:r>
          <w:t>10</w:t>
        </w:r>
        <w:r>
          <w:fldChar w:fldCharType="end"/>
        </w:r>
      </w:hyperlink>
    </w:p>
    <w:p>
      <w:pPr>
        <w:pStyle w:val="TOC2"/>
        <w:tabs>
          <w:tab w:val="right" w:leader="dot" w:pos="8306"/>
        </w:tabs>
      </w:pPr>
      <w:hyperlink w:anchor="_Toc31484" w:history="1">
        <w:r>
          <w:rPr>
            <w:rFonts w:ascii="仿宋" w:eastAsia="仿宋" w:hAnsi="仿宋" w:cs="仿宋" w:hint="eastAsia"/>
            <w:lang w:eastAsia="zh-CN"/>
          </w:rPr>
          <w:t>(一)、可持续战略与实践</w:t>
        </w:r>
        <w:r>
          <w:tab/>
        </w:r>
        <w:r>
          <w:fldChar w:fldCharType="begin"/>
        </w:r>
        <w:r>
          <w:instrText xml:space="preserve"> PAGEREF _Toc31484 \h </w:instrText>
        </w:r>
        <w:r>
          <w:fldChar w:fldCharType="separate"/>
        </w:r>
        <w:r>
          <w:t>10</w:t>
        </w:r>
        <w:r>
          <w:fldChar w:fldCharType="end"/>
        </w:r>
      </w:hyperlink>
    </w:p>
    <w:p>
      <w:pPr>
        <w:pStyle w:val="TOC2"/>
        <w:tabs>
          <w:tab w:val="right" w:leader="dot" w:pos="8306"/>
        </w:tabs>
      </w:pPr>
      <w:hyperlink w:anchor="_Toc17475" w:history="1">
        <w:r>
          <w:rPr>
            <w:rFonts w:ascii="仿宋" w:eastAsia="仿宋" w:hAnsi="仿宋" w:cs="仿宋" w:hint="eastAsia"/>
            <w:lang w:eastAsia="zh-CN"/>
          </w:rPr>
          <w:t>(二)、环保与社会责任</w:t>
        </w:r>
        <w:r>
          <w:tab/>
        </w:r>
        <w:r>
          <w:fldChar w:fldCharType="begin"/>
        </w:r>
        <w:r>
          <w:instrText xml:space="preserve"> PAGEREF _Toc17475 \h </w:instrText>
        </w:r>
        <w:r>
          <w:fldChar w:fldCharType="separate"/>
        </w:r>
        <w:r>
          <w:t>11</w:t>
        </w:r>
        <w:r>
          <w:fldChar w:fldCharType="end"/>
        </w:r>
      </w:hyperlink>
    </w:p>
    <w:p>
      <w:pPr>
        <w:pStyle w:val="TOC1"/>
        <w:tabs>
          <w:tab w:val="right" w:leader="dot" w:pos="8306"/>
        </w:tabs>
      </w:pPr>
      <w:hyperlink w:anchor="_Toc14667" w:history="1">
        <w:r>
          <w:rPr>
            <w:rFonts w:ascii="仿宋" w:eastAsia="仿宋" w:hAnsi="仿宋" w:cs="仿宋" w:hint="eastAsia"/>
            <w:lang w:eastAsia="zh-CN"/>
          </w:rPr>
          <w:t>五、工艺说明</w:t>
        </w:r>
        <w:r>
          <w:tab/>
        </w:r>
        <w:r>
          <w:fldChar w:fldCharType="begin"/>
        </w:r>
        <w:r>
          <w:instrText xml:space="preserve"> PAGEREF _Toc14667 \h </w:instrText>
        </w:r>
        <w:r>
          <w:fldChar w:fldCharType="separate"/>
        </w:r>
        <w:r>
          <w:t>12</w:t>
        </w:r>
        <w:r>
          <w:fldChar w:fldCharType="end"/>
        </w:r>
      </w:hyperlink>
    </w:p>
    <w:p>
      <w:pPr>
        <w:pStyle w:val="TOC2"/>
        <w:tabs>
          <w:tab w:val="right" w:leader="dot" w:pos="8306"/>
        </w:tabs>
      </w:pPr>
      <w:hyperlink w:anchor="_Toc30475" w:history="1">
        <w:r>
          <w:rPr>
            <w:rFonts w:ascii="仿宋" w:eastAsia="仿宋" w:hAnsi="仿宋" w:cs="仿宋" w:hint="eastAsia"/>
            <w:lang w:eastAsia="zh-CN"/>
          </w:rPr>
          <w:t>(一)、技术管理特点</w:t>
        </w:r>
        <w:r>
          <w:tab/>
        </w:r>
        <w:r>
          <w:fldChar w:fldCharType="begin"/>
        </w:r>
        <w:r>
          <w:instrText xml:space="preserve"> PAGEREF _Toc30475 \h </w:instrText>
        </w:r>
        <w:r>
          <w:fldChar w:fldCharType="separate"/>
        </w:r>
        <w:r>
          <w:t>12</w:t>
        </w:r>
        <w:r>
          <w:fldChar w:fldCharType="end"/>
        </w:r>
      </w:hyperlink>
    </w:p>
    <w:p>
      <w:pPr>
        <w:pStyle w:val="TOC2"/>
        <w:tabs>
          <w:tab w:val="right" w:leader="dot" w:pos="8306"/>
        </w:tabs>
      </w:pPr>
      <w:hyperlink w:anchor="_Toc30961" w:history="1">
        <w:r>
          <w:rPr>
            <w:rFonts w:ascii="仿宋" w:eastAsia="仿宋" w:hAnsi="仿宋" w:cs="仿宋" w:hint="eastAsia"/>
            <w:lang w:eastAsia="zh-CN"/>
          </w:rPr>
          <w:t>(二)、时间频率计量标准器具项目工艺技术设计方案</w:t>
        </w:r>
        <w:r>
          <w:tab/>
        </w:r>
        <w:r>
          <w:fldChar w:fldCharType="begin"/>
        </w:r>
        <w:r>
          <w:instrText xml:space="preserve"> PAGEREF _Toc30961 \h </w:instrText>
        </w:r>
        <w:r>
          <w:fldChar w:fldCharType="separate"/>
        </w:r>
        <w:r>
          <w:t>13</w:t>
        </w:r>
        <w:r>
          <w:fldChar w:fldCharType="end"/>
        </w:r>
      </w:hyperlink>
    </w:p>
    <w:p>
      <w:pPr>
        <w:pStyle w:val="TOC2"/>
        <w:tabs>
          <w:tab w:val="right" w:leader="dot" w:pos="8306"/>
        </w:tabs>
      </w:pPr>
      <w:hyperlink w:anchor="_Toc19647" w:history="1">
        <w:r>
          <w:rPr>
            <w:rFonts w:ascii="仿宋" w:eastAsia="仿宋" w:hAnsi="仿宋" w:cs="仿宋" w:hint="eastAsia"/>
            <w:lang w:eastAsia="zh-CN"/>
          </w:rPr>
          <w:t>(三)、设备选型方案</w:t>
        </w:r>
        <w:r>
          <w:tab/>
        </w:r>
        <w:r>
          <w:fldChar w:fldCharType="begin"/>
        </w:r>
        <w:r>
          <w:instrText xml:space="preserve"> PAGEREF _Toc19647 \h </w:instrText>
        </w:r>
        <w:r>
          <w:fldChar w:fldCharType="separate"/>
        </w:r>
        <w:r>
          <w:t>14</w:t>
        </w:r>
        <w:r>
          <w:fldChar w:fldCharType="end"/>
        </w:r>
      </w:hyperlink>
    </w:p>
    <w:p>
      <w:pPr>
        <w:pStyle w:val="TOC1"/>
        <w:tabs>
          <w:tab w:val="right" w:leader="dot" w:pos="8306"/>
        </w:tabs>
      </w:pPr>
      <w:hyperlink w:anchor="_Toc25610" w:history="1">
        <w:r>
          <w:rPr>
            <w:rFonts w:ascii="仿宋" w:eastAsia="仿宋" w:hAnsi="仿宋" w:cs="仿宋" w:hint="eastAsia"/>
            <w:lang w:eastAsia="zh-CN"/>
          </w:rPr>
          <w:t>六、时间频率计量标准器具项目土建工程</w:t>
        </w:r>
        <w:r>
          <w:tab/>
        </w:r>
        <w:r>
          <w:fldChar w:fldCharType="begin"/>
        </w:r>
        <w:r>
          <w:instrText xml:space="preserve"> PAGEREF _Toc25610 \h </w:instrText>
        </w:r>
        <w:r>
          <w:fldChar w:fldCharType="separate"/>
        </w:r>
        <w:r>
          <w:t>16</w:t>
        </w:r>
        <w:r>
          <w:fldChar w:fldCharType="end"/>
        </w:r>
      </w:hyperlink>
    </w:p>
    <w:p>
      <w:pPr>
        <w:pStyle w:val="TOC2"/>
        <w:tabs>
          <w:tab w:val="right" w:leader="dot" w:pos="8306"/>
        </w:tabs>
      </w:pPr>
      <w:hyperlink w:anchor="_Toc18550" w:history="1">
        <w:r>
          <w:rPr>
            <w:rFonts w:ascii="仿宋" w:eastAsia="仿宋" w:hAnsi="仿宋" w:cs="仿宋" w:hint="eastAsia"/>
            <w:lang w:eastAsia="zh-CN"/>
          </w:rPr>
          <w:t>(一)、建筑工程设计原则</w:t>
        </w:r>
        <w:r>
          <w:tab/>
        </w:r>
        <w:r>
          <w:fldChar w:fldCharType="begin"/>
        </w:r>
        <w:r>
          <w:instrText xml:space="preserve"> PAGEREF _Toc18550 \h </w:instrText>
        </w:r>
        <w:r>
          <w:fldChar w:fldCharType="separate"/>
        </w:r>
        <w:r>
          <w:t>16</w:t>
        </w:r>
        <w:r>
          <w:fldChar w:fldCharType="end"/>
        </w:r>
      </w:hyperlink>
    </w:p>
    <w:p>
      <w:pPr>
        <w:pStyle w:val="TOC2"/>
        <w:tabs>
          <w:tab w:val="right" w:leader="dot" w:pos="8306"/>
        </w:tabs>
      </w:pPr>
      <w:hyperlink w:anchor="_Toc13559" w:history="1">
        <w:r>
          <w:rPr>
            <w:rFonts w:ascii="仿宋" w:eastAsia="仿宋" w:hAnsi="仿宋" w:cs="仿宋" w:hint="eastAsia"/>
            <w:lang w:eastAsia="zh-CN"/>
          </w:rPr>
          <w:t>(二)、土建工程设计年限及安全等级</w:t>
        </w:r>
        <w:r>
          <w:tab/>
        </w:r>
        <w:r>
          <w:fldChar w:fldCharType="begin"/>
        </w:r>
        <w:r>
          <w:instrText xml:space="preserve"> PAGEREF _Toc13559 \h </w:instrText>
        </w:r>
        <w:r>
          <w:fldChar w:fldCharType="separate"/>
        </w:r>
        <w:r>
          <w:t>17</w:t>
        </w:r>
        <w:r>
          <w:fldChar w:fldCharType="end"/>
        </w:r>
      </w:hyperlink>
    </w:p>
    <w:p>
      <w:pPr>
        <w:pStyle w:val="TOC2"/>
        <w:tabs>
          <w:tab w:val="right" w:leader="dot" w:pos="8306"/>
        </w:tabs>
      </w:pPr>
      <w:hyperlink w:anchor="_Toc6165" w:history="1">
        <w:r>
          <w:rPr>
            <w:rFonts w:ascii="仿宋" w:eastAsia="仿宋" w:hAnsi="仿宋" w:cs="仿宋" w:hint="eastAsia"/>
            <w:lang w:eastAsia="zh-CN"/>
          </w:rPr>
          <w:t>(三)、建筑工程设计总体要求</w:t>
        </w:r>
        <w:r>
          <w:tab/>
        </w:r>
        <w:r>
          <w:fldChar w:fldCharType="begin"/>
        </w:r>
        <w:r>
          <w:instrText xml:space="preserve"> PAGEREF _Toc6165 \h </w:instrText>
        </w:r>
        <w:r>
          <w:fldChar w:fldCharType="separate"/>
        </w:r>
        <w:r>
          <w:t>18</w:t>
        </w:r>
        <w:r>
          <w:fldChar w:fldCharType="end"/>
        </w:r>
      </w:hyperlink>
    </w:p>
    <w:p>
      <w:pPr>
        <w:pStyle w:val="TOC2"/>
        <w:tabs>
          <w:tab w:val="right" w:leader="dot" w:pos="8306"/>
        </w:tabs>
      </w:pPr>
      <w:hyperlink w:anchor="_Toc21254" w:history="1">
        <w:r>
          <w:rPr>
            <w:rFonts w:ascii="仿宋" w:eastAsia="仿宋" w:hAnsi="仿宋" w:cs="仿宋" w:hint="eastAsia"/>
            <w:lang w:eastAsia="zh-CN"/>
          </w:rPr>
          <w:t>(四)、土建工程建设指标</w:t>
        </w:r>
        <w:r>
          <w:tab/>
        </w:r>
        <w:r>
          <w:fldChar w:fldCharType="begin"/>
        </w:r>
        <w:r>
          <w:instrText xml:space="preserve"> PAGEREF _Toc21254 \h </w:instrText>
        </w:r>
        <w:r>
          <w:fldChar w:fldCharType="separate"/>
        </w:r>
        <w:r>
          <w:t>19</w:t>
        </w:r>
        <w:r>
          <w:fldChar w:fldCharType="end"/>
        </w:r>
      </w:hyperlink>
    </w:p>
    <w:p>
      <w:pPr>
        <w:pStyle w:val="TOC1"/>
        <w:tabs>
          <w:tab w:val="right" w:leader="dot" w:pos="8306"/>
        </w:tabs>
      </w:pPr>
      <w:hyperlink w:anchor="_Toc6852" w:history="1">
        <w:r>
          <w:rPr>
            <w:rFonts w:ascii="仿宋" w:eastAsia="仿宋" w:hAnsi="仿宋" w:cs="仿宋" w:hint="eastAsia"/>
            <w:lang w:eastAsia="zh-CN"/>
          </w:rPr>
          <w:t>七、时间频率计量标准器具项目社会影响</w:t>
        </w:r>
        <w:r>
          <w:tab/>
        </w:r>
        <w:r>
          <w:fldChar w:fldCharType="begin"/>
        </w:r>
        <w:r>
          <w:instrText xml:space="preserve"> PAGEREF _Toc6852 \h </w:instrText>
        </w:r>
        <w:r>
          <w:fldChar w:fldCharType="separate"/>
        </w:r>
        <w:r>
          <w:t>19</w:t>
        </w:r>
        <w:r>
          <w:fldChar w:fldCharType="end"/>
        </w:r>
      </w:hyperlink>
    </w:p>
    <w:p>
      <w:pPr>
        <w:pStyle w:val="TOC2"/>
        <w:tabs>
          <w:tab w:val="right" w:leader="dot" w:pos="8306"/>
        </w:tabs>
      </w:pPr>
      <w:hyperlink w:anchor="_Toc10633" w:history="1">
        <w:r>
          <w:rPr>
            <w:rFonts w:ascii="仿宋" w:eastAsia="仿宋" w:hAnsi="仿宋" w:cs="仿宋" w:hint="eastAsia"/>
            <w:lang w:eastAsia="zh-CN"/>
          </w:rPr>
          <w:t>(一)、社会责任与义务</w:t>
        </w:r>
        <w:r>
          <w:tab/>
        </w:r>
        <w:r>
          <w:fldChar w:fldCharType="begin"/>
        </w:r>
        <w:r>
          <w:instrText xml:space="preserve"> PAGEREF _Toc10633 \h </w:instrText>
        </w:r>
        <w:r>
          <w:fldChar w:fldCharType="separate"/>
        </w:r>
        <w:r>
          <w:t>19</w:t>
        </w:r>
        <w:r>
          <w:fldChar w:fldCharType="end"/>
        </w:r>
      </w:hyperlink>
    </w:p>
    <w:p>
      <w:pPr>
        <w:pStyle w:val="TOC2"/>
        <w:tabs>
          <w:tab w:val="right" w:leader="dot" w:pos="8306"/>
        </w:tabs>
      </w:pPr>
      <w:hyperlink w:anchor="_Toc7211" w:history="1">
        <w:r>
          <w:rPr>
            <w:rFonts w:ascii="仿宋" w:eastAsia="仿宋" w:hAnsi="仿宋" w:cs="仿宋" w:hint="eastAsia"/>
            <w:lang w:eastAsia="zh-CN"/>
          </w:rPr>
          <w:t>(二)、社会参与与沟通</w:t>
        </w:r>
        <w:r>
          <w:tab/>
        </w:r>
        <w:r>
          <w:fldChar w:fldCharType="begin"/>
        </w:r>
        <w:r>
          <w:instrText xml:space="preserve"> PAGEREF _Toc7211 \h </w:instrText>
        </w:r>
        <w:r>
          <w:fldChar w:fldCharType="separate"/>
        </w:r>
        <w:r>
          <w:t>20</w:t>
        </w:r>
        <w:r>
          <w:fldChar w:fldCharType="end"/>
        </w:r>
      </w:hyperlink>
    </w:p>
    <w:p>
      <w:pPr>
        <w:pStyle w:val="TOC1"/>
        <w:tabs>
          <w:tab w:val="right" w:leader="dot" w:pos="8306"/>
        </w:tabs>
      </w:pPr>
      <w:hyperlink w:anchor="_Toc13472" w:history="1">
        <w:r>
          <w:rPr>
            <w:rFonts w:ascii="仿宋" w:eastAsia="仿宋" w:hAnsi="仿宋" w:cs="仿宋" w:hint="eastAsia"/>
            <w:lang w:eastAsia="zh-CN"/>
          </w:rPr>
          <w:t>八、时间频率计量标准器具项目人力资源管理</w:t>
        </w:r>
        <w:r>
          <w:tab/>
        </w:r>
        <w:r>
          <w:fldChar w:fldCharType="begin"/>
        </w:r>
        <w:r>
          <w:instrText xml:space="preserve"> PAGEREF _Toc13472 \h </w:instrText>
        </w:r>
        <w:r>
          <w:fldChar w:fldCharType="separate"/>
        </w:r>
        <w:r>
          <w:t>21</w:t>
        </w:r>
        <w:r>
          <w:fldChar w:fldCharType="end"/>
        </w:r>
      </w:hyperlink>
    </w:p>
    <w:p>
      <w:pPr>
        <w:pStyle w:val="TOC2"/>
        <w:tabs>
          <w:tab w:val="right" w:leader="dot" w:pos="8306"/>
        </w:tabs>
      </w:pPr>
      <w:hyperlink w:anchor="_Toc29344" w:history="1">
        <w:r>
          <w:rPr>
            <w:rFonts w:ascii="仿宋" w:eastAsia="仿宋" w:hAnsi="仿宋" w:cs="仿宋" w:hint="eastAsia"/>
            <w:lang w:eastAsia="zh-CN"/>
          </w:rPr>
          <w:t>(一)、建立健全的预算管理制度</w:t>
        </w:r>
        <w:r>
          <w:tab/>
        </w:r>
        <w:r>
          <w:fldChar w:fldCharType="begin"/>
        </w:r>
        <w:r>
          <w:instrText xml:space="preserve"> PAGEREF _Toc29344 \h </w:instrText>
        </w:r>
        <w:r>
          <w:fldChar w:fldCharType="separate"/>
        </w:r>
        <w:r>
          <w:t>21</w:t>
        </w:r>
        <w:r>
          <w:fldChar w:fldCharType="end"/>
        </w:r>
      </w:hyperlink>
    </w:p>
    <w:p>
      <w:pPr>
        <w:pStyle w:val="TOC2"/>
        <w:tabs>
          <w:tab w:val="right" w:leader="dot" w:pos="8306"/>
        </w:tabs>
      </w:pPr>
      <w:hyperlink w:anchor="_Toc22838" w:history="1">
        <w:r>
          <w:rPr>
            <w:rFonts w:ascii="仿宋" w:eastAsia="仿宋" w:hAnsi="仿宋" w:cs="仿宋" w:hint="eastAsia"/>
            <w:lang w:eastAsia="zh-CN"/>
          </w:rPr>
          <w:t>(二)、加强资金流动监控</w:t>
        </w:r>
        <w:r>
          <w:tab/>
        </w:r>
        <w:r>
          <w:fldChar w:fldCharType="begin"/>
        </w:r>
        <w:r>
          <w:instrText xml:space="preserve"> PAGEREF _Toc22838 \h </w:instrText>
        </w:r>
        <w:r>
          <w:fldChar w:fldCharType="separate"/>
        </w:r>
        <w:r>
          <w:t>23</w:t>
        </w:r>
        <w:r>
          <w:fldChar w:fldCharType="end"/>
        </w:r>
      </w:hyperlink>
    </w:p>
    <w:p>
      <w:pPr>
        <w:pStyle w:val="TOC2"/>
        <w:tabs>
          <w:tab w:val="right" w:leader="dot" w:pos="8306"/>
        </w:tabs>
      </w:pPr>
      <w:hyperlink w:anchor="_Toc24483" w:history="1">
        <w:r>
          <w:rPr>
            <w:rFonts w:ascii="仿宋" w:eastAsia="仿宋" w:hAnsi="仿宋" w:cs="仿宋" w:hint="eastAsia"/>
            <w:lang w:eastAsia="zh-CN"/>
          </w:rPr>
          <w:t>(三)、制定完善的风险控制机制</w:t>
        </w:r>
        <w:r>
          <w:tab/>
        </w:r>
        <w:r>
          <w:fldChar w:fldCharType="begin"/>
        </w:r>
        <w:r>
          <w:instrText xml:space="preserve"> PAGEREF _Toc24483 \h </w:instrText>
        </w:r>
        <w:r>
          <w:fldChar w:fldCharType="separate"/>
        </w:r>
        <w:r>
          <w:t>24</w:t>
        </w:r>
        <w:r>
          <w:fldChar w:fldCharType="end"/>
        </w:r>
      </w:hyperlink>
    </w:p>
    <w:p>
      <w:pPr>
        <w:pStyle w:val="TOC2"/>
        <w:tabs>
          <w:tab w:val="right" w:leader="dot" w:pos="8306"/>
        </w:tabs>
      </w:pPr>
      <w:hyperlink w:anchor="_Toc2562" w:history="1">
        <w:r>
          <w:rPr>
            <w:rFonts w:ascii="仿宋" w:eastAsia="仿宋" w:hAnsi="仿宋" w:cs="仿宋" w:hint="eastAsia"/>
            <w:lang w:eastAsia="zh-CN"/>
          </w:rPr>
          <w:t>(四)、优化成本管理</w:t>
        </w:r>
        <w:r>
          <w:tab/>
        </w:r>
        <w:r>
          <w:fldChar w:fldCharType="begin"/>
        </w:r>
        <w:r>
          <w:instrText xml:space="preserve"> PAGEREF _Toc2562 \h </w:instrText>
        </w:r>
        <w:r>
          <w:fldChar w:fldCharType="separate"/>
        </w:r>
        <w:r>
          <w:t>26</w:t>
        </w:r>
        <w:r>
          <w:fldChar w:fldCharType="end"/>
        </w:r>
      </w:hyperlink>
    </w:p>
    <w:p>
      <w:pPr>
        <w:pStyle w:val="TOC1"/>
        <w:tabs>
          <w:tab w:val="right" w:leader="dot" w:pos="8306"/>
        </w:tabs>
      </w:pPr>
      <w:hyperlink w:anchor="_Toc19805" w:history="1">
        <w:r>
          <w:rPr>
            <w:rFonts w:ascii="仿宋" w:eastAsia="仿宋" w:hAnsi="仿宋" w:cs="仿宋" w:hint="eastAsia"/>
            <w:lang w:eastAsia="zh-CN"/>
          </w:rPr>
          <w:t>九、时间频率计量标准器具项目投资规划</w:t>
        </w:r>
        <w:r>
          <w:tab/>
        </w:r>
        <w:r>
          <w:fldChar w:fldCharType="begin"/>
        </w:r>
        <w:r>
          <w:instrText xml:space="preserve"> PAGEREF _Toc19805 \h </w:instrText>
        </w:r>
        <w:r>
          <w:fldChar w:fldCharType="separate"/>
        </w:r>
        <w:r>
          <w:t>27</w:t>
        </w:r>
        <w:r>
          <w:fldChar w:fldCharType="end"/>
        </w:r>
      </w:hyperlink>
    </w:p>
    <w:p>
      <w:pPr>
        <w:pStyle w:val="TOC2"/>
        <w:tabs>
          <w:tab w:val="right" w:leader="dot" w:pos="8306"/>
        </w:tabs>
      </w:pPr>
      <w:hyperlink w:anchor="_Toc2454" w:history="1">
        <w:r>
          <w:rPr>
            <w:rFonts w:ascii="仿宋" w:eastAsia="仿宋" w:hAnsi="仿宋" w:cs="仿宋" w:hint="eastAsia"/>
            <w:lang w:eastAsia="zh-CN"/>
          </w:rPr>
          <w:t>(一)、时间频率计量标准器具项目总投资估算</w:t>
        </w:r>
        <w:r>
          <w:tab/>
        </w:r>
        <w:r>
          <w:fldChar w:fldCharType="begin"/>
        </w:r>
        <w:r>
          <w:instrText xml:space="preserve"> PAGEREF _Toc2454 \h </w:instrText>
        </w:r>
        <w:r>
          <w:fldChar w:fldCharType="separate"/>
        </w:r>
        <w:r>
          <w:t>27</w:t>
        </w:r>
        <w:r>
          <w:fldChar w:fldCharType="end"/>
        </w:r>
      </w:hyperlink>
    </w:p>
    <w:p>
      <w:pPr>
        <w:pStyle w:val="TOC2"/>
        <w:tabs>
          <w:tab w:val="right" w:leader="dot" w:pos="8306"/>
        </w:tabs>
      </w:pPr>
      <w:hyperlink w:anchor="_Toc6400" w:history="1">
        <w:r>
          <w:rPr>
            <w:rFonts w:ascii="仿宋" w:eastAsia="仿宋" w:hAnsi="仿宋" w:cs="仿宋" w:hint="eastAsia"/>
            <w:lang w:eastAsia="zh-CN"/>
          </w:rPr>
          <w:t>(二)、资金筹措</w:t>
        </w:r>
        <w:r>
          <w:tab/>
        </w:r>
        <w:r>
          <w:fldChar w:fldCharType="begin"/>
        </w:r>
        <w:r>
          <w:instrText xml:space="preserve"> PAGEREF _Toc6400 \h </w:instrText>
        </w:r>
        <w:r>
          <w:fldChar w:fldCharType="separate"/>
        </w:r>
        <w:r>
          <w:t>29</w:t>
        </w:r>
        <w:r>
          <w:fldChar w:fldCharType="end"/>
        </w:r>
      </w:hyperlink>
    </w:p>
    <w:p>
      <w:pPr>
        <w:pStyle w:val="TOC1"/>
        <w:tabs>
          <w:tab w:val="right" w:leader="dot" w:pos="8306"/>
        </w:tabs>
      </w:pPr>
      <w:hyperlink w:anchor="_Toc22963" w:history="1">
        <w:r>
          <w:rPr>
            <w:rFonts w:ascii="仿宋" w:eastAsia="仿宋" w:hAnsi="仿宋" w:cs="仿宋" w:hint="eastAsia"/>
            <w:lang w:eastAsia="zh-CN"/>
          </w:rPr>
          <w:t>十、时间频率计量标准器具项目风险管理</w:t>
        </w:r>
        <w:r>
          <w:tab/>
        </w:r>
        <w:r>
          <w:fldChar w:fldCharType="begin"/>
        </w:r>
        <w:r>
          <w:instrText xml:space="preserve"> PAGEREF _Toc22963 \h </w:instrText>
        </w:r>
        <w:r>
          <w:fldChar w:fldCharType="separate"/>
        </w:r>
        <w:r>
          <w:t>29</w:t>
        </w:r>
        <w:r>
          <w:fldChar w:fldCharType="end"/>
        </w:r>
      </w:hyperlink>
    </w:p>
    <w:p>
      <w:pPr>
        <w:pStyle w:val="TOC2"/>
        <w:tabs>
          <w:tab w:val="right" w:leader="dot" w:pos="8306"/>
        </w:tabs>
      </w:pPr>
      <w:hyperlink w:anchor="_Toc22839" w:history="1">
        <w:r>
          <w:rPr>
            <w:rFonts w:ascii="仿宋" w:eastAsia="仿宋" w:hAnsi="仿宋" w:cs="仿宋" w:hint="eastAsia"/>
            <w:lang w:eastAsia="zh-CN"/>
          </w:rPr>
          <w:t>(一)、风险识别与评估</w:t>
        </w:r>
        <w:r>
          <w:tab/>
        </w:r>
        <w:r>
          <w:fldChar w:fldCharType="begin"/>
        </w:r>
        <w:r>
          <w:instrText xml:space="preserve"> PAGEREF _Toc22839 \h </w:instrText>
        </w:r>
        <w:r>
          <w:fldChar w:fldCharType="separate"/>
        </w:r>
        <w:r>
          <w:t>29</w:t>
        </w:r>
        <w:r>
          <w:fldChar w:fldCharType="end"/>
        </w:r>
      </w:hyperlink>
    </w:p>
    <w:p>
      <w:pPr>
        <w:pStyle w:val="TOC2"/>
        <w:tabs>
          <w:tab w:val="right" w:leader="dot" w:pos="8306"/>
        </w:tabs>
      </w:pPr>
      <w:hyperlink w:anchor="_Toc10882" w:history="1">
        <w:r>
          <w:rPr>
            <w:rFonts w:ascii="仿宋" w:eastAsia="仿宋" w:hAnsi="仿宋" w:cs="仿宋" w:hint="eastAsia"/>
            <w:lang w:eastAsia="zh-CN"/>
          </w:rPr>
          <w:t>(二)、风险应对策略</w:t>
        </w:r>
        <w:r>
          <w:tab/>
        </w:r>
        <w:r>
          <w:fldChar w:fldCharType="begin"/>
        </w:r>
        <w:r>
          <w:instrText xml:space="preserve"> PAGEREF _Toc10882 \h </w:instrText>
        </w:r>
        <w:r>
          <w:fldChar w:fldCharType="separate"/>
        </w:r>
        <w:r>
          <w:t>30</w:t>
        </w:r>
        <w:r>
          <w:fldChar w:fldCharType="end"/>
        </w:r>
      </w:hyperlink>
    </w:p>
    <w:p>
      <w:pPr>
        <w:pStyle w:val="TOC2"/>
        <w:tabs>
          <w:tab w:val="right" w:leader="dot" w:pos="8306"/>
        </w:tabs>
      </w:pPr>
      <w:hyperlink w:anchor="_Toc18698" w:history="1">
        <w:r>
          <w:rPr>
            <w:rFonts w:ascii="仿宋" w:eastAsia="仿宋" w:hAnsi="仿宋" w:cs="仿宋" w:hint="eastAsia"/>
            <w:lang w:eastAsia="zh-CN"/>
          </w:rPr>
          <w:t>(三)、风险监控与控制</w:t>
        </w:r>
        <w:r>
          <w:tab/>
        </w:r>
        <w:r>
          <w:fldChar w:fldCharType="begin"/>
        </w:r>
        <w:r>
          <w:instrText xml:space="preserve"> PAGEREF _Toc18698 \h </w:instrText>
        </w:r>
        <w:r>
          <w:fldChar w:fldCharType="separate"/>
        </w:r>
        <w:r>
          <w:t>32</w:t>
        </w:r>
        <w:r>
          <w:fldChar w:fldCharType="end"/>
        </w:r>
      </w:hyperlink>
    </w:p>
    <w:p>
      <w:pPr>
        <w:pStyle w:val="TOC1"/>
        <w:tabs>
          <w:tab w:val="right" w:leader="dot" w:pos="8306"/>
        </w:tabs>
      </w:pPr>
      <w:hyperlink w:anchor="_Toc28776" w:history="1">
        <w:r>
          <w:rPr>
            <w:rFonts w:ascii="仿宋" w:eastAsia="仿宋" w:hAnsi="仿宋" w:cs="仿宋" w:hint="eastAsia"/>
            <w:lang w:eastAsia="zh-CN"/>
          </w:rPr>
          <w:t>十一、时间频率计量标准器具项目技术管理</w:t>
        </w:r>
        <w:r>
          <w:tab/>
        </w:r>
        <w:r>
          <w:fldChar w:fldCharType="begin"/>
        </w:r>
        <w:r>
          <w:instrText xml:space="preserve"> PAGEREF _Toc28776 \h </w:instrText>
        </w:r>
        <w:r>
          <w:fldChar w:fldCharType="separate"/>
        </w:r>
        <w:r>
          <w:t>33</w:t>
        </w:r>
        <w:r>
          <w:fldChar w:fldCharType="end"/>
        </w:r>
      </w:hyperlink>
    </w:p>
    <w:p>
      <w:pPr>
        <w:pStyle w:val="TOC2"/>
        <w:tabs>
          <w:tab w:val="right" w:leader="dot" w:pos="8306"/>
        </w:tabs>
      </w:pPr>
      <w:hyperlink w:anchor="_Toc732" w:history="1">
        <w:r>
          <w:rPr>
            <w:rFonts w:ascii="仿宋" w:eastAsia="仿宋" w:hAnsi="仿宋" w:cs="仿宋" w:hint="eastAsia"/>
            <w:lang w:eastAsia="zh-CN"/>
          </w:rPr>
          <w:t>(一)、技术方案选用方向</w:t>
        </w:r>
        <w:r>
          <w:tab/>
        </w:r>
        <w:r>
          <w:fldChar w:fldCharType="begin"/>
        </w:r>
        <w:r>
          <w:instrText xml:space="preserve"> PAGEREF _Toc732 \h </w:instrText>
        </w:r>
        <w:r>
          <w:fldChar w:fldCharType="separate"/>
        </w:r>
        <w:r>
          <w:t>33</w:t>
        </w:r>
        <w:r>
          <w:fldChar w:fldCharType="end"/>
        </w:r>
      </w:hyperlink>
    </w:p>
    <w:p>
      <w:pPr>
        <w:pStyle w:val="TOC2"/>
        <w:tabs>
          <w:tab w:val="right" w:leader="dot" w:pos="8306"/>
        </w:tabs>
      </w:pPr>
      <w:hyperlink w:anchor="_Toc15748" w:history="1">
        <w:r>
          <w:rPr>
            <w:rFonts w:ascii="仿宋" w:eastAsia="仿宋" w:hAnsi="仿宋" w:cs="仿宋" w:hint="eastAsia"/>
            <w:lang w:eastAsia="zh-CN"/>
          </w:rPr>
          <w:t>(二)、工艺技术方案选用原则</w:t>
        </w:r>
        <w:r>
          <w:tab/>
        </w:r>
        <w:r>
          <w:fldChar w:fldCharType="begin"/>
        </w:r>
        <w:r>
          <w:instrText xml:space="preserve"> PAGEREF _Toc15748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9" w:history="1">
        <w:r>
          <w:rPr>
            <w:rFonts w:ascii="仿宋" w:eastAsia="仿宋" w:hAnsi="仿宋" w:cs="仿宋" w:hint="eastAsia"/>
            <w:lang w:eastAsia="zh-CN"/>
          </w:rPr>
          <w:t>(三)、工艺技术方案要求</w:t>
        </w:r>
        <w:r>
          <w:tab/>
        </w:r>
        <w:r>
          <w:fldChar w:fldCharType="begin"/>
        </w:r>
        <w:r>
          <w:instrText xml:space="preserve"> PAGEREF _Toc21619 \h </w:instrText>
        </w:r>
        <w:r>
          <w:fldChar w:fldCharType="separate"/>
        </w:r>
        <w:r>
          <w:t>37</w:t>
        </w:r>
        <w:r>
          <w:fldChar w:fldCharType="end"/>
        </w:r>
      </w:hyperlink>
    </w:p>
    <w:p>
      <w:pPr>
        <w:pStyle w:val="TOC1"/>
        <w:tabs>
          <w:tab w:val="right" w:leader="dot" w:pos="8306"/>
        </w:tabs>
      </w:pPr>
      <w:hyperlink w:anchor="_Toc9246" w:history="1">
        <w:r>
          <w:rPr>
            <w:rFonts w:ascii="仿宋" w:eastAsia="仿宋" w:hAnsi="仿宋" w:cs="仿宋" w:hint="eastAsia"/>
            <w:lang w:eastAsia="zh-CN"/>
          </w:rPr>
          <w:t>十二、时间频率计量标准器具项目经营效益</w:t>
        </w:r>
        <w:r>
          <w:tab/>
        </w:r>
        <w:r>
          <w:fldChar w:fldCharType="begin"/>
        </w:r>
        <w:r>
          <w:instrText xml:space="preserve"> PAGEREF _Toc9246 \h </w:instrText>
        </w:r>
        <w:r>
          <w:fldChar w:fldCharType="separate"/>
        </w:r>
        <w:r>
          <w:t>40</w:t>
        </w:r>
        <w:r>
          <w:fldChar w:fldCharType="end"/>
        </w:r>
      </w:hyperlink>
    </w:p>
    <w:p>
      <w:pPr>
        <w:pStyle w:val="TOC2"/>
        <w:tabs>
          <w:tab w:val="right" w:leader="dot" w:pos="8306"/>
        </w:tabs>
      </w:pPr>
      <w:hyperlink w:anchor="_Toc31787" w:history="1">
        <w:r>
          <w:rPr>
            <w:rFonts w:ascii="仿宋" w:eastAsia="仿宋" w:hAnsi="仿宋" w:cs="仿宋" w:hint="eastAsia"/>
            <w:lang w:eastAsia="zh-CN"/>
          </w:rPr>
          <w:t>(一)、经济评价财务测算</w:t>
        </w:r>
        <w:r>
          <w:tab/>
        </w:r>
        <w:r>
          <w:fldChar w:fldCharType="begin"/>
        </w:r>
        <w:r>
          <w:instrText xml:space="preserve"> PAGEREF _Toc31787 \h </w:instrText>
        </w:r>
        <w:r>
          <w:fldChar w:fldCharType="separate"/>
        </w:r>
        <w:r>
          <w:t>40</w:t>
        </w:r>
        <w:r>
          <w:fldChar w:fldCharType="end"/>
        </w:r>
      </w:hyperlink>
    </w:p>
    <w:p>
      <w:pPr>
        <w:pStyle w:val="TOC2"/>
        <w:tabs>
          <w:tab w:val="right" w:leader="dot" w:pos="8306"/>
        </w:tabs>
      </w:pPr>
      <w:hyperlink w:anchor="_Toc20877" w:history="1">
        <w:r>
          <w:rPr>
            <w:rFonts w:ascii="仿宋" w:eastAsia="仿宋" w:hAnsi="仿宋" w:cs="仿宋" w:hint="eastAsia"/>
            <w:lang w:eastAsia="zh-CN"/>
          </w:rPr>
          <w:t>(二)、时间频率计量标准器具项目盈利能力分析</w:t>
        </w:r>
        <w:r>
          <w:tab/>
        </w:r>
        <w:r>
          <w:fldChar w:fldCharType="begin"/>
        </w:r>
        <w:r>
          <w:instrText xml:space="preserve"> PAGEREF _Toc20877 \h </w:instrText>
        </w:r>
        <w:r>
          <w:fldChar w:fldCharType="separate"/>
        </w:r>
        <w:r>
          <w:t>41</w:t>
        </w:r>
        <w:r>
          <w:fldChar w:fldCharType="end"/>
        </w:r>
      </w:hyperlink>
    </w:p>
    <w:p>
      <w:pPr>
        <w:pStyle w:val="TOC1"/>
        <w:tabs>
          <w:tab w:val="right" w:leader="dot" w:pos="8306"/>
        </w:tabs>
      </w:pPr>
      <w:hyperlink w:anchor="_Toc24762" w:history="1">
        <w:r>
          <w:rPr>
            <w:rFonts w:ascii="仿宋" w:eastAsia="仿宋" w:hAnsi="仿宋" w:cs="仿宋" w:hint="eastAsia"/>
            <w:lang w:eastAsia="zh-CN"/>
          </w:rPr>
          <w:t>十三、风险识别与分类</w:t>
        </w:r>
        <w:r>
          <w:tab/>
        </w:r>
        <w:r>
          <w:fldChar w:fldCharType="begin"/>
        </w:r>
        <w:r>
          <w:instrText xml:space="preserve"> PAGEREF _Toc24762 \h </w:instrText>
        </w:r>
        <w:r>
          <w:fldChar w:fldCharType="separate"/>
        </w:r>
        <w:r>
          <w:t>42</w:t>
        </w:r>
        <w:r>
          <w:fldChar w:fldCharType="end"/>
        </w:r>
      </w:hyperlink>
    </w:p>
    <w:p>
      <w:pPr>
        <w:pStyle w:val="TOC2"/>
        <w:tabs>
          <w:tab w:val="right" w:leader="dot" w:pos="8306"/>
        </w:tabs>
      </w:pPr>
      <w:hyperlink w:anchor="_Toc19813" w:history="1">
        <w:r>
          <w:rPr>
            <w:rFonts w:ascii="仿宋" w:eastAsia="仿宋" w:hAnsi="仿宋" w:cs="仿宋" w:hint="eastAsia"/>
            <w:lang w:eastAsia="zh-CN"/>
          </w:rPr>
          <w:t>(一)、风险识别</w:t>
        </w:r>
        <w:r>
          <w:tab/>
        </w:r>
        <w:r>
          <w:fldChar w:fldCharType="begin"/>
        </w:r>
        <w:r>
          <w:instrText xml:space="preserve"> PAGEREF _Toc19813 \h </w:instrText>
        </w:r>
        <w:r>
          <w:fldChar w:fldCharType="separate"/>
        </w:r>
        <w:r>
          <w:t>42</w:t>
        </w:r>
        <w:r>
          <w:fldChar w:fldCharType="end"/>
        </w:r>
      </w:hyperlink>
    </w:p>
    <w:p>
      <w:pPr>
        <w:pStyle w:val="TOC2"/>
        <w:tabs>
          <w:tab w:val="right" w:leader="dot" w:pos="8306"/>
        </w:tabs>
      </w:pPr>
      <w:hyperlink w:anchor="_Toc8251" w:history="1">
        <w:r>
          <w:rPr>
            <w:rFonts w:ascii="仿宋" w:eastAsia="仿宋" w:hAnsi="仿宋" w:cs="仿宋" w:hint="eastAsia"/>
            <w:lang w:eastAsia="zh-CN"/>
          </w:rPr>
          <w:t>(二)、风险分类</w:t>
        </w:r>
        <w:r>
          <w:tab/>
        </w:r>
        <w:r>
          <w:fldChar w:fldCharType="begin"/>
        </w:r>
        <w:r>
          <w:instrText xml:space="preserve"> PAGEREF _Toc8251 \h </w:instrText>
        </w:r>
        <w:r>
          <w:fldChar w:fldCharType="separate"/>
        </w:r>
        <w:r>
          <w:t>43</w:t>
        </w:r>
        <w:r>
          <w:fldChar w:fldCharType="end"/>
        </w:r>
      </w:hyperlink>
    </w:p>
    <w:p>
      <w:pPr>
        <w:pStyle w:val="TOC1"/>
        <w:tabs>
          <w:tab w:val="right" w:leader="dot" w:pos="8306"/>
        </w:tabs>
      </w:pPr>
      <w:hyperlink w:anchor="_Toc26342" w:history="1">
        <w:r>
          <w:rPr>
            <w:rFonts w:ascii="仿宋" w:eastAsia="仿宋" w:hAnsi="仿宋" w:cs="仿宋" w:hint="eastAsia"/>
            <w:lang w:eastAsia="zh-CN"/>
          </w:rPr>
          <w:t>十四、质量管理体系</w:t>
        </w:r>
        <w:r>
          <w:tab/>
        </w:r>
        <w:r>
          <w:fldChar w:fldCharType="begin"/>
        </w:r>
        <w:r>
          <w:instrText xml:space="preserve"> PAGEREF _Toc26342 \h </w:instrText>
        </w:r>
        <w:r>
          <w:fldChar w:fldCharType="separate"/>
        </w:r>
        <w:r>
          <w:t>45</w:t>
        </w:r>
        <w:r>
          <w:fldChar w:fldCharType="end"/>
        </w:r>
      </w:hyperlink>
    </w:p>
    <w:p>
      <w:pPr>
        <w:pStyle w:val="TOC2"/>
        <w:tabs>
          <w:tab w:val="right" w:leader="dot" w:pos="8306"/>
        </w:tabs>
      </w:pPr>
      <w:hyperlink w:anchor="_Toc30800" w:history="1">
        <w:r>
          <w:rPr>
            <w:rFonts w:ascii="仿宋" w:eastAsia="仿宋" w:hAnsi="仿宋" w:cs="仿宋" w:hint="eastAsia"/>
            <w:lang w:eastAsia="zh-CN"/>
          </w:rPr>
          <w:t>(一)、质量目标与方针</w:t>
        </w:r>
        <w:r>
          <w:tab/>
        </w:r>
        <w:r>
          <w:fldChar w:fldCharType="begin"/>
        </w:r>
        <w:r>
          <w:instrText xml:space="preserve"> PAGEREF _Toc30800 \h </w:instrText>
        </w:r>
        <w:r>
          <w:fldChar w:fldCharType="separate"/>
        </w:r>
        <w:r>
          <w:t>45</w:t>
        </w:r>
        <w:r>
          <w:fldChar w:fldCharType="end"/>
        </w:r>
      </w:hyperlink>
    </w:p>
    <w:p>
      <w:pPr>
        <w:pStyle w:val="TOC2"/>
        <w:tabs>
          <w:tab w:val="right" w:leader="dot" w:pos="8306"/>
        </w:tabs>
      </w:pPr>
      <w:hyperlink w:anchor="_Toc27391" w:history="1">
        <w:r>
          <w:rPr>
            <w:rFonts w:ascii="仿宋" w:eastAsia="仿宋" w:hAnsi="仿宋" w:cs="仿宋" w:hint="eastAsia"/>
            <w:lang w:eastAsia="zh-CN"/>
          </w:rPr>
          <w:t>(二)、质量管理责任</w:t>
        </w:r>
        <w:r>
          <w:tab/>
        </w:r>
        <w:r>
          <w:fldChar w:fldCharType="begin"/>
        </w:r>
        <w:r>
          <w:instrText xml:space="preserve"> PAGEREF _Toc27391 \h </w:instrText>
        </w:r>
        <w:r>
          <w:fldChar w:fldCharType="separate"/>
        </w:r>
        <w:r>
          <w:t>46</w:t>
        </w:r>
        <w:r>
          <w:fldChar w:fldCharType="end"/>
        </w:r>
      </w:hyperlink>
    </w:p>
    <w:p>
      <w:pPr>
        <w:pStyle w:val="TOC2"/>
        <w:tabs>
          <w:tab w:val="right" w:leader="dot" w:pos="8306"/>
        </w:tabs>
      </w:pPr>
      <w:hyperlink w:anchor="_Toc22687" w:history="1">
        <w:r>
          <w:rPr>
            <w:rFonts w:ascii="仿宋" w:eastAsia="仿宋" w:hAnsi="仿宋" w:cs="仿宋" w:hint="eastAsia"/>
            <w:lang w:eastAsia="zh-CN"/>
          </w:rPr>
          <w:t>(三)、质量管理体系文件</w:t>
        </w:r>
        <w:r>
          <w:tab/>
        </w:r>
        <w:r>
          <w:fldChar w:fldCharType="begin"/>
        </w:r>
        <w:r>
          <w:instrText xml:space="preserve"> PAGEREF _Toc22687 \h </w:instrText>
        </w:r>
        <w:r>
          <w:fldChar w:fldCharType="separate"/>
        </w:r>
        <w:r>
          <w:t>48</w:t>
        </w:r>
        <w:r>
          <w:fldChar w:fldCharType="end"/>
        </w:r>
      </w:hyperlink>
    </w:p>
    <w:p>
      <w:pPr>
        <w:pStyle w:val="TOC2"/>
        <w:tabs>
          <w:tab w:val="right" w:leader="dot" w:pos="8306"/>
        </w:tabs>
      </w:pPr>
      <w:hyperlink w:anchor="_Toc20329" w:history="1">
        <w:r>
          <w:rPr>
            <w:rFonts w:ascii="仿宋" w:eastAsia="仿宋" w:hAnsi="仿宋" w:cs="仿宋" w:hint="eastAsia"/>
            <w:lang w:eastAsia="zh-CN"/>
          </w:rPr>
          <w:t>(四)、质量培训与教育</w:t>
        </w:r>
        <w:r>
          <w:tab/>
        </w:r>
        <w:r>
          <w:fldChar w:fldCharType="begin"/>
        </w:r>
        <w:r>
          <w:instrText xml:space="preserve"> PAGEREF _Toc20329 \h </w:instrText>
        </w:r>
        <w:r>
          <w:fldChar w:fldCharType="separate"/>
        </w:r>
        <w:r>
          <w:t>50</w:t>
        </w:r>
        <w:r>
          <w:fldChar w:fldCharType="end"/>
        </w:r>
      </w:hyperlink>
    </w:p>
    <w:p>
      <w:pPr>
        <w:pStyle w:val="TOC2"/>
        <w:tabs>
          <w:tab w:val="right" w:leader="dot" w:pos="8306"/>
        </w:tabs>
      </w:pPr>
      <w:hyperlink w:anchor="_Toc14842" w:history="1">
        <w:r>
          <w:rPr>
            <w:rFonts w:ascii="仿宋" w:eastAsia="仿宋" w:hAnsi="仿宋" w:cs="仿宋" w:hint="eastAsia"/>
            <w:lang w:eastAsia="zh-CN"/>
          </w:rPr>
          <w:t>(五)、质量审核与评价</w:t>
        </w:r>
        <w:r>
          <w:tab/>
        </w:r>
        <w:r>
          <w:fldChar w:fldCharType="begin"/>
        </w:r>
        <w:r>
          <w:instrText xml:space="preserve"> PAGEREF _Toc14842 \h </w:instrText>
        </w:r>
        <w:r>
          <w:fldChar w:fldCharType="separate"/>
        </w:r>
        <w:r>
          <w:t>51</w:t>
        </w:r>
        <w:r>
          <w:fldChar w:fldCharType="end"/>
        </w:r>
      </w:hyperlink>
    </w:p>
    <w:p>
      <w:pPr>
        <w:pStyle w:val="TOC2"/>
        <w:tabs>
          <w:tab w:val="right" w:leader="dot" w:pos="8306"/>
        </w:tabs>
      </w:pPr>
      <w:hyperlink w:anchor="_Toc9129" w:history="1">
        <w:r>
          <w:rPr>
            <w:rFonts w:ascii="仿宋" w:eastAsia="仿宋" w:hAnsi="仿宋" w:cs="仿宋" w:hint="eastAsia"/>
            <w:lang w:eastAsia="zh-CN"/>
          </w:rPr>
          <w:t>(六)、不符合与纠正措施</w:t>
        </w:r>
        <w:r>
          <w:tab/>
        </w:r>
        <w:r>
          <w:fldChar w:fldCharType="begin"/>
        </w:r>
        <w:r>
          <w:instrText xml:space="preserve"> PAGEREF _Toc9129 \h </w:instrText>
        </w:r>
        <w:r>
          <w:fldChar w:fldCharType="separate"/>
        </w:r>
        <w:r>
          <w:t>53</w:t>
        </w:r>
        <w:r>
          <w:fldChar w:fldCharType="end"/>
        </w:r>
      </w:hyperlink>
    </w:p>
    <w:p>
      <w:pPr>
        <w:pStyle w:val="TOC1"/>
        <w:tabs>
          <w:tab w:val="right" w:leader="dot" w:pos="8306"/>
        </w:tabs>
      </w:pPr>
      <w:hyperlink w:anchor="_Toc26600" w:history="1">
        <w:r>
          <w:rPr>
            <w:rFonts w:ascii="仿宋" w:eastAsia="仿宋" w:hAnsi="仿宋" w:cs="仿宋" w:hint="eastAsia"/>
            <w:lang w:eastAsia="zh-CN"/>
          </w:rPr>
          <w:t>十五、时间频率计量标准器具项目工程方案分析</w:t>
        </w:r>
        <w:r>
          <w:tab/>
        </w:r>
        <w:r>
          <w:fldChar w:fldCharType="begin"/>
        </w:r>
        <w:r>
          <w:instrText xml:space="preserve"> PAGEREF _Toc26600 \h </w:instrText>
        </w:r>
        <w:r>
          <w:fldChar w:fldCharType="separate"/>
        </w:r>
        <w:r>
          <w:t>54</w:t>
        </w:r>
        <w:r>
          <w:fldChar w:fldCharType="end"/>
        </w:r>
      </w:hyperlink>
    </w:p>
    <w:p>
      <w:pPr>
        <w:pStyle w:val="TOC2"/>
        <w:tabs>
          <w:tab w:val="right" w:leader="dot" w:pos="8306"/>
        </w:tabs>
      </w:pPr>
      <w:hyperlink w:anchor="_Toc24305" w:history="1">
        <w:r>
          <w:rPr>
            <w:rFonts w:ascii="仿宋" w:eastAsia="仿宋" w:hAnsi="仿宋" w:cs="仿宋" w:hint="eastAsia"/>
            <w:lang w:eastAsia="zh-CN"/>
          </w:rPr>
          <w:t>(一)、建筑工程设计原则</w:t>
        </w:r>
        <w:r>
          <w:tab/>
        </w:r>
        <w:r>
          <w:fldChar w:fldCharType="begin"/>
        </w:r>
        <w:r>
          <w:instrText xml:space="preserve"> PAGEREF _Toc24305 \h </w:instrText>
        </w:r>
        <w:r>
          <w:fldChar w:fldCharType="separate"/>
        </w:r>
        <w:r>
          <w:t>54</w:t>
        </w:r>
        <w:r>
          <w:fldChar w:fldCharType="end"/>
        </w:r>
      </w:hyperlink>
    </w:p>
    <w:p>
      <w:pPr>
        <w:pStyle w:val="TOC2"/>
        <w:tabs>
          <w:tab w:val="right" w:leader="dot" w:pos="8306"/>
        </w:tabs>
      </w:pPr>
      <w:hyperlink w:anchor="_Toc6006" w:history="1">
        <w:r>
          <w:rPr>
            <w:rFonts w:ascii="仿宋" w:eastAsia="仿宋" w:hAnsi="仿宋" w:cs="仿宋" w:hint="eastAsia"/>
            <w:lang w:eastAsia="zh-CN"/>
          </w:rPr>
          <w:t>(二)、土建工程建设指标</w:t>
        </w:r>
        <w:r>
          <w:tab/>
        </w:r>
        <w:r>
          <w:fldChar w:fldCharType="begin"/>
        </w:r>
        <w:r>
          <w:instrText xml:space="preserve"> PAGEREF _Toc6006 \h </w:instrText>
        </w:r>
        <w:r>
          <w:fldChar w:fldCharType="separate"/>
        </w:r>
        <w:r>
          <w:t>57</w:t>
        </w:r>
        <w:r>
          <w:fldChar w:fldCharType="end"/>
        </w:r>
      </w:hyperlink>
    </w:p>
    <w:p>
      <w:pPr>
        <w:pStyle w:val="TOC1"/>
        <w:tabs>
          <w:tab w:val="right" w:leader="dot" w:pos="8306"/>
        </w:tabs>
      </w:pPr>
      <w:hyperlink w:anchor="_Toc6713" w:history="1">
        <w:r>
          <w:rPr>
            <w:rFonts w:ascii="仿宋" w:eastAsia="仿宋" w:hAnsi="仿宋" w:cs="仿宋" w:hint="eastAsia"/>
            <w:lang w:eastAsia="zh-CN"/>
          </w:rPr>
          <w:t>十六、时间频率计量标准器具项目治理与监督</w:t>
        </w:r>
        <w:r>
          <w:tab/>
        </w:r>
        <w:r>
          <w:fldChar w:fldCharType="begin"/>
        </w:r>
        <w:r>
          <w:instrText xml:space="preserve"> PAGEREF _Toc6713 \h </w:instrText>
        </w:r>
        <w:r>
          <w:fldChar w:fldCharType="separate"/>
        </w:r>
        <w:r>
          <w:t>59</w:t>
        </w:r>
        <w:r>
          <w:fldChar w:fldCharType="end"/>
        </w:r>
      </w:hyperlink>
    </w:p>
    <w:p>
      <w:pPr>
        <w:pStyle w:val="TOC2"/>
        <w:tabs>
          <w:tab w:val="right" w:leader="dot" w:pos="8306"/>
        </w:tabs>
      </w:pPr>
      <w:hyperlink w:anchor="_Toc15724" w:history="1">
        <w:r>
          <w:rPr>
            <w:rFonts w:ascii="仿宋" w:eastAsia="仿宋" w:hAnsi="仿宋" w:cs="仿宋" w:hint="eastAsia"/>
            <w:lang w:eastAsia="zh-CN"/>
          </w:rPr>
          <w:t>(一)、时间频率计量标准器具项目治理结构</w:t>
        </w:r>
        <w:r>
          <w:tab/>
        </w:r>
        <w:r>
          <w:fldChar w:fldCharType="begin"/>
        </w:r>
        <w:r>
          <w:instrText xml:space="preserve"> PAGEREF _Toc15724 \h </w:instrText>
        </w:r>
        <w:r>
          <w:fldChar w:fldCharType="separate"/>
        </w:r>
        <w:r>
          <w:t>59</w:t>
        </w:r>
        <w:r>
          <w:fldChar w:fldCharType="end"/>
        </w:r>
      </w:hyperlink>
    </w:p>
    <w:p>
      <w:pPr>
        <w:pStyle w:val="TOC2"/>
        <w:tabs>
          <w:tab w:val="right" w:leader="dot" w:pos="8306"/>
        </w:tabs>
      </w:pPr>
      <w:hyperlink w:anchor="_Toc15" w:history="1">
        <w:r>
          <w:rPr>
            <w:rFonts w:ascii="仿宋" w:eastAsia="仿宋" w:hAnsi="仿宋" w:cs="仿宋" w:hint="eastAsia"/>
            <w:lang w:eastAsia="zh-CN"/>
          </w:rPr>
          <w:t>(二)、监督与审计</w:t>
        </w:r>
        <w:r>
          <w:tab/>
        </w:r>
        <w:r>
          <w:fldChar w:fldCharType="begin"/>
        </w:r>
        <w:r>
          <w:instrText xml:space="preserve"> PAGEREF _Toc15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27"/>
      <w:r>
        <w:rPr>
          <w:rFonts w:ascii="仿宋" w:eastAsia="仿宋" w:hAnsi="仿宋" w:cs="仿宋" w:hint="eastAsia"/>
          <w:sz w:val="28"/>
          <w:lang w:eastAsia="zh-CN"/>
        </w:rPr>
        <w:t>一、时间频率计量标准器具项目建设单位说明</w:t>
      </w:r>
      <w:bookmarkEnd w:id="2"/>
    </w:p>
    <w:p>
      <w:pPr>
        <w:pStyle w:val="Heading2"/>
        <w:rPr>
          <w:rFonts w:ascii="仿宋" w:eastAsia="仿宋" w:hAnsi="仿宋" w:cs="仿宋" w:hint="eastAsia"/>
          <w:lang w:eastAsia="zh-CN"/>
        </w:rPr>
      </w:pPr>
      <w:bookmarkStart w:id="3" w:name="_Toc13632"/>
      <w:r>
        <w:rPr>
          <w:rFonts w:ascii="仿宋" w:eastAsia="仿宋" w:hAnsi="仿宋" w:cs="仿宋" w:hint="eastAsia"/>
          <w:lang w:eastAsia="zh-CN"/>
        </w:rPr>
        <w:t>(一)、时间频率计量标准器具项目承办单位基本情况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6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时间频率计量标准器具项目承办单位的XXXX，我们着眼于实现可持续的经济效益。通过技术创新和解决方案的提供，公司预计在时间频率计量标准器具项目执行期间将获得可观的收入增长。这一收入来源主要包括时间频率计量标准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同时，我们注重成本控制和效率提升，以确保时间频率计量标准器具项目的可持续盈利。透过精细的管理和资源优化，公司期望实现时间频率计量标准器具项目利润最大化。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时间频率计量标准器具项目实施进行全面的投资评估，包括时间频率计量标准器具项目启动阶段的资金投入和后续运营成本。通过对时间频率计量标准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时间频率计量标准器具项目实施过程中具备足够的资金流动性，公司将进行详尽的现金流分析。这包括资金需求的合理预测、时间频率计量标准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612"/>
      <w:r>
        <w:rPr>
          <w:rFonts w:ascii="仿宋" w:eastAsia="仿宋" w:hAnsi="仿宋" w:cs="仿宋" w:hint="eastAsia"/>
          <w:sz w:val="28"/>
          <w:lang w:eastAsia="zh-CN"/>
        </w:rPr>
        <w:t>二、时间频率计量标准器具项目绩效评估</w:t>
      </w:r>
      <w:bookmarkEnd w:id="5"/>
    </w:p>
    <w:p>
      <w:pPr>
        <w:pStyle w:val="Heading2"/>
        <w:rPr>
          <w:rFonts w:ascii="仿宋" w:eastAsia="仿宋" w:hAnsi="仿宋" w:cs="仿宋" w:hint="eastAsia"/>
          <w:lang w:eastAsia="zh-CN"/>
        </w:rPr>
      </w:pPr>
      <w:bookmarkStart w:id="6" w:name="_Toc1533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中，我们设计了一套全面的绩效评估指标，以确保时间频率计量标准器具项目的可控和成功交付。这些指标跨足时间频率计量标准器具项目目标、成本、进度和质量等多个维度，为我们提供了全面洞察时间频率计量标准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目标达成率是我们关注的首要指标。我们设定了明确的目标，并通过定期监测和评估，迅速发现并应对潜在的目标偏差。这为时间频率计量标准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成本绩效是另一个核心关注点。通过实际成本与预算成本的对比分析，我们深入了解成本差异的原因，及时调整资源分配，保持时间频率计量标准器具项目在经济效益方面的合理水平。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进度作为关键的绩效指标之一，得到了精心的关注。我们制定了详细的时间频率计量标准器具项目进度计划，并设立了进度符合度指标，确保实际进度与计划进度保持一致。这使我们能够快速发现和解决潜在的进度问题，保持时间频率计量标准器具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时间频率计量标准器具项目绩效的不可或缺的一环。我们引入了一系列的质量标准和客户满意度指标，以确保时间频率计量标准器具项目交付的成果在质量上达到或超越预期水平。通过持续监测这些指标，我们努力提升时间频率计量标准器具项目整体质量水平，为时间频率计量标准器具项目的成功交付提供有力保障。通过这些科学且全面的绩效评估，我们能够更好地引导时间频率计量标准器具项目的持续改进，确保时间频率计量标准器具项目目标的顺利达成。</w:t>
      </w:r>
    </w:p>
    <w:p>
      <w:pPr>
        <w:pStyle w:val="Heading2"/>
        <w:ind w:firstLine="560" w:firstLineChars="200"/>
        <w:rPr>
          <w:rFonts w:ascii="仿宋" w:eastAsia="仿宋" w:hAnsi="仿宋" w:cs="仿宋" w:hint="eastAsia"/>
          <w:sz w:val="28"/>
          <w:lang w:eastAsia="zh-CN"/>
        </w:rPr>
      </w:pPr>
      <w:bookmarkStart w:id="7" w:name="_Toc269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绩效评估是时间频率计量标准器具项目中的关键环节，为确保时间频率计量标准器具项目达到预期目标，我们采用了多层次、多维度的绩效评估方法。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时间频率计量标准器具项目的战略目标对齐，确保每个决策和行动都与时间频率计量标准器具项目整体目标保持一致。团队会定期召开战略对齐会议，审视当前工作与时间频率计量标准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时间频率计量标准器具项目进度、质量、成本和风险等方面。这些指标通过数据收集和分析，为时间频率计量标准器具项目管理团队提供了客观的评估依据。例如，我们通过时间频率计量标准器具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时间频率计量标准器具项目内部，还考虑了时间频率计量标准器具项目对外部环境的影响。我们定期进行干系人满意度调查，以了解各利益相关方对时间频率计量标准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这种多层次、多角度的绩效评估方法，使得我们能够全面了解时间频率计量标准器具项目的运行状态，及时做出调整，确保时间频率计量标准器具项目在不断变化的环境中保持稳健前行。</w:t>
      </w:r>
    </w:p>
    <w:p>
      <w:pPr>
        <w:pStyle w:val="Heading2"/>
        <w:ind w:firstLine="560" w:firstLineChars="200"/>
        <w:rPr>
          <w:rFonts w:ascii="仿宋" w:eastAsia="仿宋" w:hAnsi="仿宋" w:cs="仿宋" w:hint="eastAsia"/>
          <w:sz w:val="28"/>
          <w:lang w:eastAsia="zh-CN"/>
        </w:rPr>
      </w:pPr>
      <w:bookmarkStart w:id="8" w:name="_Toc1705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为了确保时间频率计量标准器具项目的有效管理和不断优化，我们采用了精心设计的绩效评估周期。这个周期旨在实现灵活、实时和全面的评估，以适应时间频率计量标准器具项目执行中的各种挑战。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时间频率计量标准器具项目的不同需求，分为短期、中期和长期。短期评估关注每个迭代或工作周期，以及时发现和解决当前任务中的问题。中期评估涵盖几个迭代，深入了解整体时间频率计量标准器具项目的趋势和性能。长期评估则着眼于整个时间频率计量标准器具项目阶段，确保时间频率计量标准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时间频率计量标准器具项目管理工具和协作平台，团队成员能够随时更新和分享时间频率计量标准器具项目数据。这种实时性的反馈机制使我们能够及时察觉潜在问题，快速调整，保持时间频率计量标准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时间频率计量标准器具项目的决策制定密不可分。每个周期的时间频率计量标准器具项目回顾会议成为集体总结经验、识别问题深层次原因并找到创新解决方案的平台。这种定期的反思与调整机制使时间频率计量标准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73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69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时间频率计量标准器具项目的主要产品是XXXX，预计年产值为XXX万元。这一产品在市场中占据着重要的地位，其广泛的应用范围使得该时间频率计量标准器具项目的市场前景非常广阔。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时间频率计量标准器具项目的xxx产品作为重要的原材料之一，将在多个领域发挥关键作用。其在建筑、交通、能源等方面的广泛应用将为整个产业链提供强大的支持，形成产业协同效应。时间频率计量标准器具项目的年产值XXX万XXX万XXX万万元不仅反映了其在市场上的巨大潜力，更预示着它对国民经济的积极贡献。这种关联度高、涉及面广的产业关系，使得该时间频率计量标准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89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总征地面积为XXXX平方米，相当于约XX.XX亩，其中净用地面积为XXXX平方米，红线范围内相当于约XX.XX亩。这一用地规模充分考虑了时间频率计量标准器具项目的建设需求，保障了时间频率计量标准器具项目在合适的空间内得以充分发展。时间频率计量标准器具项目规划的总建筑面积为XXXX平方米，其中主体工程建设占XXXX平方米，计容建筑面积达XXXX平方米。预计建筑工程的投资将达到XXXX万元，为时间频率计量标准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计划购置的设备共计XXXX台（套），设备购置费用为XXXX万元。这一设备购置计划充分考虑到时间频率计量标准器具项目的生产需求和技术要求，确保了时间频率计量标准器具项目在生产运营中具备先进的技术装备和高效的生产能力。设备的合理配置将为时间频率计量标准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计划总投资为XXXX万元，预计年实现营业收入为XXXX万元。这一产能规模的设定旨在确保时间频率计量标准器具项目能够在投资与回报之间取得平衡，实现长期可持续的发展。时间频率计量标准器具项目的总投资充分考虑到各个方面的需求，包括用地建设、设备购置等多个环节，以确保时间频率计量标准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372"/>
      <w:r>
        <w:rPr>
          <w:rFonts w:ascii="仿宋" w:eastAsia="仿宋" w:hAnsi="仿宋" w:cs="仿宋" w:hint="eastAsia"/>
          <w:sz w:val="28"/>
          <w:lang w:eastAsia="zh-CN"/>
        </w:rPr>
        <w:t>四、时间频率计量标准器具项目可持续发展</w:t>
      </w:r>
      <w:bookmarkEnd w:id="12"/>
    </w:p>
    <w:p>
      <w:pPr>
        <w:pStyle w:val="Heading2"/>
        <w:rPr>
          <w:rFonts w:ascii="仿宋" w:eastAsia="仿宋" w:hAnsi="仿宋" w:cs="仿宋" w:hint="eastAsia"/>
          <w:lang w:eastAsia="zh-CN"/>
        </w:rPr>
      </w:pPr>
      <w:bookmarkStart w:id="13" w:name="_Toc3148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中，时间频率计量标准器具项目团队着眼于未来，明确了可持续发展的战略方向。制定的具体可持续发展目标包括降低资源使用、采用环保技术、最大化社会效益等。这一步骤不仅有助于时间频率计量标准器具项目在环保和社会责任方面达到最高标准，也为未来提供了明确的指引，确保时间频率计量标准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可持续实践的融入时间频率计量标准器具项目管理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时间频率计量标准器具项目管理周期。从时间频率计量标准器具项目规划开始，时间频率计量标准器具项目团队就考虑了环境和社会的因素。在执行阶段，时间频率计量标准器具项目团队积极推动绿色技术的应用，优化资源利用。此外，关注员工的社会责任，通过培训和沟通活动提高员工对可持续发展的认知，使他们能够在日常工作中践行可持续实践。这些举措不仅为时间频率计量标准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747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时间频率计量标准器具项目的可持续发展理念，我们深信环保与社会责任是时间频率计量标准器具项目成功的关键支柱。在时间频率计量标准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团队通过引入先进的环保技术、建立高效的废物处理系统以及推动能源节约措施，积极履行环保责任。定期的环保监测和评估确保时间频率计量标准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不仅致力于自身可持续发展，还注重对社会的回馈。通过支持社区时间频率计量标准器具项目、参与慈善事业、提供培训机会等方式，时间频率计量标准器具项目积极履行社会责任。与当地社区建立积极互动，关注员工的工作与生活平衡，以及员工的身心健康，是时间频率计量标准器具项目在社会责任层面的关键举措。这样的实践不仅增强了时间频率计量标准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66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047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技术管理特点体现在其创新导向。通过引入最先进的技术趋势和解决方案，时间频率计量标准器具项目致力于提升科技含量、提高质量和效率水平。这意味着我们将采用最新的工具和方法，确保时间频率计量标准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时间频率计量标准器具项目技术管理的显著特征。通过整合不同领域的技术资源，我们实现了跨学科的协同工作。这有助于优化技术架构，提高整体效能。此外，整合性策略还促进了不同技术团队之间的紧密沟通和高效合作，确保时间频率计量标准器具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时间频率计量标准器具项目所采用的技术。通过不断优化技术方案，时间频率计量标准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时间频率计量标准器具项目团队将在时间频率计量标准器具项目初期识别可能的技术风险，并采取相应的预防和应对措施。通过建立健全的风险评估机制，时间频率计量标准器具项目能够在实施过程中及时发现并解决潜在的技术问题，保障时间频率计量标准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时间频率计量标准器具项目中，技术将成为时间频率计量标准器具项目成功的有力支持。这一深度剖析揭示了技术管理在时间频率计量标准器具项目实施中的关键作用，为时间频率计量标准器具项目的技术基础奠定了坚实的基础。</w:t>
      </w:r>
    </w:p>
    <w:p>
      <w:pPr>
        <w:pStyle w:val="Heading2"/>
        <w:ind w:firstLine="560" w:firstLineChars="200"/>
        <w:rPr>
          <w:rFonts w:ascii="仿宋" w:eastAsia="仿宋" w:hAnsi="仿宋" w:cs="仿宋" w:hint="eastAsia"/>
          <w:sz w:val="28"/>
          <w:lang w:eastAsia="zh-CN"/>
        </w:rPr>
      </w:pPr>
      <w:bookmarkStart w:id="17" w:name="_Toc30961"/>
      <w:r>
        <w:rPr>
          <w:rFonts w:ascii="仿宋" w:eastAsia="仿宋" w:hAnsi="仿宋" w:cs="仿宋" w:hint="eastAsia"/>
          <w:sz w:val="28"/>
          <w:lang w:eastAsia="zh-CN"/>
        </w:rPr>
        <w:t>(二)、时间频率计量标准器具项目工艺技术设计方案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时间频率计量标准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时间频率计量标准器具项目将严格按照相关行业规范要求进行组织。通过有效控制产品质量，时间频率计量标准器具项目将致力于为顾客提供优质的时间频率计量标准器具项目产品和良好的服务。这体现了时间频率计量标准器具项目对于生产活动合规性和质量标准的高度重视，为时间频率计量标准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时间频率计量标准器具项目注重生态效益和清洁生产原则。时间频率计量标准器具项目建设将紧密结合地方特色经济发展，与社会经济发展规划和区域环境保护规划方案相协调一致。通过与当地区域自然生态系统的结合，时间频率计量标准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时间频率计量标准器具项目产品具有多样化的客户需求和个性化的特点。因此，时间频率计量标准器具项目产品规格品种多样，且单批生产数量较小。为满足这一特点，时间频率计量标准器具项目承办单位将建设先进的柔性制造生产线。通过广泛应用柔性制造技术，时间频率计量标准器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时间频率计量标准器具项目采用的技术具有较高的技术含量和自动化水平，处于国内先进水平。这一技术选用不仅体现了对生产效率、质量和环境友好性的高标准要求，同时为时间频率计量标准器具项目的可持续发展奠定了坚实的基础。</w:t>
      </w:r>
    </w:p>
    <w:p>
      <w:pPr>
        <w:pStyle w:val="Heading2"/>
        <w:ind w:firstLine="560" w:firstLineChars="200"/>
        <w:rPr>
          <w:rFonts w:ascii="仿宋" w:eastAsia="仿宋" w:hAnsi="仿宋" w:cs="仿宋" w:hint="eastAsia"/>
          <w:sz w:val="28"/>
          <w:lang w:eastAsia="zh-CN"/>
        </w:rPr>
      </w:pPr>
      <w:bookmarkStart w:id="18" w:name="_Toc1964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为确保时间频率计量标准器具项目的高效生产和技术实施，我们制定了一套精心设计的设备选型方案，以满足时间频率计量标准器具项目生产、质量和环保的要求。该方案的主要特点如下：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时间频率计量标准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时间频率计量标准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5610"/>
      <w:r>
        <w:rPr>
          <w:rFonts w:ascii="仿宋" w:eastAsia="仿宋" w:hAnsi="仿宋" w:cs="仿宋" w:hint="eastAsia"/>
          <w:sz w:val="28"/>
          <w:lang w:eastAsia="zh-CN"/>
        </w:rPr>
        <w:t>六、时间频率计量标准器具项目土建工程</w:t>
      </w:r>
      <w:bookmarkEnd w:id="19"/>
    </w:p>
    <w:p>
      <w:pPr>
        <w:pStyle w:val="Heading2"/>
        <w:rPr>
          <w:rFonts w:ascii="仿宋" w:eastAsia="仿宋" w:hAnsi="仿宋" w:cs="仿宋" w:hint="eastAsia"/>
          <w:lang w:eastAsia="zh-CN"/>
        </w:rPr>
      </w:pPr>
      <w:bookmarkStart w:id="20" w:name="_Toc1855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在时间频率计量标准器具项目的建筑工程设计中，我们将秉承一系列重要的设计原则，以确保时间频率计量标准器具项目建筑在功能、美观、可持续性等方面达到最佳效果。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首要原则是确保建筑的功能性得到最大化的发挥。我们将充分理解时间频率计量标准器具项目的实际需求，合理布局各个功能区域，保证建筑在满足业务需求的同时，提供高效的工作环境。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https://d.book118.com/696130021110010101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3C16EA"/>
    <w:rsid w:val="163C16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3002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2024-03-04T07:02:00Z</dcterms:created>
  <dcterms:modified xsi:type="dcterms:W3CDTF">2024-03-04T07:03:05Z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32C1E8DAC6FD491499D4669A3102747D_11</vt:lpwstr>
  </property>
  <property fmtid="{D5CDD505-2E9C-101B-9397-08002B2CF9AE}" pid="3" name="KSOProductBuildVer">
    <vt:lpwstr>2052-12.1.0.16388</vt:lpwstr>
  </property>
</Properties>
</file>