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line="829" w:lineRule="exact"/>
        <w:ind w:left="0" w:right="64" w:firstLine="0"/>
        <w:jc w:val="center"/>
        <w:rPr>
          <w:b/>
          <w:sz w:val="66"/>
        </w:rPr>
      </w:pPr>
      <w:r>
        <w:rPr>
          <w:b/>
          <w:sz w:val="66"/>
        </w:rPr>
        <w:t>厦门工商旅游学校金龙整车实训基地项目</w:t>
      </w:r>
    </w:p>
    <w:p>
      <w:pPr>
        <w:pStyle w:val="BodyText"/>
        <w:ind w:left="0"/>
        <w:rPr>
          <w:b/>
          <w:sz w:val="66"/>
        </w:rPr>
      </w:pPr>
    </w:p>
    <w:p>
      <w:pPr>
        <w:pStyle w:val="BodyText"/>
        <w:spacing w:before="5"/>
        <w:ind w:left="0"/>
        <w:rPr>
          <w:b/>
          <w:sz w:val="76"/>
        </w:rPr>
      </w:pPr>
    </w:p>
    <w:p>
      <w:pPr>
        <w:spacing w:before="0" w:line="242" w:lineRule="auto"/>
        <w:ind w:left="8569" w:right="8569" w:firstLine="0"/>
        <w:jc w:val="both"/>
        <w:rPr>
          <w:b/>
          <w:sz w:val="72"/>
        </w:rPr>
      </w:pPr>
      <w:r>
        <w:rPr>
          <w:b/>
          <w:w w:val="95"/>
          <w:sz w:val="72"/>
        </w:rPr>
        <w:t>蒸压加气混凝土</w:t>
      </w:r>
    </w:p>
    <w:p>
      <w:pPr>
        <w:spacing w:before="13" w:line="242" w:lineRule="auto"/>
        <w:ind w:left="7122" w:right="7135" w:firstLine="0"/>
        <w:jc w:val="center"/>
        <w:rPr>
          <w:b/>
          <w:sz w:val="72"/>
        </w:rPr>
      </w:pPr>
      <w:r>
        <w:rPr>
          <w:b/>
          <w:spacing w:val="-4"/>
          <w:w w:val="95"/>
          <w:sz w:val="72"/>
        </w:rPr>
        <w:t>砌筑与抹灰</w:t>
      </w:r>
      <w:r>
        <w:rPr>
          <w:b/>
          <w:sz w:val="72"/>
        </w:rPr>
        <w:t>专</w:t>
      </w:r>
    </w:p>
    <w:p>
      <w:pPr>
        <w:spacing w:before="5" w:line="242" w:lineRule="auto"/>
        <w:ind w:left="8569" w:right="8569" w:firstLine="0"/>
        <w:jc w:val="both"/>
        <w:rPr>
          <w:b/>
          <w:sz w:val="72"/>
        </w:rPr>
      </w:pPr>
      <w:r>
        <w:rPr>
          <w:b/>
          <w:w w:val="95"/>
          <w:sz w:val="72"/>
        </w:rPr>
        <w:t>项方案</w:t>
      </w:r>
    </w:p>
    <w:p>
      <w:pPr>
        <w:pStyle w:val="BodyText"/>
        <w:ind w:left="0"/>
        <w:rPr>
          <w:b/>
          <w:sz w:val="72"/>
        </w:rPr>
      </w:pPr>
    </w:p>
    <w:p>
      <w:pPr>
        <w:pStyle w:val="BodyText"/>
        <w:ind w:left="0"/>
        <w:rPr>
          <w:b/>
          <w:sz w:val="72"/>
        </w:rPr>
      </w:pPr>
    </w:p>
    <w:p>
      <w:pPr>
        <w:pStyle w:val="BodyText"/>
        <w:spacing w:before="6"/>
        <w:ind w:left="0"/>
        <w:rPr>
          <w:b/>
          <w:sz w:val="87"/>
        </w:rPr>
      </w:pPr>
    </w:p>
    <w:p>
      <w:pPr>
        <w:spacing w:before="0"/>
        <w:ind w:left="0" w:right="36" w:firstLine="0"/>
        <w:jc w:val="center"/>
        <w:rPr>
          <w:b/>
          <w:sz w:val="54"/>
        </w:rPr>
      </w:pPr>
      <w:r>
        <w:rPr>
          <w:b/>
          <w:sz w:val="54"/>
        </w:rPr>
        <w:t>编制单位：福建桐宸建设集团有限公司</w:t>
      </w:r>
    </w:p>
    <w:p>
      <w:pPr>
        <w:pStyle w:val="BodyText"/>
        <w:ind w:left="0"/>
        <w:rPr>
          <w:b/>
          <w:sz w:val="54"/>
        </w:rPr>
      </w:pPr>
    </w:p>
    <w:p>
      <w:pPr>
        <w:spacing w:before="366"/>
        <w:ind w:left="4731" w:right="0" w:firstLine="0"/>
        <w:jc w:val="left"/>
        <w:rPr>
          <w:rFonts w:ascii="黑体" w:eastAsia="黑体" w:hint="eastAsia"/>
          <w:b/>
          <w:sz w:val="54"/>
        </w:rPr>
      </w:pPr>
      <w:r>
        <w:rPr>
          <w:rFonts w:ascii="黑体" w:eastAsia="黑体" w:hint="eastAsia"/>
          <w:b/>
          <w:sz w:val="54"/>
        </w:rPr>
        <w:t>编制日期：</w:t>
      </w:r>
      <w:r>
        <w:rPr>
          <w:b/>
          <w:spacing w:val="2"/>
          <w:sz w:val="54"/>
        </w:rPr>
        <w:t>2016</w:t>
      </w:r>
      <w:r>
        <w:rPr>
          <w:b/>
          <w:spacing w:val="-130"/>
          <w:sz w:val="54"/>
        </w:rPr>
        <w:t xml:space="preserve"> </w:t>
      </w:r>
      <w:r>
        <w:rPr>
          <w:rFonts w:ascii="黑体" w:eastAsia="黑体" w:hint="eastAsia"/>
          <w:b/>
          <w:spacing w:val="-66"/>
          <w:sz w:val="54"/>
        </w:rPr>
        <w:t xml:space="preserve">年 </w:t>
      </w:r>
      <w:r>
        <w:rPr>
          <w:b/>
          <w:sz w:val="54"/>
        </w:rPr>
        <w:t>8</w:t>
      </w:r>
      <w:r>
        <w:rPr>
          <w:b/>
          <w:spacing w:val="-136"/>
          <w:sz w:val="54"/>
        </w:rPr>
        <w:t xml:space="preserve"> </w:t>
      </w:r>
      <w:r>
        <w:rPr>
          <w:rFonts w:ascii="黑体" w:eastAsia="黑体" w:hint="eastAsia"/>
          <w:b/>
          <w:sz w:val="54"/>
        </w:rPr>
        <w:t>月</w:t>
      </w:r>
    </w:p>
    <w:p>
      <w:pPr>
        <w:spacing w:after="0"/>
        <w:jc w:val="left"/>
        <w:rPr>
          <w:rFonts w:ascii="黑体" w:eastAsia="黑体" w:hint="eastAsia"/>
          <w:sz w:val="54"/>
        </w:rPr>
        <w:sectPr>
          <w:type w:val="continuous"/>
          <w:pgSz w:w="17860" w:h="25260"/>
          <w:pgMar w:top="1600" w:right="0" w:bottom="280" w:left="0" w:header="708" w:footer="708"/>
          <w:cols w:space="708"/>
        </w:sectPr>
      </w:pPr>
    </w:p>
    <w:p>
      <w:pPr>
        <w:pStyle w:val="BodyText"/>
        <w:ind w:left="0"/>
        <w:rPr>
          <w:rFonts w:ascii="黑体"/>
          <w:b/>
          <w:sz w:val="20"/>
        </w:rPr>
      </w:pPr>
    </w:p>
    <w:p>
      <w:pPr>
        <w:pStyle w:val="BodyText"/>
        <w:ind w:left="0"/>
        <w:rPr>
          <w:rFonts w:ascii="黑体"/>
          <w:b/>
          <w:sz w:val="20"/>
        </w:rPr>
      </w:pPr>
    </w:p>
    <w:p>
      <w:pPr>
        <w:pStyle w:val="BodyText"/>
        <w:ind w:left="0"/>
        <w:rPr>
          <w:rFonts w:ascii="黑体"/>
          <w:b/>
          <w:sz w:val="20"/>
        </w:rPr>
      </w:pPr>
    </w:p>
    <w:p>
      <w:pPr>
        <w:pStyle w:val="BodyText"/>
        <w:ind w:left="0"/>
        <w:rPr>
          <w:rFonts w:ascii="黑体"/>
          <w:b/>
          <w:sz w:val="20"/>
        </w:rPr>
      </w:pPr>
    </w:p>
    <w:p>
      <w:pPr>
        <w:pStyle w:val="BodyText"/>
        <w:ind w:left="0"/>
        <w:rPr>
          <w:rFonts w:ascii="黑体"/>
          <w:b/>
          <w:sz w:val="20"/>
        </w:rPr>
      </w:pPr>
    </w:p>
    <w:p>
      <w:pPr>
        <w:pStyle w:val="BodyText"/>
        <w:ind w:left="0"/>
        <w:rPr>
          <w:rFonts w:ascii="黑体"/>
          <w:b/>
          <w:sz w:val="20"/>
        </w:rPr>
      </w:pPr>
    </w:p>
    <w:p>
      <w:pPr>
        <w:pStyle w:val="BodyText"/>
        <w:ind w:left="0"/>
        <w:rPr>
          <w:rFonts w:ascii="黑体"/>
          <w:b/>
          <w:sz w:val="20"/>
        </w:rPr>
      </w:pPr>
    </w:p>
    <w:p>
      <w:pPr>
        <w:pStyle w:val="BodyText"/>
        <w:spacing w:before="3"/>
        <w:ind w:left="0"/>
        <w:rPr>
          <w:rFonts w:ascii="黑体"/>
          <w:b/>
          <w:sz w:val="20"/>
        </w:rPr>
      </w:pPr>
    </w:p>
    <w:p>
      <w:pPr>
        <w:tabs>
          <w:tab w:val="left" w:pos="1443"/>
        </w:tabs>
        <w:spacing w:before="0" w:line="922" w:lineRule="exact"/>
        <w:ind w:left="0" w:right="2" w:firstLine="0"/>
        <w:jc w:val="center"/>
        <w:rPr>
          <w:b/>
          <w:sz w:val="72"/>
        </w:rPr>
      </w:pPr>
      <w:r>
        <w:rPr>
          <w:b/>
          <w:sz w:val="72"/>
        </w:rPr>
        <w:t>目</w:t>
        <w:tab/>
        <w:t>录</w:t>
      </w:r>
    </w:p>
    <w:p>
      <w:pPr>
        <w:pStyle w:val="BodyText"/>
        <w:spacing w:before="10"/>
        <w:ind w:left="0"/>
        <w:rPr>
          <w:b/>
          <w:sz w:val="92"/>
        </w:rPr>
      </w:pPr>
    </w:p>
    <w:sdt>
      <w:sdtPr>
        <w:id w:val="1446887503"/>
        <w:docPartObj>
          <w:docPartGallery w:val="Table of Contents"/>
          <w:docPartUnique/>
        </w:docPartObj>
      </w:sdtPr>
      <w:sdtContent>
        <w:p>
          <w:pPr>
            <w:pStyle w:val="TOC1"/>
            <w:numPr>
              <w:ilvl w:val="0"/>
              <w:numId w:val="17"/>
            </w:numPr>
            <w:tabs>
              <w:tab w:val="left" w:pos="3163"/>
              <w:tab w:val="right" w:leader="dot" w:pos="14710"/>
            </w:tabs>
            <w:spacing w:before="0" w:after="0" w:line="523" w:lineRule="exact"/>
            <w:ind w:left="3162" w:right="0" w:hanging="423"/>
            <w:jc w:val="left"/>
          </w:pPr>
          <w:hyperlink w:anchor="_TOC_250024" w:history="1">
            <w:r>
              <w:t>工程概况…</w:t>
              <w:tab/>
              <w:t>3</w:t>
            </w:r>
          </w:hyperlink>
        </w:p>
        <w:p>
          <w:pPr>
            <w:pStyle w:val="TOC1"/>
            <w:numPr>
              <w:ilvl w:val="0"/>
              <w:numId w:val="17"/>
            </w:numPr>
            <w:tabs>
              <w:tab w:val="left" w:pos="3163"/>
              <w:tab w:val="right" w:leader="dot" w:pos="14710"/>
            </w:tabs>
            <w:spacing w:before="0" w:after="0" w:line="509" w:lineRule="exact"/>
            <w:ind w:left="3162" w:right="0" w:hanging="423"/>
            <w:jc w:val="left"/>
          </w:pPr>
          <w:hyperlink w:anchor="_TOC_250023" w:history="1">
            <w:r>
              <w:t>编制依据…</w:t>
              <w:tab/>
              <w:t>3</w:t>
            </w:r>
          </w:hyperlink>
        </w:p>
        <w:p>
          <w:pPr>
            <w:pStyle w:val="TOC1"/>
            <w:numPr>
              <w:ilvl w:val="0"/>
              <w:numId w:val="17"/>
            </w:numPr>
            <w:tabs>
              <w:tab w:val="left" w:pos="3163"/>
              <w:tab w:val="right" w:leader="dot" w:pos="14710"/>
            </w:tabs>
            <w:spacing w:before="0" w:after="0" w:line="511" w:lineRule="exact"/>
            <w:ind w:left="3162" w:right="0" w:hanging="423"/>
            <w:jc w:val="left"/>
          </w:pPr>
          <w:hyperlink w:anchor="_TOC_250022" w:history="1">
            <w:r>
              <w:t>劳动力组织…</w:t>
              <w:tab/>
              <w:t>3</w:t>
            </w:r>
          </w:hyperlink>
        </w:p>
        <w:p>
          <w:pPr>
            <w:pStyle w:val="TOC1"/>
            <w:numPr>
              <w:ilvl w:val="0"/>
              <w:numId w:val="17"/>
            </w:numPr>
            <w:tabs>
              <w:tab w:val="left" w:pos="3163"/>
              <w:tab w:val="right" w:leader="dot" w:pos="14710"/>
            </w:tabs>
            <w:spacing w:before="0" w:after="0" w:line="510" w:lineRule="exact"/>
            <w:ind w:left="3162" w:right="0" w:hanging="423"/>
            <w:jc w:val="left"/>
          </w:pPr>
          <w:hyperlink w:anchor="_TOC_250021" w:history="1">
            <w:r>
              <w:t>机具设备配置…</w:t>
              <w:tab/>
              <w:t>4</w:t>
            </w:r>
          </w:hyperlink>
        </w:p>
        <w:p>
          <w:pPr>
            <w:pStyle w:val="TOC1"/>
            <w:numPr>
              <w:ilvl w:val="0"/>
              <w:numId w:val="17"/>
            </w:numPr>
            <w:tabs>
              <w:tab w:val="left" w:pos="3163"/>
              <w:tab w:val="right" w:leader="dot" w:pos="14710"/>
            </w:tabs>
            <w:spacing w:before="0" w:after="0" w:line="510" w:lineRule="exact"/>
            <w:ind w:left="3162" w:right="0" w:hanging="423"/>
            <w:jc w:val="left"/>
          </w:pPr>
          <w:hyperlink w:anchor="_TOC_250020" w:history="1">
            <w:r>
              <w:t>砌体工艺流程及操作要点…</w:t>
              <w:tab/>
              <w:t>4</w:t>
            </w:r>
          </w:hyperlink>
        </w:p>
        <w:p>
          <w:pPr>
            <w:pStyle w:val="TOC1"/>
            <w:numPr>
              <w:ilvl w:val="1"/>
              <w:numId w:val="17"/>
            </w:numPr>
            <w:tabs>
              <w:tab w:val="left" w:pos="3583"/>
              <w:tab w:val="right" w:leader="dot" w:pos="14710"/>
            </w:tabs>
            <w:spacing w:before="0" w:after="0" w:line="511" w:lineRule="exact"/>
            <w:ind w:left="3582" w:right="0" w:hanging="843"/>
            <w:jc w:val="left"/>
          </w:pPr>
          <w:hyperlink w:anchor="_TOC_250019" w:history="1">
            <w:r>
              <w:t>工艺流程…</w:t>
              <w:tab/>
              <w:t>4</w:t>
            </w:r>
          </w:hyperlink>
        </w:p>
        <w:p>
          <w:pPr>
            <w:pStyle w:val="TOC1"/>
            <w:numPr>
              <w:ilvl w:val="1"/>
              <w:numId w:val="17"/>
            </w:numPr>
            <w:tabs>
              <w:tab w:val="left" w:pos="3583"/>
              <w:tab w:val="right" w:leader="dot" w:pos="14710"/>
            </w:tabs>
            <w:spacing w:before="0" w:after="0" w:line="509" w:lineRule="exact"/>
            <w:ind w:left="3582" w:right="0" w:hanging="843"/>
            <w:jc w:val="left"/>
          </w:pPr>
          <w:hyperlink w:anchor="_TOC_250018" w:history="1">
            <w:r>
              <w:t>操作要点…</w:t>
              <w:tab/>
              <w:t>5</w:t>
            </w:r>
          </w:hyperlink>
        </w:p>
        <w:p>
          <w:pPr>
            <w:pStyle w:val="TOC1"/>
            <w:numPr>
              <w:ilvl w:val="1"/>
              <w:numId w:val="17"/>
            </w:numPr>
            <w:tabs>
              <w:tab w:val="left" w:pos="3583"/>
              <w:tab w:val="right" w:leader="dot" w:pos="14710"/>
            </w:tabs>
            <w:spacing w:before="0" w:after="0" w:line="510" w:lineRule="exact"/>
            <w:ind w:left="3582" w:right="0" w:hanging="843"/>
            <w:jc w:val="left"/>
          </w:pPr>
          <w:hyperlink w:anchor="_TOC_250017" w:history="1">
            <w:r>
              <w:t>墙体砌筑要求…</w:t>
              <w:tab/>
              <w:t>8</w:t>
            </w:r>
          </w:hyperlink>
        </w:p>
        <w:p>
          <w:pPr>
            <w:pStyle w:val="TOC1"/>
            <w:numPr>
              <w:ilvl w:val="1"/>
              <w:numId w:val="17"/>
            </w:numPr>
            <w:tabs>
              <w:tab w:val="left" w:pos="3583"/>
              <w:tab w:val="right" w:leader="dot" w:pos="14710"/>
            </w:tabs>
            <w:spacing w:before="0" w:after="0" w:line="511" w:lineRule="exact"/>
            <w:ind w:left="3582" w:right="0" w:hanging="843"/>
            <w:jc w:val="left"/>
          </w:pPr>
          <w:r>
            <w:t>砌筑灰缝…</w:t>
            <w:tab/>
            <w:t>9</w:t>
          </w:r>
        </w:p>
        <w:p>
          <w:pPr>
            <w:pStyle w:val="TOC1"/>
            <w:numPr>
              <w:ilvl w:val="0"/>
              <w:numId w:val="17"/>
            </w:numPr>
            <w:tabs>
              <w:tab w:val="left" w:pos="3163"/>
              <w:tab w:val="right" w:leader="dot" w:pos="14710"/>
            </w:tabs>
            <w:spacing w:before="0" w:after="0" w:line="509" w:lineRule="exact"/>
            <w:ind w:left="3162" w:right="0" w:hanging="423"/>
            <w:jc w:val="left"/>
          </w:pPr>
          <w:hyperlink w:anchor="_TOC_250016" w:history="1">
            <w:r>
              <w:t>抹灰工艺流程及操作要点…</w:t>
              <w:tab/>
              <w:t>9</w:t>
            </w:r>
          </w:hyperlink>
        </w:p>
        <w:p>
          <w:pPr>
            <w:pStyle w:val="TOC1"/>
            <w:numPr>
              <w:ilvl w:val="1"/>
              <w:numId w:val="17"/>
            </w:numPr>
            <w:tabs>
              <w:tab w:val="left" w:pos="3583"/>
              <w:tab w:val="right" w:leader="dot" w:pos="14710"/>
            </w:tabs>
            <w:spacing w:before="0" w:after="0" w:line="509" w:lineRule="exact"/>
            <w:ind w:left="3582" w:right="0" w:hanging="843"/>
            <w:jc w:val="left"/>
          </w:pPr>
          <w:hyperlink w:anchor="_TOC_250015" w:history="1">
            <w:r>
              <w:t>工艺流程…</w:t>
              <w:tab/>
              <w:t>9</w:t>
            </w:r>
          </w:hyperlink>
        </w:p>
        <w:p>
          <w:pPr>
            <w:pStyle w:val="TOC1"/>
            <w:numPr>
              <w:ilvl w:val="1"/>
              <w:numId w:val="17"/>
            </w:numPr>
            <w:tabs>
              <w:tab w:val="left" w:pos="3583"/>
              <w:tab w:val="right" w:leader="dot" w:pos="14710"/>
            </w:tabs>
            <w:spacing w:before="0" w:after="0" w:line="511" w:lineRule="exact"/>
            <w:ind w:left="3582" w:right="0" w:hanging="843"/>
            <w:jc w:val="left"/>
          </w:pPr>
          <w:hyperlink w:anchor="_TOC_250014" w:history="1">
            <w:r>
              <w:t>抹灰操作要求…</w:t>
              <w:tab/>
              <w:t>9</w:t>
            </w:r>
          </w:hyperlink>
        </w:p>
        <w:p>
          <w:pPr>
            <w:pStyle w:val="TOC1"/>
            <w:numPr>
              <w:ilvl w:val="1"/>
              <w:numId w:val="17"/>
            </w:numPr>
            <w:tabs>
              <w:tab w:val="left" w:pos="3450"/>
              <w:tab w:val="right" w:leader="dot" w:pos="14788"/>
            </w:tabs>
            <w:spacing w:before="0" w:after="0" w:line="509" w:lineRule="exact"/>
            <w:ind w:left="3449" w:right="0" w:hanging="739"/>
            <w:jc w:val="left"/>
          </w:pPr>
          <w:hyperlink w:anchor="_TOC_250013" w:history="1">
            <w:r>
              <w:t>外墙抹灰…</w:t>
              <w:tab/>
              <w:t>10</w:t>
            </w:r>
          </w:hyperlink>
        </w:p>
        <w:p>
          <w:pPr>
            <w:pStyle w:val="TOC1"/>
            <w:numPr>
              <w:ilvl w:val="1"/>
              <w:numId w:val="17"/>
            </w:numPr>
            <w:tabs>
              <w:tab w:val="left" w:pos="3450"/>
              <w:tab w:val="right" w:leader="dot" w:pos="14788"/>
            </w:tabs>
            <w:spacing w:before="0" w:after="0" w:line="510" w:lineRule="exact"/>
            <w:ind w:left="3449" w:right="0" w:hanging="739"/>
            <w:jc w:val="left"/>
          </w:pPr>
          <w:hyperlink w:anchor="_TOC_250012" w:history="1">
            <w:r>
              <w:t>内墙抹灰…</w:t>
              <w:tab/>
              <w:t>11</w:t>
            </w:r>
          </w:hyperlink>
        </w:p>
        <w:p>
          <w:pPr>
            <w:pStyle w:val="TOC1"/>
            <w:numPr>
              <w:ilvl w:val="1"/>
              <w:numId w:val="17"/>
            </w:numPr>
            <w:tabs>
              <w:tab w:val="left" w:pos="3450"/>
              <w:tab w:val="right" w:leader="dot" w:pos="14788"/>
            </w:tabs>
            <w:spacing w:before="0" w:after="0" w:line="511" w:lineRule="exact"/>
            <w:ind w:left="3449" w:right="0" w:hanging="739"/>
            <w:jc w:val="left"/>
          </w:pPr>
          <w:hyperlink w:anchor="_TOC_250011" w:history="1">
            <w:r>
              <w:t>抹灰施工…</w:t>
              <w:tab/>
              <w:t>11</w:t>
            </w:r>
          </w:hyperlink>
        </w:p>
        <w:p>
          <w:pPr>
            <w:pStyle w:val="TOC1"/>
            <w:numPr>
              <w:ilvl w:val="1"/>
              <w:numId w:val="17"/>
            </w:numPr>
            <w:tabs>
              <w:tab w:val="left" w:pos="3450"/>
              <w:tab w:val="right" w:leader="dot" w:pos="14788"/>
            </w:tabs>
            <w:spacing w:before="0" w:after="0" w:line="509" w:lineRule="exact"/>
            <w:ind w:left="3449" w:right="0" w:hanging="739"/>
            <w:jc w:val="left"/>
          </w:pPr>
          <w:hyperlink w:anchor="_TOC_250010" w:history="1">
            <w:r>
              <w:t>墙面抹灰施工措施…</w:t>
              <w:tab/>
              <w:t>12</w:t>
            </w:r>
          </w:hyperlink>
        </w:p>
        <w:p>
          <w:pPr>
            <w:pStyle w:val="TOC1"/>
            <w:numPr>
              <w:ilvl w:val="0"/>
              <w:numId w:val="16"/>
            </w:numPr>
            <w:tabs>
              <w:tab w:val="left" w:pos="3029"/>
              <w:tab w:val="right" w:leader="dot" w:pos="14788"/>
            </w:tabs>
            <w:spacing w:before="0" w:after="0" w:line="509" w:lineRule="exact"/>
            <w:ind w:left="3028" w:right="0" w:hanging="318"/>
            <w:jc w:val="left"/>
          </w:pPr>
          <w:hyperlink w:anchor="_TOC_250009" w:history="1">
            <w:r>
              <w:t>质量控制要点…</w:t>
              <w:tab/>
              <w:t>13</w:t>
            </w:r>
          </w:hyperlink>
        </w:p>
        <w:p>
          <w:pPr>
            <w:pStyle w:val="TOC1"/>
            <w:numPr>
              <w:ilvl w:val="1"/>
              <w:numId w:val="16"/>
            </w:numPr>
            <w:tabs>
              <w:tab w:val="left" w:pos="3479"/>
              <w:tab w:val="right" w:leader="dot" w:pos="14816"/>
            </w:tabs>
            <w:spacing w:before="0" w:after="0" w:line="511" w:lineRule="exact"/>
            <w:ind w:left="3478" w:right="0" w:hanging="739"/>
            <w:jc w:val="left"/>
          </w:pPr>
          <w:hyperlink w:anchor="_TOC_250008" w:history="1">
            <w:r>
              <w:t>质量控制要求…</w:t>
              <w:tab/>
              <w:t>13</w:t>
            </w:r>
          </w:hyperlink>
        </w:p>
        <w:p>
          <w:pPr>
            <w:pStyle w:val="TOC1"/>
            <w:numPr>
              <w:ilvl w:val="1"/>
              <w:numId w:val="16"/>
            </w:numPr>
            <w:tabs>
              <w:tab w:val="left" w:pos="3479"/>
              <w:tab w:val="right" w:leader="dot" w:pos="14816"/>
            </w:tabs>
            <w:spacing w:before="0" w:after="0" w:line="509" w:lineRule="exact"/>
            <w:ind w:left="3478" w:right="0" w:hanging="739"/>
            <w:jc w:val="left"/>
          </w:pPr>
          <w:hyperlink w:anchor="_TOC_250007" w:history="1">
            <w:r>
              <w:t>质量检验标准…</w:t>
              <w:tab/>
              <w:t>14</w:t>
            </w:r>
          </w:hyperlink>
        </w:p>
        <w:p>
          <w:pPr>
            <w:pStyle w:val="TOC1"/>
            <w:numPr>
              <w:ilvl w:val="1"/>
              <w:numId w:val="16"/>
            </w:numPr>
            <w:tabs>
              <w:tab w:val="left" w:pos="3479"/>
              <w:tab w:val="right" w:leader="dot" w:pos="14816"/>
            </w:tabs>
            <w:spacing w:before="0" w:after="0" w:line="509" w:lineRule="exact"/>
            <w:ind w:left="3478" w:right="0" w:hanging="739"/>
            <w:jc w:val="left"/>
          </w:pPr>
          <w:hyperlink w:anchor="_TOC_250006" w:history="1">
            <w:r>
              <w:t>质量通病防治…</w:t>
              <w:tab/>
              <w:t>15</w:t>
            </w:r>
          </w:hyperlink>
        </w:p>
        <w:p>
          <w:pPr>
            <w:pStyle w:val="TOC1"/>
            <w:numPr>
              <w:ilvl w:val="1"/>
              <w:numId w:val="16"/>
            </w:numPr>
            <w:tabs>
              <w:tab w:val="left" w:pos="3479"/>
              <w:tab w:val="right" w:leader="dot" w:pos="14816"/>
            </w:tabs>
            <w:spacing w:before="0" w:after="0" w:line="511" w:lineRule="exact"/>
            <w:ind w:left="3478" w:right="0" w:hanging="739"/>
            <w:jc w:val="left"/>
          </w:pPr>
          <w:hyperlink w:anchor="_TOC_250005" w:history="1">
            <w:r>
              <w:t>成品保护…</w:t>
              <w:tab/>
              <w:t>18</w:t>
            </w:r>
          </w:hyperlink>
        </w:p>
        <w:p>
          <w:pPr>
            <w:pStyle w:val="TOC1"/>
            <w:numPr>
              <w:ilvl w:val="1"/>
              <w:numId w:val="16"/>
            </w:numPr>
            <w:tabs>
              <w:tab w:val="left" w:pos="3479"/>
              <w:tab w:val="right" w:leader="dot" w:pos="14816"/>
            </w:tabs>
            <w:spacing w:before="0" w:after="0" w:line="509" w:lineRule="exact"/>
            <w:ind w:left="3478" w:right="0" w:hanging="739"/>
            <w:jc w:val="left"/>
          </w:pPr>
          <w:hyperlink w:anchor="_TOC_250004" w:history="1">
            <w:r>
              <w:t>质量记录…</w:t>
              <w:tab/>
              <w:t>19</w:t>
            </w:r>
          </w:hyperlink>
        </w:p>
        <w:p>
          <w:pPr>
            <w:pStyle w:val="TOC1"/>
            <w:numPr>
              <w:ilvl w:val="0"/>
              <w:numId w:val="16"/>
            </w:numPr>
            <w:tabs>
              <w:tab w:val="left" w:pos="3057"/>
              <w:tab w:val="right" w:leader="dot" w:pos="14816"/>
            </w:tabs>
            <w:spacing w:before="0" w:after="0" w:line="509" w:lineRule="exact"/>
            <w:ind w:left="3057" w:right="0" w:hanging="317"/>
            <w:jc w:val="left"/>
          </w:pPr>
          <w:hyperlink w:anchor="_TOC_250003" w:history="1">
            <w:r>
              <w:t>安全环保及职业健康措施…</w:t>
              <w:tab/>
              <w:t>19</w:t>
            </w:r>
          </w:hyperlink>
        </w:p>
        <w:p>
          <w:pPr>
            <w:pStyle w:val="TOC1"/>
            <w:numPr>
              <w:ilvl w:val="1"/>
              <w:numId w:val="16"/>
            </w:numPr>
            <w:tabs>
              <w:tab w:val="left" w:pos="3479"/>
              <w:tab w:val="right" w:leader="dot" w:pos="14816"/>
            </w:tabs>
            <w:spacing w:before="0" w:after="0" w:line="511" w:lineRule="exact"/>
            <w:ind w:left="3478" w:right="0" w:hanging="739"/>
            <w:jc w:val="left"/>
          </w:pPr>
          <w:hyperlink w:anchor="_TOC_250002" w:history="1">
            <w:r>
              <w:t>职业健康安全关键要求…</w:t>
              <w:tab/>
              <w:t>19</w:t>
            </w:r>
          </w:hyperlink>
        </w:p>
        <w:p>
          <w:pPr>
            <w:pStyle w:val="TOC1"/>
            <w:numPr>
              <w:ilvl w:val="1"/>
              <w:numId w:val="16"/>
            </w:numPr>
            <w:tabs>
              <w:tab w:val="left" w:pos="3479"/>
              <w:tab w:val="right" w:leader="dot" w:pos="14816"/>
            </w:tabs>
            <w:spacing w:before="0" w:after="0" w:line="510" w:lineRule="exact"/>
            <w:ind w:left="3478" w:right="0" w:hanging="739"/>
            <w:jc w:val="left"/>
          </w:pPr>
          <w:hyperlink w:anchor="_TOC_250001" w:history="1">
            <w:r>
              <w:t>环境关键要求…</w:t>
              <w:tab/>
              <w:t>19</w:t>
            </w:r>
          </w:hyperlink>
        </w:p>
        <w:p>
          <w:pPr>
            <w:pStyle w:val="TOC1"/>
            <w:numPr>
              <w:ilvl w:val="1"/>
              <w:numId w:val="16"/>
            </w:numPr>
            <w:tabs>
              <w:tab w:val="left" w:pos="3479"/>
              <w:tab w:val="right" w:leader="dot" w:pos="14816"/>
            </w:tabs>
            <w:spacing w:before="0" w:after="0" w:line="523" w:lineRule="exact"/>
            <w:ind w:left="3478" w:right="0" w:hanging="739"/>
            <w:jc w:val="left"/>
          </w:pPr>
          <w:hyperlink w:anchor="_TOC_250000" w:history="1">
            <w:r>
              <w:t>安全环保措施…</w:t>
              <w:tab/>
              <w:t>19</w:t>
            </w:r>
          </w:hyperlink>
        </w:p>
      </w:sdtContent>
    </w:sdt>
    <w:p>
      <w:pPr>
        <w:spacing w:after="0" w:line="523" w:lineRule="exact"/>
        <w:jc w:val="left"/>
        <w:sectPr>
          <w:headerReference w:type="default" r:id="rId4"/>
          <w:footerReference w:type="default" r:id="rId5"/>
          <w:pgSz w:w="17860" w:h="25260"/>
          <w:pgMar w:top="1360" w:right="0" w:bottom="2020" w:left="0" w:header="1084" w:footer="1838"/>
          <w:pgNumType w:start="2"/>
          <w:cols w:space="708"/>
        </w:sectPr>
      </w:pPr>
    </w:p>
    <w:p>
      <w:pPr>
        <w:pStyle w:val="BodyText"/>
        <w:ind w:left="0"/>
        <w:rPr>
          <w:sz w:val="40"/>
        </w:rPr>
      </w:pPr>
    </w:p>
    <w:p>
      <w:pPr>
        <w:pStyle w:val="BodyText"/>
        <w:spacing w:before="6"/>
        <w:ind w:left="0"/>
        <w:rPr>
          <w:sz w:val="34"/>
        </w:rPr>
      </w:pPr>
    </w:p>
    <w:p>
      <w:pPr>
        <w:pStyle w:val="Heading1"/>
        <w:numPr>
          <w:ilvl w:val="0"/>
          <w:numId w:val="15"/>
        </w:numPr>
        <w:tabs>
          <w:tab w:val="left" w:pos="3165"/>
        </w:tabs>
        <w:spacing w:before="0" w:after="0" w:line="240" w:lineRule="auto"/>
        <w:ind w:left="3165" w:right="0" w:hanging="724"/>
        <w:jc w:val="left"/>
        <w:rPr>
          <w:rFonts w:ascii="Arial" w:eastAsia="Arial"/>
        </w:rPr>
      </w:pPr>
      <w:bookmarkStart w:id="0" w:name="_TOC_250024"/>
      <w:bookmarkEnd w:id="0"/>
      <w:r>
        <w:rPr>
          <w:rFonts w:ascii="宋体" w:eastAsia="宋体" w:hint="eastAsia"/>
        </w:rPr>
        <w:t>工程概况</w:t>
      </w:r>
    </w:p>
    <w:p>
      <w:pPr>
        <w:pStyle w:val="BodyText"/>
        <w:spacing w:before="234" w:line="381" w:lineRule="auto"/>
        <w:ind w:right="2432" w:firstLine="629"/>
      </w:pPr>
      <w:r>
        <w:t>厦门工商旅游学校金龙整车实训基地项目位于厦门市集美文教区天马路厦门工商旅游学校校内，基础为独立基础。本工程结构体系为框剪结构。建筑面积2340 平方，建筑层数 2 层。</w:t>
      </w:r>
    </w:p>
    <w:p>
      <w:pPr>
        <w:pStyle w:val="BodyText"/>
        <w:spacing w:line="394" w:lineRule="exact"/>
        <w:ind w:left="3071"/>
      </w:pPr>
      <w:r>
        <w:t>建设单位：厦门工商旅游学校</w:t>
      </w:r>
    </w:p>
    <w:p>
      <w:pPr>
        <w:pStyle w:val="BodyText"/>
        <w:spacing w:before="233" w:line="381" w:lineRule="auto"/>
        <w:ind w:left="3071" w:right="9717"/>
      </w:pPr>
      <w:r>
        <w:t>勘察单位：福建省漳州市建筑设计院设计单位：福建省漳州市建筑设计院</w:t>
      </w:r>
    </w:p>
    <w:p>
      <w:pPr>
        <w:pStyle w:val="BodyText"/>
        <w:spacing w:line="381" w:lineRule="auto"/>
        <w:ind w:left="3071" w:right="9083"/>
      </w:pPr>
      <w:r>
        <w:t>监理单位：厦门兴海湾工程管理有限公司施工单位：福建桐宸建设集团有限公司</w:t>
      </w:r>
    </w:p>
    <w:p>
      <w:pPr>
        <w:pStyle w:val="BodyText"/>
        <w:spacing w:line="394" w:lineRule="exact"/>
        <w:ind w:left="3071"/>
      </w:pPr>
      <w:r>
        <w:t>代建单位：厦门象屿工程咨询管理有限公司</w:t>
      </w:r>
    </w:p>
    <w:p>
      <w:pPr>
        <w:pStyle w:val="BodyText"/>
        <w:spacing w:before="230" w:line="381" w:lineRule="auto"/>
        <w:ind w:right="2364" w:firstLine="629"/>
        <w:jc w:val="both"/>
      </w:pPr>
      <w:r>
        <w:t>本工程主要功能为地上一层、二层培训车间，设计使用年限50 年，耐火等级为二级，抗震设防烈度为 7 度，抗震设防类别为丙类重点设防类，建筑结构安全等级为二级，框剪结构，建筑高度为 12.45m。</w:t>
      </w:r>
    </w:p>
    <w:p>
      <w:pPr>
        <w:pStyle w:val="BodyText"/>
        <w:spacing w:line="381" w:lineRule="auto"/>
        <w:ind w:right="2273" w:firstLine="629"/>
        <w:jc w:val="both"/>
      </w:pPr>
      <w:r>
        <w:rPr>
          <w:spacing w:val="-14"/>
        </w:rPr>
        <w:t xml:space="preserve">墙体：除特殊注明外，外墙及楼梯间分隔墙均为 </w:t>
      </w:r>
      <w:r>
        <w:t>200mmm</w:t>
      </w:r>
      <w:r>
        <w:rPr>
          <w:spacing w:val="-10"/>
        </w:rPr>
        <w:t xml:space="preserve"> 厚蒸压砂加气混凝土砌块；管道井、</w:t>
      </w:r>
      <w:r>
        <w:rPr>
          <w:spacing w:val="-3"/>
        </w:rPr>
        <w:t xml:space="preserve">卫生间隔墙为 </w:t>
      </w:r>
      <w:r>
        <w:t>100mm</w:t>
      </w:r>
      <w:r>
        <w:rPr>
          <w:spacing w:val="-2"/>
        </w:rPr>
        <w:t xml:space="preserve"> 厚蒸压砂加气混凝土砌块。墙体强度：抗压强度</w:t>
      </w:r>
      <w:r>
        <w:t>A5.0</w:t>
      </w:r>
      <w:r>
        <w:rPr>
          <w:spacing w:val="-4"/>
        </w:rPr>
        <w:t>、</w:t>
      </w:r>
      <w:r>
        <w:t>M5 专用砂浆砌筑。</w:t>
      </w:r>
    </w:p>
    <w:p>
      <w:pPr>
        <w:pStyle w:val="BodyText"/>
        <w:spacing w:before="11"/>
        <w:ind w:left="0"/>
        <w:rPr>
          <w:sz w:val="30"/>
        </w:rPr>
      </w:pPr>
    </w:p>
    <w:p>
      <w:pPr>
        <w:pStyle w:val="Heading1"/>
        <w:numPr>
          <w:ilvl w:val="0"/>
          <w:numId w:val="15"/>
        </w:numPr>
        <w:tabs>
          <w:tab w:val="left" w:pos="3165"/>
        </w:tabs>
        <w:spacing w:before="0" w:after="0" w:line="240" w:lineRule="auto"/>
        <w:ind w:left="3165" w:right="0" w:hanging="724"/>
        <w:jc w:val="left"/>
        <w:rPr>
          <w:rFonts w:ascii="Arial" w:eastAsia="Arial"/>
        </w:rPr>
      </w:pPr>
      <w:bookmarkStart w:id="1" w:name="_TOC_250023"/>
      <w:bookmarkEnd w:id="1"/>
      <w:r>
        <w:rPr>
          <w:rFonts w:ascii="宋体" w:eastAsia="宋体" w:hint="eastAsia"/>
        </w:rPr>
        <w:t>编制依据</w:t>
      </w:r>
    </w:p>
    <w:p>
      <w:pPr>
        <w:pStyle w:val="BodyText"/>
        <w:spacing w:before="234"/>
        <w:ind w:left="3071"/>
      </w:pPr>
      <w:r>
        <w:rPr>
          <w:rFonts w:ascii="Times New Roman" w:eastAsia="Times New Roman"/>
        </w:rPr>
        <w:t>1</w:t>
      </w:r>
      <w:r>
        <w:t>、设计图纸</w:t>
      </w:r>
    </w:p>
    <w:p>
      <w:pPr>
        <w:pStyle w:val="BodyText"/>
        <w:spacing w:before="234"/>
        <w:ind w:left="3071"/>
        <w:rPr>
          <w:rFonts w:ascii="Times New Roman" w:eastAsia="Times New Roman"/>
        </w:rPr>
      </w:pPr>
      <w:r>
        <w:rPr>
          <w:rFonts w:ascii="Times New Roman" w:eastAsia="Times New Roman"/>
        </w:rPr>
        <w:t>2</w:t>
      </w:r>
      <w:r>
        <w:t>、福建省蒸压加气混凝土砌块应用技术规程</w:t>
      </w:r>
      <w:r>
        <w:rPr>
          <w:rFonts w:ascii="Times New Roman" w:eastAsia="Times New Roman"/>
        </w:rPr>
        <w:t>DBJ/T13-29-2016</w:t>
      </w:r>
    </w:p>
    <w:p>
      <w:pPr>
        <w:pStyle w:val="BodyText"/>
        <w:spacing w:before="232"/>
        <w:ind w:left="3071"/>
        <w:rPr>
          <w:rFonts w:ascii="Times New Roman" w:eastAsia="Times New Roman"/>
        </w:rPr>
      </w:pPr>
      <w:r>
        <w:rPr>
          <w:rFonts w:ascii="Times New Roman" w:eastAsia="Times New Roman"/>
        </w:rPr>
        <w:t>3</w:t>
      </w:r>
      <w:r>
        <w:t>、《蒸压加气混凝土建筑应用技术规程》</w:t>
      </w:r>
      <w:r>
        <w:rPr>
          <w:rFonts w:ascii="Times New Roman" w:eastAsia="Times New Roman"/>
        </w:rPr>
        <w:t>JGJ/T17-2008</w:t>
      </w:r>
    </w:p>
    <w:p>
      <w:pPr>
        <w:pStyle w:val="BodyText"/>
        <w:spacing w:before="233"/>
        <w:ind w:left="3071"/>
        <w:rPr>
          <w:rFonts w:ascii="Times New Roman" w:eastAsia="Times New Roman"/>
        </w:rPr>
      </w:pPr>
      <w:r>
        <w:rPr>
          <w:rFonts w:ascii="Times New Roman" w:eastAsia="Times New Roman"/>
        </w:rPr>
        <w:t>4</w:t>
      </w:r>
      <w:r>
        <w:t xml:space="preserve">、砌体工程施工质量验收规范 </w:t>
      </w:r>
      <w:r>
        <w:rPr>
          <w:rFonts w:ascii="Times New Roman" w:eastAsia="Times New Roman"/>
        </w:rPr>
        <w:t>GB50203-2011</w:t>
      </w:r>
    </w:p>
    <w:p>
      <w:pPr>
        <w:pStyle w:val="BodyText"/>
        <w:spacing w:before="233"/>
        <w:ind w:left="3071"/>
        <w:rPr>
          <w:rFonts w:ascii="Times New Roman" w:eastAsia="Times New Roman"/>
        </w:rPr>
      </w:pPr>
      <w:r>
        <w:rPr>
          <w:rFonts w:ascii="Times New Roman" w:eastAsia="Times New Roman"/>
        </w:rPr>
        <w:t>5</w:t>
      </w:r>
      <w:r>
        <w:t xml:space="preserve">、建筑工程施工质量评价标准 </w:t>
      </w:r>
      <w:r>
        <w:rPr>
          <w:rFonts w:ascii="Times New Roman" w:eastAsia="Times New Roman"/>
        </w:rPr>
        <w:t>GB /T50375-2006</w:t>
      </w:r>
    </w:p>
    <w:p>
      <w:pPr>
        <w:pStyle w:val="BodyText"/>
        <w:spacing w:before="233"/>
        <w:ind w:left="3071"/>
      </w:pPr>
      <w:r>
        <w:rPr>
          <w:rFonts w:ascii="Times New Roman" w:eastAsia="Times New Roman"/>
        </w:rPr>
        <w:t>6</w:t>
      </w:r>
      <w:r>
        <w:t>、厦建质监</w:t>
      </w:r>
      <w:r>
        <w:rPr>
          <w:rFonts w:ascii="Times New Roman" w:eastAsia="Times New Roman"/>
        </w:rPr>
        <w:t xml:space="preserve">[2009]59 </w:t>
      </w:r>
      <w:r>
        <w:t>号《关于加强加气混凝土砌体工程质量控制的通知》</w:t>
      </w:r>
    </w:p>
    <w:p>
      <w:pPr>
        <w:pStyle w:val="BodyText"/>
        <w:spacing w:before="233"/>
        <w:ind w:left="3071"/>
      </w:pPr>
      <w:r>
        <w:rPr>
          <w:rFonts w:ascii="Times New Roman" w:eastAsia="Times New Roman"/>
        </w:rPr>
        <w:t>7</w:t>
      </w:r>
      <w:r>
        <w:t>、施工手册第五版</w:t>
      </w:r>
    </w:p>
    <w:p>
      <w:pPr>
        <w:pStyle w:val="Heading1"/>
        <w:numPr>
          <w:ilvl w:val="0"/>
          <w:numId w:val="15"/>
        </w:numPr>
        <w:tabs>
          <w:tab w:val="left" w:pos="3282"/>
        </w:tabs>
        <w:spacing w:before="145" w:after="0" w:line="240" w:lineRule="auto"/>
        <w:ind w:left="3281" w:right="0" w:hanging="542"/>
        <w:jc w:val="left"/>
        <w:rPr>
          <w:rFonts w:ascii="Arial" w:eastAsia="Arial"/>
          <w:sz w:val="34"/>
        </w:rPr>
      </w:pPr>
      <w:bookmarkStart w:id="2" w:name="_TOC_250022"/>
      <w:bookmarkEnd w:id="2"/>
      <w:r>
        <w:rPr>
          <w:rFonts w:ascii="幼圆" w:eastAsia="幼圆" w:hint="eastAsia"/>
        </w:rPr>
        <w:t>劳动力组织</w:t>
      </w:r>
    </w:p>
    <w:p>
      <w:pPr>
        <w:pStyle w:val="BodyText"/>
        <w:spacing w:before="256" w:line="381" w:lineRule="auto"/>
        <w:ind w:right="2371" w:firstLine="629"/>
      </w:pPr>
      <w:r>
        <w:t xml:space="preserve">对管理人员和技术工人的组织形式的要求：制度基本健全，并能执行。施工方有专业技术管理人 </w:t>
      </w:r>
      <w:r>
        <w:rPr>
          <w:rFonts w:ascii="Times New Roman" w:eastAsia="Times New Roman"/>
        </w:rPr>
        <w:t xml:space="preserve">7 </w:t>
      </w:r>
      <w:r>
        <w:t>员并持证上岗；高、中级技工不应少于砌筑工人的</w:t>
      </w:r>
      <w:r>
        <w:rPr>
          <w:rFonts w:ascii="Times New Roman" w:eastAsia="Times New Roman"/>
        </w:rPr>
        <w:t>70</w:t>
      </w:r>
      <w:r>
        <w:t>％。</w:t>
      </w:r>
    </w:p>
    <w:p>
      <w:pPr>
        <w:pStyle w:val="BodyText"/>
        <w:spacing w:line="395" w:lineRule="exact"/>
        <w:ind w:left="7327"/>
      </w:pPr>
      <w:r>
        <w:t>劳动力配置表</w:t>
      </w:r>
    </w:p>
    <w:p>
      <w:pPr>
        <w:pStyle w:val="BodyText"/>
        <w:ind w:left="2260"/>
        <w:rPr>
          <w:sz w:val="20"/>
        </w:rPr>
      </w:pPr>
      <w:r>
        <w:rPr>
          <w:sz w:val="20"/>
        </w:rPr>
        <w:pict>
          <v:group id="_x0000_i1025" style="width:642pt;height:131pt;mso-position-horizontal-relative:char;mso-position-vertical-relative:line" coordorigin="0,0" coordsize="12840,2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840;height:2620;position:absolute" stroked="f">
              <v:imagedata r:id="rId6" o:title=""/>
            </v:shape>
            <v:shapetype id="_x0000_t202" coordsize="21600,21600" o:spt="202" path="m,l,21600r21600,l21600,xe">
              <v:stroke joinstyle="miter"/>
              <v:path gradientshapeok="t" o:connecttype="rect"/>
            </v:shapetype>
            <v:shape id="_x0000_s1027" type="#_x0000_t202" style="width:560;height:270;left:516;position:absolute;top:371" filled="f" stroked="f">
              <v:textbox inset="0,0,0,0">
                <w:txbxContent>
                  <w:p>
                    <w:pPr>
                      <w:spacing w:before="0" w:line="270" w:lineRule="exact"/>
                      <w:ind w:left="0" w:right="0" w:firstLine="0"/>
                      <w:jc w:val="left"/>
                      <w:rPr>
                        <w:sz w:val="27"/>
                      </w:rPr>
                    </w:pPr>
                    <w:r>
                      <w:rPr>
                        <w:sz w:val="27"/>
                      </w:rPr>
                      <w:t>序号</w:t>
                    </w:r>
                  </w:p>
                </w:txbxContent>
              </v:textbox>
            </v:shape>
            <v:shape id="_x0000_s1028" type="#_x0000_t202" style="width:290;height:270;left:2759;position:absolute;top:371" filled="f" stroked="f">
              <v:textbox inset="0,0,0,0">
                <w:txbxContent>
                  <w:p>
                    <w:pPr>
                      <w:spacing w:before="0" w:line="270" w:lineRule="exact"/>
                      <w:ind w:left="0" w:right="0" w:firstLine="0"/>
                      <w:jc w:val="left"/>
                      <w:rPr>
                        <w:sz w:val="27"/>
                      </w:rPr>
                    </w:pPr>
                    <w:r>
                      <w:rPr>
                        <w:sz w:val="27"/>
                      </w:rPr>
                      <w:t>工</w:t>
                    </w:r>
                  </w:p>
                </w:txbxContent>
              </v:textbox>
            </v:shape>
            <v:shape id="_x0000_s1029" type="#_x0000_t202" style="width:290;height:270;left:3573;position:absolute;top:371" filled="f" stroked="f">
              <v:textbox inset="0,0,0,0">
                <w:txbxContent>
                  <w:p>
                    <w:pPr>
                      <w:spacing w:before="0" w:line="270" w:lineRule="exact"/>
                      <w:ind w:left="0" w:right="0" w:firstLine="0"/>
                      <w:jc w:val="left"/>
                      <w:rPr>
                        <w:sz w:val="27"/>
                      </w:rPr>
                    </w:pPr>
                    <w:r>
                      <w:rPr>
                        <w:sz w:val="27"/>
                      </w:rPr>
                      <w:t>种</w:t>
                    </w:r>
                  </w:p>
                </w:txbxContent>
              </v:textbox>
            </v:shape>
            <v:shape id="_x0000_s1030" type="#_x0000_t202" style="width:290;height:270;left:6986;position:absolute;top:371" filled="f" stroked="f">
              <v:textbox inset="0,0,0,0">
                <w:txbxContent>
                  <w:p>
                    <w:pPr>
                      <w:spacing w:before="0" w:line="270" w:lineRule="exact"/>
                      <w:ind w:left="0" w:right="0" w:firstLine="0"/>
                      <w:jc w:val="left"/>
                      <w:rPr>
                        <w:sz w:val="27"/>
                      </w:rPr>
                    </w:pPr>
                    <w:r>
                      <w:rPr>
                        <w:sz w:val="27"/>
                      </w:rPr>
                      <w:t>人</w:t>
                    </w:r>
                  </w:p>
                </w:txbxContent>
              </v:textbox>
            </v:shape>
            <v:shape id="_x0000_s1031" type="#_x0000_t202" style="width:290;height:270;left:7667;position:absolute;top:371" filled="f" stroked="f">
              <v:textbox inset="0,0,0,0">
                <w:txbxContent>
                  <w:p>
                    <w:pPr>
                      <w:spacing w:before="0" w:line="270" w:lineRule="exact"/>
                      <w:ind w:left="0" w:right="0" w:firstLine="0"/>
                      <w:jc w:val="left"/>
                      <w:rPr>
                        <w:sz w:val="27"/>
                      </w:rPr>
                    </w:pPr>
                    <w:r>
                      <w:rPr>
                        <w:sz w:val="27"/>
                      </w:rPr>
                      <w:t>数</w:t>
                    </w:r>
                  </w:p>
                </w:txbxContent>
              </v:textbox>
            </v:shape>
            <v:shape id="_x0000_s1032" type="#_x0000_t202" style="width:835;height:270;left:10936;position:absolute;top:371" filled="f" stroked="f">
              <v:textbox inset="0,0,0,0">
                <w:txbxContent>
                  <w:p>
                    <w:pPr>
                      <w:tabs>
                        <w:tab w:val="left" w:pos="544"/>
                      </w:tabs>
                      <w:spacing w:before="0" w:line="270" w:lineRule="exact"/>
                      <w:ind w:left="0" w:right="0" w:firstLine="0"/>
                      <w:jc w:val="left"/>
                      <w:rPr>
                        <w:sz w:val="27"/>
                      </w:rPr>
                    </w:pPr>
                    <w:r>
                      <w:rPr>
                        <w:sz w:val="27"/>
                      </w:rPr>
                      <w:t>备</w:t>
                      <w:tab/>
                      <w:t>注</w:t>
                    </w:r>
                  </w:p>
                </w:txbxContent>
              </v:textbox>
            </v:shape>
            <v:shape id="_x0000_s1033" type="#_x0000_t202" style="width:155;height:282;left:718;position:absolute;top:1008" filled="f" stroked="f">
              <v:textbox inset="0,0,0,0">
                <w:txbxContent>
                  <w:p>
                    <w:pPr>
                      <w:spacing w:before="0" w:line="281" w:lineRule="exact"/>
                      <w:ind w:left="0" w:right="0" w:firstLine="0"/>
                      <w:jc w:val="left"/>
                      <w:rPr>
                        <w:rFonts w:ascii="Times New Roman"/>
                        <w:sz w:val="27"/>
                      </w:rPr>
                    </w:pPr>
                    <w:r>
                      <w:rPr>
                        <w:rFonts w:ascii="Times New Roman"/>
                        <w:sz w:val="27"/>
                      </w:rPr>
                      <w:t>1</w:t>
                    </w:r>
                  </w:p>
                </w:txbxContent>
              </v:textbox>
            </v:shape>
            <v:shape id="_x0000_s1034" type="#_x0000_t202" style="width:560;height:270;left:3029;position:absolute;top:1015" filled="f" stroked="f">
              <v:textbox inset="0,0,0,0">
                <w:txbxContent>
                  <w:p>
                    <w:pPr>
                      <w:spacing w:before="0" w:line="270" w:lineRule="exact"/>
                      <w:ind w:left="0" w:right="0" w:firstLine="0"/>
                      <w:jc w:val="left"/>
                      <w:rPr>
                        <w:sz w:val="27"/>
                      </w:rPr>
                    </w:pPr>
                    <w:r>
                      <w:rPr>
                        <w:sz w:val="27"/>
                      </w:rPr>
                      <w:t>砖工</w:t>
                    </w:r>
                  </w:p>
                </w:txbxContent>
              </v:textbox>
            </v:shape>
            <v:shape id="_x0000_s1035" type="#_x0000_t202" style="width:290;height:282;left:7325;position:absolute;top:1008" filled="f" stroked="f">
              <v:textbox inset="0,0,0,0">
                <w:txbxContent>
                  <w:p>
                    <w:pPr>
                      <w:spacing w:before="0" w:line="281" w:lineRule="exact"/>
                      <w:ind w:left="0" w:right="0" w:firstLine="0"/>
                      <w:jc w:val="left"/>
                      <w:rPr>
                        <w:rFonts w:ascii="Times New Roman"/>
                        <w:sz w:val="27"/>
                      </w:rPr>
                    </w:pPr>
                    <w:r>
                      <w:rPr>
                        <w:rFonts w:ascii="Times New Roman"/>
                        <w:sz w:val="27"/>
                      </w:rPr>
                      <w:t>10</w:t>
                    </w:r>
                  </w:p>
                </w:txbxContent>
              </v:textbox>
            </v:shape>
            <v:shape id="_x0000_s1036" type="#_x0000_t202" style="width:560;height:270;left:11073;position:absolute;top:1015" filled="f" stroked="f">
              <v:textbox inset="0,0,0,0">
                <w:txbxContent>
                  <w:p>
                    <w:pPr>
                      <w:spacing w:before="0" w:line="270" w:lineRule="exact"/>
                      <w:ind w:left="0" w:right="0" w:firstLine="0"/>
                      <w:jc w:val="left"/>
                      <w:rPr>
                        <w:sz w:val="27"/>
                      </w:rPr>
                    </w:pPr>
                    <w:r>
                      <w:rPr>
                        <w:sz w:val="27"/>
                      </w:rPr>
                      <w:t>技工</w:t>
                    </w:r>
                  </w:p>
                </w:txbxContent>
              </v:textbox>
            </v:shape>
            <v:shape id="_x0000_s1037" type="#_x0000_t202" style="width:155;height:282;left:718;position:absolute;top:1652" filled="f" stroked="f">
              <v:textbox inset="0,0,0,0">
                <w:txbxContent>
                  <w:p>
                    <w:pPr>
                      <w:spacing w:before="0" w:line="281" w:lineRule="exact"/>
                      <w:ind w:left="0" w:right="0" w:firstLine="0"/>
                      <w:jc w:val="left"/>
                      <w:rPr>
                        <w:rFonts w:ascii="Times New Roman"/>
                        <w:sz w:val="27"/>
                      </w:rPr>
                    </w:pPr>
                    <w:r>
                      <w:rPr>
                        <w:rFonts w:ascii="Times New Roman"/>
                        <w:sz w:val="27"/>
                      </w:rPr>
                      <w:t>2</w:t>
                    </w:r>
                  </w:p>
                </w:txbxContent>
              </v:textbox>
            </v:shape>
            <v:shape id="_x0000_s1038" type="#_x0000_t202" style="width:830;height:270;left:2892;position:absolute;top:1660" filled="f" stroked="f">
              <v:textbox inset="0,0,0,0">
                <w:txbxContent>
                  <w:p>
                    <w:pPr>
                      <w:spacing w:before="0" w:line="270" w:lineRule="exact"/>
                      <w:ind w:left="0" w:right="0" w:firstLine="0"/>
                      <w:jc w:val="left"/>
                      <w:rPr>
                        <w:sz w:val="27"/>
                      </w:rPr>
                    </w:pPr>
                    <w:r>
                      <w:rPr>
                        <w:sz w:val="27"/>
                      </w:rPr>
                      <w:t>抹灰工</w:t>
                    </w:r>
                  </w:p>
                </w:txbxContent>
              </v:textbox>
            </v:shape>
            <v:shape id="_x0000_s1039" type="#_x0000_t202" style="width:290;height:282;left:7325;position:absolute;top:1652" filled="f" stroked="f">
              <v:textbox inset="0,0,0,0">
                <w:txbxContent>
                  <w:p>
                    <w:pPr>
                      <w:spacing w:before="0" w:line="281" w:lineRule="exact"/>
                      <w:ind w:left="0" w:right="0" w:firstLine="0"/>
                      <w:jc w:val="left"/>
                      <w:rPr>
                        <w:rFonts w:ascii="Times New Roman"/>
                        <w:sz w:val="27"/>
                      </w:rPr>
                    </w:pPr>
                    <w:r>
                      <w:rPr>
                        <w:rFonts w:ascii="Times New Roman"/>
                        <w:sz w:val="27"/>
                      </w:rPr>
                      <w:t>10</w:t>
                    </w:r>
                  </w:p>
                </w:txbxContent>
              </v:textbox>
            </v:shape>
            <v:shape id="_x0000_s1040" type="#_x0000_t202" style="width:560;height:270;left:11073;position:absolute;top:1660" filled="f" stroked="f">
              <v:textbox inset="0,0,0,0">
                <w:txbxContent>
                  <w:p>
                    <w:pPr>
                      <w:spacing w:before="0" w:line="270" w:lineRule="exact"/>
                      <w:ind w:left="0" w:right="0" w:firstLine="0"/>
                      <w:jc w:val="left"/>
                      <w:rPr>
                        <w:sz w:val="27"/>
                      </w:rPr>
                    </w:pPr>
                    <w:r>
                      <w:rPr>
                        <w:sz w:val="27"/>
                      </w:rPr>
                      <w:t>技工</w:t>
                    </w:r>
                  </w:p>
                </w:txbxContent>
              </v:textbox>
            </v:shape>
            <v:shape id="_x0000_s1041" type="#_x0000_t202" style="width:155;height:282;left:718;position:absolute;top:2300" filled="f" stroked="f">
              <v:textbox inset="0,0,0,0">
                <w:txbxContent>
                  <w:p>
                    <w:pPr>
                      <w:spacing w:before="0" w:line="281" w:lineRule="exact"/>
                      <w:ind w:left="0" w:right="0" w:firstLine="0"/>
                      <w:jc w:val="left"/>
                      <w:rPr>
                        <w:rFonts w:ascii="Times New Roman"/>
                        <w:sz w:val="27"/>
                      </w:rPr>
                    </w:pPr>
                    <w:r>
                      <w:rPr>
                        <w:rFonts w:ascii="Times New Roman"/>
                        <w:sz w:val="27"/>
                      </w:rPr>
                      <w:t>3</w:t>
                    </w:r>
                  </w:p>
                </w:txbxContent>
              </v:textbox>
            </v:shape>
            <v:shape id="_x0000_s1042" type="#_x0000_t202" style="width:560;height:270;left:3029;position:absolute;top:2308" filled="f" stroked="f">
              <v:textbox inset="0,0,0,0">
                <w:txbxContent>
                  <w:p>
                    <w:pPr>
                      <w:spacing w:before="0" w:line="270" w:lineRule="exact"/>
                      <w:ind w:left="0" w:right="0" w:firstLine="0"/>
                      <w:jc w:val="left"/>
                      <w:rPr>
                        <w:sz w:val="27"/>
                      </w:rPr>
                    </w:pPr>
                    <w:r>
                      <w:rPr>
                        <w:sz w:val="27"/>
                      </w:rPr>
                      <w:t>普工</w:t>
                    </w:r>
                  </w:p>
                </w:txbxContent>
              </v:textbox>
            </v:shape>
            <v:shape id="_x0000_s1043" type="#_x0000_t202" style="width:155;height:282;left:7393;position:absolute;top:2300" filled="f" stroked="f">
              <v:textbox inset="0,0,0,0">
                <w:txbxContent>
                  <w:p>
                    <w:pPr>
                      <w:spacing w:before="0" w:line="281" w:lineRule="exact"/>
                      <w:ind w:left="0" w:right="0" w:firstLine="0"/>
                      <w:jc w:val="left"/>
                      <w:rPr>
                        <w:rFonts w:ascii="Times New Roman"/>
                        <w:sz w:val="27"/>
                      </w:rPr>
                    </w:pPr>
                    <w:r>
                      <w:rPr>
                        <w:rFonts w:ascii="Times New Roman"/>
                        <w:sz w:val="27"/>
                      </w:rPr>
                      <w:t>6</w:t>
                    </w:r>
                  </w:p>
                </w:txbxContent>
              </v:textbox>
            </v:shape>
            <w10:wrap type="none"/>
          </v:group>
        </w:pict>
      </w:r>
    </w:p>
    <w:p>
      <w:pPr>
        <w:spacing w:after="0"/>
        <w:rPr>
          <w:sz w:val="20"/>
        </w:rPr>
        <w:sectPr>
          <w:headerReference w:type="default" r:id="rId7"/>
          <w:footerReference w:type="default" r:id="rId8"/>
          <w:pgSz w:w="17860" w:h="25260"/>
          <w:pgMar w:top="1360" w:right="0" w:bottom="2020" w:left="0" w:header="1084" w:footer="1838"/>
          <w:pgNumType w:start="3"/>
          <w:cols w:space="708"/>
        </w:sectPr>
      </w:pPr>
    </w:p>
    <w:p>
      <w:pPr>
        <w:pStyle w:val="BodyText"/>
        <w:ind w:left="0"/>
        <w:rPr>
          <w:sz w:val="20"/>
        </w:rPr>
      </w:pPr>
    </w:p>
    <w:p>
      <w:pPr>
        <w:pStyle w:val="BodyText"/>
        <w:spacing w:before="5"/>
        <w:ind w:left="0"/>
        <w:rPr>
          <w:sz w:val="21"/>
        </w:rPr>
      </w:pPr>
    </w:p>
    <w:p>
      <w:pPr>
        <w:pStyle w:val="Heading1"/>
        <w:numPr>
          <w:ilvl w:val="0"/>
          <w:numId w:val="15"/>
        </w:numPr>
        <w:tabs>
          <w:tab w:val="left" w:pos="3282"/>
        </w:tabs>
        <w:spacing w:before="95" w:after="0" w:line="240" w:lineRule="auto"/>
        <w:ind w:left="3281" w:right="0" w:hanging="542"/>
        <w:jc w:val="left"/>
        <w:rPr>
          <w:rFonts w:ascii="Arial" w:eastAsia="Arial"/>
          <w:sz w:val="34"/>
        </w:rPr>
      </w:pPr>
      <w:bookmarkStart w:id="3" w:name="_TOC_250021"/>
      <w:bookmarkEnd w:id="3"/>
      <w:r>
        <w:t>机具设备配置</w:t>
      </w:r>
    </w:p>
    <w:p>
      <w:pPr>
        <w:pStyle w:val="ListParagraph"/>
        <w:numPr>
          <w:ilvl w:val="1"/>
          <w:numId w:val="15"/>
        </w:numPr>
        <w:tabs>
          <w:tab w:val="left" w:pos="3281"/>
        </w:tabs>
        <w:spacing w:before="170" w:after="0" w:line="240" w:lineRule="auto"/>
        <w:ind w:left="3280" w:right="0" w:hanging="541"/>
        <w:jc w:val="left"/>
        <w:rPr>
          <w:rFonts w:ascii="Arial" w:eastAsia="Arial"/>
          <w:sz w:val="36"/>
        </w:rPr>
      </w:pPr>
      <w:r>
        <w:rPr>
          <w:rFonts w:ascii="黑体" w:eastAsia="黑体" w:hint="eastAsia"/>
          <w:sz w:val="36"/>
        </w:rPr>
        <w:t>机械</w:t>
      </w:r>
    </w:p>
    <w:p>
      <w:pPr>
        <w:pStyle w:val="BodyText"/>
        <w:spacing w:before="255"/>
        <w:ind w:left="3071"/>
      </w:pPr>
      <w:r>
        <w:t>切割机、砂浆搅拌机等。</w:t>
      </w:r>
    </w:p>
    <w:p>
      <w:pPr>
        <w:pStyle w:val="ListParagraph"/>
        <w:numPr>
          <w:ilvl w:val="1"/>
          <w:numId w:val="15"/>
        </w:numPr>
        <w:tabs>
          <w:tab w:val="left" w:pos="3281"/>
        </w:tabs>
        <w:spacing w:before="146" w:after="0" w:line="240" w:lineRule="auto"/>
        <w:ind w:left="3280" w:right="0" w:hanging="541"/>
        <w:jc w:val="left"/>
        <w:rPr>
          <w:rFonts w:ascii="Arial" w:eastAsia="Arial"/>
          <w:sz w:val="36"/>
        </w:rPr>
      </w:pPr>
      <w:r>
        <w:rPr>
          <w:rFonts w:ascii="黑体" w:eastAsia="黑体" w:hint="eastAsia"/>
          <w:sz w:val="36"/>
        </w:rPr>
        <w:t>工具</w:t>
      </w:r>
    </w:p>
    <w:p>
      <w:pPr>
        <w:pStyle w:val="BodyText"/>
        <w:spacing w:before="256" w:line="381" w:lineRule="auto"/>
        <w:ind w:right="2432" w:firstLine="629"/>
      </w:pPr>
      <w:r>
        <w:t>瓦刀、夹具、手锯、斗车、灰斗、灰铁锹、小撬棍、小木锤、线锤、皮数杆、铝合金条、水平尺等。</w:t>
      </w:r>
    </w:p>
    <w:p>
      <w:pPr>
        <w:pStyle w:val="BodyText"/>
        <w:spacing w:line="394" w:lineRule="exact"/>
        <w:ind w:left="0" w:right="2253"/>
        <w:jc w:val="center"/>
      </w:pPr>
      <w:r>
        <w:pict>
          <v:group id="_x0000_s1044" style="width:632pt;height:356pt;margin-top:19.74pt;margin-left:113pt;mso-position-horizontal-relative:page;position:absolute;z-index:-251658240" coordorigin="2260,395" coordsize="12640,7120">
            <v:shape id="_x0000_s1045" type="#_x0000_t75" style="width:12640;height:7120;left:2260;position:absolute;top:394" stroked="f">
              <v:imagedata r:id="rId9" o:title=""/>
            </v:shape>
            <v:shape id="_x0000_s1046" type="#_x0000_t202" style="width:560;height:270;left:2751;position:absolute;top:759" filled="f" stroked="f">
              <v:textbox inset="0,0,0,0">
                <w:txbxContent>
                  <w:p>
                    <w:pPr>
                      <w:spacing w:before="0" w:line="270" w:lineRule="exact"/>
                      <w:ind w:left="0" w:right="0" w:firstLine="0"/>
                      <w:jc w:val="left"/>
                      <w:rPr>
                        <w:sz w:val="27"/>
                      </w:rPr>
                    </w:pPr>
                    <w:r>
                      <w:rPr>
                        <w:sz w:val="27"/>
                      </w:rPr>
                      <w:t>序号</w:t>
                    </w:r>
                  </w:p>
                </w:txbxContent>
              </v:textbox>
            </v:shape>
            <v:shape id="_x0000_s1047" type="#_x0000_t202" style="width:290;height:270;left:5530;position:absolute;top:759" filled="f" stroked="f">
              <v:textbox inset="0,0,0,0">
                <w:txbxContent>
                  <w:p>
                    <w:pPr>
                      <w:spacing w:before="0" w:line="270" w:lineRule="exact"/>
                      <w:ind w:left="0" w:right="0" w:firstLine="0"/>
                      <w:jc w:val="left"/>
                      <w:rPr>
                        <w:sz w:val="27"/>
                      </w:rPr>
                    </w:pPr>
                    <w:r>
                      <w:rPr>
                        <w:sz w:val="27"/>
                      </w:rPr>
                      <w:t>名</w:t>
                    </w:r>
                  </w:p>
                </w:txbxContent>
              </v:textbox>
            </v:shape>
            <v:shape id="_x0000_s1048" type="#_x0000_t202" style="width:290;height:270;left:6344;position:absolute;top:759" filled="f" stroked="f">
              <v:textbox inset="0,0,0,0">
                <w:txbxContent>
                  <w:p>
                    <w:pPr>
                      <w:spacing w:before="0" w:line="270" w:lineRule="exact"/>
                      <w:ind w:left="0" w:right="0" w:firstLine="0"/>
                      <w:jc w:val="left"/>
                      <w:rPr>
                        <w:sz w:val="27"/>
                      </w:rPr>
                    </w:pPr>
                    <w:r>
                      <w:rPr>
                        <w:sz w:val="27"/>
                      </w:rPr>
                      <w:t>称</w:t>
                    </w:r>
                  </w:p>
                </w:txbxContent>
              </v:textbox>
            </v:shape>
            <v:shape id="_x0000_s1049" type="#_x0000_t202" style="width:290;height:270;left:11298;position:absolute;top:759" filled="f" stroked="f">
              <v:textbox inset="0,0,0,0">
                <w:txbxContent>
                  <w:p>
                    <w:pPr>
                      <w:spacing w:before="0" w:line="270" w:lineRule="exact"/>
                      <w:ind w:left="0" w:right="0" w:firstLine="0"/>
                      <w:jc w:val="left"/>
                      <w:rPr>
                        <w:sz w:val="27"/>
                      </w:rPr>
                    </w:pPr>
                    <w:r>
                      <w:rPr>
                        <w:sz w:val="27"/>
                      </w:rPr>
                      <w:t>说</w:t>
                    </w:r>
                  </w:p>
                </w:txbxContent>
              </v:textbox>
            </v:shape>
            <v:shape id="_x0000_s1050" type="#_x0000_t202" style="width:290;height:270;left:11979;position:absolute;top:759" filled="f" stroked="f">
              <v:textbox inset="0,0,0,0">
                <w:txbxContent>
                  <w:p>
                    <w:pPr>
                      <w:spacing w:before="0" w:line="270" w:lineRule="exact"/>
                      <w:ind w:left="0" w:right="0" w:firstLine="0"/>
                      <w:jc w:val="left"/>
                      <w:rPr>
                        <w:sz w:val="27"/>
                      </w:rPr>
                    </w:pPr>
                    <w:r>
                      <w:rPr>
                        <w:sz w:val="27"/>
                      </w:rPr>
                      <w:t>明</w:t>
                    </w:r>
                  </w:p>
                </w:txbxContent>
              </v:textbox>
            </v:shape>
          </v:group>
        </w:pict>
      </w:r>
      <w:r>
        <w:t>机具设备配置表</w:t>
      </w:r>
    </w:p>
    <w:p>
      <w:pPr>
        <w:pStyle w:val="BodyText"/>
        <w:ind w:left="0"/>
        <w:rPr>
          <w:sz w:val="20"/>
        </w:rPr>
      </w:pPr>
    </w:p>
    <w:p>
      <w:pPr>
        <w:pStyle w:val="BodyText"/>
        <w:ind w:left="0"/>
        <w:rPr>
          <w:sz w:val="20"/>
        </w:rPr>
      </w:pPr>
    </w:p>
    <w:p>
      <w:pPr>
        <w:pStyle w:val="BodyText"/>
        <w:ind w:left="0"/>
        <w:rPr>
          <w:sz w:val="20"/>
        </w:rPr>
      </w:pPr>
    </w:p>
    <w:p>
      <w:pPr>
        <w:pStyle w:val="BodyText"/>
        <w:spacing w:before="4"/>
        <w:ind w:left="0"/>
        <w:rPr>
          <w:sz w:val="16"/>
        </w:rPr>
      </w:pPr>
    </w:p>
    <w:tbl>
      <w:tblPr>
        <w:tblStyle w:val="TableNormal0"/>
        <w:tblW w:w="0" w:type="auto"/>
        <w:jc w:val="left"/>
        <w:tblInd w:w="2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5"/>
        <w:gridCol w:w="4194"/>
        <w:gridCol w:w="5749"/>
      </w:tblGrid>
      <w:tr>
        <w:tblPrEx>
          <w:tblW w:w="0" w:type="auto"/>
          <w:jc w:val="left"/>
          <w:tblInd w:w="2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75"/>
          <w:jc w:val="left"/>
        </w:trPr>
        <w:tc>
          <w:tcPr>
            <w:tcW w:w="705" w:type="dxa"/>
          </w:tcPr>
          <w:p>
            <w:pPr>
              <w:pStyle w:val="TableParagraph"/>
              <w:spacing w:before="10"/>
              <w:ind w:left="118"/>
              <w:rPr>
                <w:rFonts w:ascii="Arial"/>
                <w:sz w:val="27"/>
              </w:rPr>
            </w:pPr>
            <w:r>
              <w:rPr>
                <w:rFonts w:ascii="Arial"/>
                <w:w w:val="89"/>
                <w:sz w:val="27"/>
              </w:rPr>
              <w:t>1</w:t>
            </w:r>
          </w:p>
        </w:tc>
        <w:tc>
          <w:tcPr>
            <w:tcW w:w="4194" w:type="dxa"/>
          </w:tcPr>
          <w:p>
            <w:pPr>
              <w:pStyle w:val="TableParagraph"/>
              <w:spacing w:before="0" w:line="339" w:lineRule="exact"/>
              <w:rPr>
                <w:sz w:val="27"/>
              </w:rPr>
            </w:pPr>
            <w:r>
              <w:rPr>
                <w:sz w:val="27"/>
              </w:rPr>
              <w:t>塔式起重机、施工电梯</w:t>
            </w:r>
          </w:p>
        </w:tc>
        <w:tc>
          <w:tcPr>
            <w:tcW w:w="5749" w:type="dxa"/>
          </w:tcPr>
          <w:p>
            <w:pPr>
              <w:pStyle w:val="TableParagraph"/>
              <w:spacing w:before="0" w:line="339" w:lineRule="exact"/>
              <w:ind w:left="1109"/>
              <w:rPr>
                <w:sz w:val="27"/>
              </w:rPr>
            </w:pPr>
            <w:r>
              <w:rPr>
                <w:sz w:val="27"/>
              </w:rPr>
              <w:t>提升设备，根据工程具体情况选择</w:t>
            </w:r>
          </w:p>
        </w:tc>
      </w:tr>
      <w:tr>
        <w:tblPrEx>
          <w:tblW w:w="0" w:type="auto"/>
          <w:jc w:val="left"/>
          <w:tblInd w:w="2841" w:type="dxa"/>
          <w:tblLayout w:type="fixed"/>
          <w:tblCellMar>
            <w:top w:w="0" w:type="dxa"/>
            <w:left w:w="0" w:type="dxa"/>
            <w:bottom w:w="0" w:type="dxa"/>
            <w:right w:w="0" w:type="dxa"/>
          </w:tblCellMar>
          <w:tblLook w:val="01E0"/>
        </w:tblPrEx>
        <w:trPr>
          <w:trHeight w:val="646"/>
          <w:jc w:val="left"/>
        </w:trPr>
        <w:tc>
          <w:tcPr>
            <w:tcW w:w="705" w:type="dxa"/>
          </w:tcPr>
          <w:p>
            <w:pPr>
              <w:pStyle w:val="TableParagraph"/>
              <w:spacing w:before="184"/>
              <w:ind w:left="118"/>
              <w:rPr>
                <w:rFonts w:ascii="Arial"/>
                <w:sz w:val="27"/>
              </w:rPr>
            </w:pPr>
            <w:r>
              <w:rPr>
                <w:rFonts w:ascii="Arial"/>
                <w:w w:val="89"/>
                <w:sz w:val="27"/>
              </w:rPr>
              <w:t>2</w:t>
            </w:r>
          </w:p>
        </w:tc>
        <w:tc>
          <w:tcPr>
            <w:tcW w:w="4194" w:type="dxa"/>
          </w:tcPr>
          <w:p>
            <w:pPr>
              <w:pStyle w:val="TableParagraph"/>
              <w:spacing w:before="167"/>
              <w:rPr>
                <w:sz w:val="27"/>
              </w:rPr>
            </w:pPr>
            <w:r>
              <w:rPr>
                <w:sz w:val="27"/>
              </w:rPr>
              <w:t>砂浆搅拌机</w:t>
            </w:r>
          </w:p>
        </w:tc>
        <w:tc>
          <w:tcPr>
            <w:tcW w:w="5749" w:type="dxa"/>
          </w:tcPr>
          <w:p>
            <w:pPr>
              <w:pStyle w:val="TableParagraph"/>
              <w:spacing w:before="167"/>
              <w:ind w:left="1109"/>
              <w:rPr>
                <w:sz w:val="27"/>
              </w:rPr>
            </w:pPr>
            <w:r>
              <w:rPr>
                <w:sz w:val="27"/>
              </w:rPr>
              <w:t>拌制砌筑砂浆</w:t>
            </w:r>
          </w:p>
        </w:tc>
      </w:tr>
      <w:tr>
        <w:tblPrEx>
          <w:tblW w:w="0" w:type="auto"/>
          <w:jc w:val="left"/>
          <w:tblInd w:w="2841" w:type="dxa"/>
          <w:tblLayout w:type="fixed"/>
          <w:tblCellMar>
            <w:top w:w="0" w:type="dxa"/>
            <w:left w:w="0" w:type="dxa"/>
            <w:bottom w:w="0" w:type="dxa"/>
            <w:right w:w="0" w:type="dxa"/>
          </w:tblCellMar>
          <w:tblLook w:val="01E0"/>
        </w:tblPrEx>
        <w:trPr>
          <w:trHeight w:val="644"/>
          <w:jc w:val="left"/>
        </w:trPr>
        <w:tc>
          <w:tcPr>
            <w:tcW w:w="705" w:type="dxa"/>
          </w:tcPr>
          <w:p>
            <w:pPr>
              <w:pStyle w:val="TableParagraph"/>
              <w:spacing w:before="181"/>
              <w:ind w:left="118"/>
              <w:rPr>
                <w:rFonts w:ascii="Arial"/>
                <w:sz w:val="27"/>
              </w:rPr>
            </w:pPr>
            <w:r>
              <w:rPr>
                <w:rFonts w:ascii="Arial"/>
                <w:w w:val="89"/>
                <w:sz w:val="27"/>
              </w:rPr>
              <w:t>3</w:t>
            </w:r>
          </w:p>
        </w:tc>
        <w:tc>
          <w:tcPr>
            <w:tcW w:w="4194" w:type="dxa"/>
          </w:tcPr>
          <w:p>
            <w:pPr>
              <w:pStyle w:val="TableParagraph"/>
              <w:rPr>
                <w:sz w:val="27"/>
              </w:rPr>
            </w:pPr>
            <w:r>
              <w:rPr>
                <w:sz w:val="27"/>
              </w:rPr>
              <w:t>切割机、手锯</w:t>
            </w:r>
          </w:p>
        </w:tc>
        <w:tc>
          <w:tcPr>
            <w:tcW w:w="5749" w:type="dxa"/>
          </w:tcPr>
          <w:p>
            <w:pPr>
              <w:pStyle w:val="TableParagraph"/>
              <w:ind w:left="1109"/>
              <w:rPr>
                <w:sz w:val="27"/>
              </w:rPr>
            </w:pPr>
            <w:r>
              <w:rPr>
                <w:sz w:val="27"/>
              </w:rPr>
              <w:t>用于局部砌块切锯及切割管线预留槽用</w:t>
            </w:r>
          </w:p>
        </w:tc>
      </w:tr>
      <w:tr>
        <w:tblPrEx>
          <w:tblW w:w="0" w:type="auto"/>
          <w:jc w:val="left"/>
          <w:tblInd w:w="2841" w:type="dxa"/>
          <w:tblLayout w:type="fixed"/>
          <w:tblCellMar>
            <w:top w:w="0" w:type="dxa"/>
            <w:left w:w="0" w:type="dxa"/>
            <w:bottom w:w="0" w:type="dxa"/>
            <w:right w:w="0" w:type="dxa"/>
          </w:tblCellMar>
          <w:tblLook w:val="01E0"/>
        </w:tblPrEx>
        <w:trPr>
          <w:trHeight w:val="644"/>
          <w:jc w:val="left"/>
        </w:trPr>
        <w:tc>
          <w:tcPr>
            <w:tcW w:w="705" w:type="dxa"/>
          </w:tcPr>
          <w:p>
            <w:pPr>
              <w:pStyle w:val="TableParagraph"/>
              <w:spacing w:before="181"/>
              <w:ind w:left="118"/>
              <w:rPr>
                <w:rFonts w:ascii="Arial"/>
                <w:sz w:val="27"/>
              </w:rPr>
            </w:pPr>
            <w:r>
              <w:rPr>
                <w:rFonts w:ascii="Arial"/>
                <w:w w:val="89"/>
                <w:sz w:val="27"/>
              </w:rPr>
              <w:t>4</w:t>
            </w:r>
          </w:p>
        </w:tc>
        <w:tc>
          <w:tcPr>
            <w:tcW w:w="4194" w:type="dxa"/>
          </w:tcPr>
          <w:p>
            <w:pPr>
              <w:pStyle w:val="TableParagraph"/>
              <w:rPr>
                <w:sz w:val="27"/>
              </w:rPr>
            </w:pPr>
            <w:r>
              <w:rPr>
                <w:sz w:val="27"/>
              </w:rPr>
              <w:t>瓦刀</w:t>
            </w:r>
          </w:p>
        </w:tc>
        <w:tc>
          <w:tcPr>
            <w:tcW w:w="5749" w:type="dxa"/>
          </w:tcPr>
          <w:p>
            <w:pPr>
              <w:pStyle w:val="TableParagraph"/>
              <w:ind w:left="1109"/>
              <w:rPr>
                <w:sz w:val="27"/>
              </w:rPr>
            </w:pPr>
            <w:r>
              <w:rPr>
                <w:sz w:val="27"/>
              </w:rPr>
              <w:t>铺灰用</w:t>
            </w:r>
          </w:p>
        </w:tc>
      </w:tr>
      <w:tr>
        <w:tblPrEx>
          <w:tblW w:w="0" w:type="auto"/>
          <w:jc w:val="left"/>
          <w:tblInd w:w="2841" w:type="dxa"/>
          <w:tblLayout w:type="fixed"/>
          <w:tblCellMar>
            <w:top w:w="0" w:type="dxa"/>
            <w:left w:w="0" w:type="dxa"/>
            <w:bottom w:w="0" w:type="dxa"/>
            <w:right w:w="0" w:type="dxa"/>
          </w:tblCellMar>
          <w:tblLook w:val="01E0"/>
        </w:tblPrEx>
        <w:trPr>
          <w:trHeight w:val="644"/>
          <w:jc w:val="left"/>
        </w:trPr>
        <w:tc>
          <w:tcPr>
            <w:tcW w:w="705" w:type="dxa"/>
          </w:tcPr>
          <w:p>
            <w:pPr>
              <w:pStyle w:val="TableParagraph"/>
              <w:spacing w:before="181"/>
              <w:ind w:left="118"/>
              <w:rPr>
                <w:rFonts w:ascii="Arial"/>
                <w:sz w:val="27"/>
              </w:rPr>
            </w:pPr>
            <w:r>
              <w:rPr>
                <w:rFonts w:ascii="Arial"/>
                <w:w w:val="89"/>
                <w:sz w:val="27"/>
              </w:rPr>
              <w:t>5</w:t>
            </w:r>
          </w:p>
        </w:tc>
        <w:tc>
          <w:tcPr>
            <w:tcW w:w="4194" w:type="dxa"/>
          </w:tcPr>
          <w:p>
            <w:pPr>
              <w:pStyle w:val="TableParagraph"/>
              <w:rPr>
                <w:sz w:val="27"/>
              </w:rPr>
            </w:pPr>
            <w:r>
              <w:rPr>
                <w:sz w:val="27"/>
              </w:rPr>
              <w:t>斗车</w:t>
            </w:r>
          </w:p>
        </w:tc>
        <w:tc>
          <w:tcPr>
            <w:tcW w:w="5749" w:type="dxa"/>
          </w:tcPr>
          <w:p>
            <w:pPr>
              <w:pStyle w:val="TableParagraph"/>
              <w:ind w:left="1109"/>
              <w:rPr>
                <w:sz w:val="27"/>
              </w:rPr>
            </w:pPr>
            <w:r>
              <w:rPr>
                <w:sz w:val="27"/>
              </w:rPr>
              <w:t>运输砌块、砂浆等材料</w:t>
            </w:r>
          </w:p>
        </w:tc>
      </w:tr>
      <w:tr>
        <w:tblPrEx>
          <w:tblW w:w="0" w:type="auto"/>
          <w:jc w:val="left"/>
          <w:tblInd w:w="2841" w:type="dxa"/>
          <w:tblLayout w:type="fixed"/>
          <w:tblCellMar>
            <w:top w:w="0" w:type="dxa"/>
            <w:left w:w="0" w:type="dxa"/>
            <w:bottom w:w="0" w:type="dxa"/>
            <w:right w:w="0" w:type="dxa"/>
          </w:tblCellMar>
          <w:tblLook w:val="01E0"/>
        </w:tblPrEx>
        <w:trPr>
          <w:trHeight w:val="644"/>
          <w:jc w:val="left"/>
        </w:trPr>
        <w:tc>
          <w:tcPr>
            <w:tcW w:w="705" w:type="dxa"/>
          </w:tcPr>
          <w:p>
            <w:pPr>
              <w:pStyle w:val="TableParagraph"/>
              <w:spacing w:before="181"/>
              <w:ind w:left="118"/>
              <w:rPr>
                <w:rFonts w:ascii="Arial"/>
                <w:sz w:val="27"/>
              </w:rPr>
            </w:pPr>
            <w:r>
              <w:rPr>
                <w:rFonts w:ascii="Arial"/>
                <w:w w:val="89"/>
                <w:sz w:val="27"/>
              </w:rPr>
              <w:t>6</w:t>
            </w:r>
          </w:p>
        </w:tc>
        <w:tc>
          <w:tcPr>
            <w:tcW w:w="4194" w:type="dxa"/>
          </w:tcPr>
          <w:p>
            <w:pPr>
              <w:pStyle w:val="TableParagraph"/>
              <w:rPr>
                <w:sz w:val="27"/>
              </w:rPr>
            </w:pPr>
            <w:r>
              <w:rPr>
                <w:sz w:val="27"/>
              </w:rPr>
              <w:t>灰斗、灰铁锹</w:t>
            </w:r>
          </w:p>
        </w:tc>
        <w:tc>
          <w:tcPr>
            <w:tcW w:w="5749" w:type="dxa"/>
          </w:tcPr>
          <w:p>
            <w:pPr>
              <w:pStyle w:val="TableParagraph"/>
              <w:ind w:left="1109"/>
              <w:rPr>
                <w:sz w:val="27"/>
              </w:rPr>
            </w:pPr>
            <w:r>
              <w:rPr>
                <w:sz w:val="27"/>
              </w:rPr>
              <w:t>铲运及承放砂浆用</w:t>
            </w:r>
          </w:p>
        </w:tc>
      </w:tr>
      <w:tr>
        <w:tblPrEx>
          <w:tblW w:w="0" w:type="auto"/>
          <w:jc w:val="left"/>
          <w:tblInd w:w="2841" w:type="dxa"/>
          <w:tblLayout w:type="fixed"/>
          <w:tblCellMar>
            <w:top w:w="0" w:type="dxa"/>
            <w:left w:w="0" w:type="dxa"/>
            <w:bottom w:w="0" w:type="dxa"/>
            <w:right w:w="0" w:type="dxa"/>
          </w:tblCellMar>
          <w:tblLook w:val="01E0"/>
        </w:tblPrEx>
        <w:trPr>
          <w:trHeight w:val="646"/>
          <w:jc w:val="left"/>
        </w:trPr>
        <w:tc>
          <w:tcPr>
            <w:tcW w:w="705" w:type="dxa"/>
          </w:tcPr>
          <w:p>
            <w:pPr>
              <w:pStyle w:val="TableParagraph"/>
              <w:spacing w:before="181"/>
              <w:ind w:left="118"/>
              <w:rPr>
                <w:rFonts w:ascii="Arial"/>
                <w:sz w:val="27"/>
              </w:rPr>
            </w:pPr>
            <w:r>
              <w:rPr>
                <w:rFonts w:ascii="Arial"/>
                <w:w w:val="89"/>
                <w:sz w:val="27"/>
              </w:rPr>
              <w:t>7</w:t>
            </w:r>
          </w:p>
        </w:tc>
        <w:tc>
          <w:tcPr>
            <w:tcW w:w="4194" w:type="dxa"/>
          </w:tcPr>
          <w:p>
            <w:pPr>
              <w:pStyle w:val="TableParagraph"/>
              <w:rPr>
                <w:sz w:val="27"/>
              </w:rPr>
            </w:pPr>
            <w:r>
              <w:rPr>
                <w:sz w:val="27"/>
              </w:rPr>
              <w:t>小撬棍、小木锤</w:t>
            </w:r>
          </w:p>
        </w:tc>
        <w:tc>
          <w:tcPr>
            <w:tcW w:w="5749" w:type="dxa"/>
          </w:tcPr>
          <w:p>
            <w:pPr>
              <w:pStyle w:val="TableParagraph"/>
              <w:ind w:left="1109"/>
              <w:rPr>
                <w:sz w:val="27"/>
              </w:rPr>
            </w:pPr>
            <w:r>
              <w:rPr>
                <w:sz w:val="27"/>
              </w:rPr>
              <w:t>调整砌块位置用</w:t>
            </w:r>
          </w:p>
        </w:tc>
      </w:tr>
      <w:tr>
        <w:tblPrEx>
          <w:tblW w:w="0" w:type="auto"/>
          <w:jc w:val="left"/>
          <w:tblInd w:w="2841" w:type="dxa"/>
          <w:tblLayout w:type="fixed"/>
          <w:tblCellMar>
            <w:top w:w="0" w:type="dxa"/>
            <w:left w:w="0" w:type="dxa"/>
            <w:bottom w:w="0" w:type="dxa"/>
            <w:right w:w="0" w:type="dxa"/>
          </w:tblCellMar>
          <w:tblLook w:val="01E0"/>
        </w:tblPrEx>
        <w:trPr>
          <w:trHeight w:val="646"/>
          <w:jc w:val="left"/>
        </w:trPr>
        <w:tc>
          <w:tcPr>
            <w:tcW w:w="705" w:type="dxa"/>
          </w:tcPr>
          <w:p>
            <w:pPr>
              <w:pStyle w:val="TableParagraph"/>
              <w:spacing w:before="183"/>
              <w:ind w:left="118"/>
              <w:rPr>
                <w:rFonts w:ascii="Arial"/>
                <w:sz w:val="27"/>
              </w:rPr>
            </w:pPr>
            <w:r>
              <w:rPr>
                <w:rFonts w:ascii="Arial"/>
                <w:w w:val="89"/>
                <w:sz w:val="27"/>
              </w:rPr>
              <w:t>8</w:t>
            </w:r>
          </w:p>
        </w:tc>
        <w:tc>
          <w:tcPr>
            <w:tcW w:w="4194" w:type="dxa"/>
          </w:tcPr>
          <w:p>
            <w:pPr>
              <w:pStyle w:val="TableParagraph"/>
              <w:spacing w:before="166"/>
              <w:rPr>
                <w:sz w:val="27"/>
              </w:rPr>
            </w:pPr>
            <w:r>
              <w:rPr>
                <w:sz w:val="27"/>
              </w:rPr>
              <w:t>夹具</w:t>
            </w:r>
          </w:p>
        </w:tc>
        <w:tc>
          <w:tcPr>
            <w:tcW w:w="5749" w:type="dxa"/>
          </w:tcPr>
          <w:p>
            <w:pPr>
              <w:pStyle w:val="TableParagraph"/>
              <w:spacing w:before="166"/>
              <w:ind w:left="1109"/>
              <w:rPr>
                <w:sz w:val="27"/>
              </w:rPr>
            </w:pPr>
            <w:r>
              <w:rPr>
                <w:sz w:val="27"/>
              </w:rPr>
              <w:t>固定砌块用</w:t>
            </w:r>
          </w:p>
        </w:tc>
      </w:tr>
      <w:tr>
        <w:tblPrEx>
          <w:tblW w:w="0" w:type="auto"/>
          <w:jc w:val="left"/>
          <w:tblInd w:w="2841" w:type="dxa"/>
          <w:tblLayout w:type="fixed"/>
          <w:tblCellMar>
            <w:top w:w="0" w:type="dxa"/>
            <w:left w:w="0" w:type="dxa"/>
            <w:bottom w:w="0" w:type="dxa"/>
            <w:right w:w="0" w:type="dxa"/>
          </w:tblCellMar>
          <w:tblLook w:val="01E0"/>
        </w:tblPrEx>
        <w:trPr>
          <w:trHeight w:val="644"/>
          <w:jc w:val="left"/>
        </w:trPr>
        <w:tc>
          <w:tcPr>
            <w:tcW w:w="705" w:type="dxa"/>
          </w:tcPr>
          <w:p>
            <w:pPr>
              <w:pStyle w:val="TableParagraph"/>
              <w:spacing w:before="181"/>
              <w:ind w:left="118"/>
              <w:rPr>
                <w:rFonts w:ascii="Arial"/>
                <w:sz w:val="27"/>
              </w:rPr>
            </w:pPr>
            <w:r>
              <w:rPr>
                <w:rFonts w:ascii="Arial"/>
                <w:w w:val="89"/>
                <w:sz w:val="27"/>
              </w:rPr>
              <w:t>9</w:t>
            </w:r>
          </w:p>
        </w:tc>
        <w:tc>
          <w:tcPr>
            <w:tcW w:w="4194" w:type="dxa"/>
          </w:tcPr>
          <w:p>
            <w:pPr>
              <w:pStyle w:val="TableParagraph"/>
              <w:rPr>
                <w:sz w:val="27"/>
              </w:rPr>
            </w:pPr>
            <w:r>
              <w:rPr>
                <w:sz w:val="27"/>
              </w:rPr>
              <w:t>线锤、皮数杆</w:t>
            </w:r>
          </w:p>
        </w:tc>
        <w:tc>
          <w:tcPr>
            <w:tcW w:w="5749" w:type="dxa"/>
          </w:tcPr>
          <w:p>
            <w:pPr>
              <w:pStyle w:val="TableParagraph"/>
              <w:ind w:left="1109"/>
              <w:rPr>
                <w:sz w:val="27"/>
              </w:rPr>
            </w:pPr>
            <w:r>
              <w:rPr>
                <w:sz w:val="27"/>
              </w:rPr>
              <w:t>砌筑找水平及垂直用</w:t>
            </w:r>
          </w:p>
        </w:tc>
      </w:tr>
      <w:tr>
        <w:tblPrEx>
          <w:tblW w:w="0" w:type="auto"/>
          <w:jc w:val="left"/>
          <w:tblInd w:w="2841" w:type="dxa"/>
          <w:tblLayout w:type="fixed"/>
          <w:tblCellMar>
            <w:top w:w="0" w:type="dxa"/>
            <w:left w:w="0" w:type="dxa"/>
            <w:bottom w:w="0" w:type="dxa"/>
            <w:right w:w="0" w:type="dxa"/>
          </w:tblCellMar>
          <w:tblLook w:val="01E0"/>
        </w:tblPrEx>
        <w:trPr>
          <w:trHeight w:val="473"/>
          <w:jc w:val="left"/>
        </w:trPr>
        <w:tc>
          <w:tcPr>
            <w:tcW w:w="705" w:type="dxa"/>
          </w:tcPr>
          <w:p>
            <w:pPr>
              <w:pStyle w:val="TableParagraph"/>
              <w:spacing w:before="182" w:line="271" w:lineRule="exact"/>
              <w:ind w:left="50"/>
              <w:rPr>
                <w:rFonts w:ascii="Arial"/>
                <w:sz w:val="27"/>
              </w:rPr>
            </w:pPr>
            <w:r>
              <w:rPr>
                <w:rFonts w:ascii="Arial"/>
                <w:sz w:val="27"/>
              </w:rPr>
              <w:t>10</w:t>
            </w:r>
          </w:p>
        </w:tc>
        <w:tc>
          <w:tcPr>
            <w:tcW w:w="4194" w:type="dxa"/>
          </w:tcPr>
          <w:p>
            <w:pPr>
              <w:pStyle w:val="TableParagraph"/>
              <w:spacing w:line="288" w:lineRule="exact"/>
              <w:rPr>
                <w:sz w:val="27"/>
              </w:rPr>
            </w:pPr>
            <w:r>
              <w:rPr>
                <w:sz w:val="27"/>
              </w:rPr>
              <w:t>铝合金条</w:t>
            </w:r>
          </w:p>
        </w:tc>
        <w:tc>
          <w:tcPr>
            <w:tcW w:w="5749" w:type="dxa"/>
          </w:tcPr>
          <w:p>
            <w:pPr>
              <w:pStyle w:val="TableParagraph"/>
              <w:spacing w:line="288" w:lineRule="exact"/>
              <w:ind w:left="1109"/>
              <w:rPr>
                <w:sz w:val="27"/>
              </w:rPr>
            </w:pPr>
            <w:r>
              <w:rPr>
                <w:sz w:val="27"/>
              </w:rPr>
              <w:t>抹灰赶砂浆用</w:t>
            </w:r>
          </w:p>
        </w:tc>
      </w:tr>
    </w:tbl>
    <w:p>
      <w:pPr>
        <w:pStyle w:val="BodyText"/>
        <w:ind w:left="0"/>
        <w:rPr>
          <w:sz w:val="20"/>
        </w:rPr>
      </w:pPr>
    </w:p>
    <w:p>
      <w:pPr>
        <w:pStyle w:val="BodyText"/>
        <w:spacing w:before="7"/>
        <w:ind w:left="0"/>
        <w:rPr>
          <w:sz w:val="20"/>
        </w:rPr>
      </w:pPr>
    </w:p>
    <w:p>
      <w:pPr>
        <w:pStyle w:val="Heading1"/>
        <w:numPr>
          <w:ilvl w:val="0"/>
          <w:numId w:val="15"/>
        </w:numPr>
        <w:tabs>
          <w:tab w:val="left" w:pos="2983"/>
        </w:tabs>
        <w:spacing w:before="96" w:after="0" w:line="240" w:lineRule="auto"/>
        <w:ind w:left="2982" w:right="0" w:hanging="542"/>
        <w:jc w:val="left"/>
        <w:rPr>
          <w:rFonts w:ascii="Arial" w:eastAsia="Arial"/>
          <w:sz w:val="34"/>
        </w:rPr>
      </w:pPr>
      <w:bookmarkStart w:id="4" w:name="_TOC_250020"/>
      <w:bookmarkEnd w:id="4"/>
      <w:r>
        <w:t>砌体工艺流程及操作要点</w:t>
      </w:r>
    </w:p>
    <w:p>
      <w:pPr>
        <w:pStyle w:val="Heading1"/>
        <w:numPr>
          <w:ilvl w:val="1"/>
          <w:numId w:val="15"/>
        </w:numPr>
        <w:tabs>
          <w:tab w:val="left" w:pos="2982"/>
        </w:tabs>
        <w:spacing w:before="240" w:after="0" w:line="240" w:lineRule="auto"/>
        <w:ind w:left="2981" w:right="0" w:hanging="541"/>
        <w:jc w:val="left"/>
        <w:rPr>
          <w:rFonts w:ascii="Arial" w:eastAsia="Arial"/>
        </w:rPr>
      </w:pPr>
      <w:bookmarkStart w:id="5" w:name="_TOC_250019"/>
      <w:bookmarkEnd w:id="5"/>
      <w:r>
        <w:t>工艺流程</w:t>
      </w:r>
    </w:p>
    <w:p>
      <w:pPr>
        <w:pStyle w:val="ListParagraph"/>
        <w:numPr>
          <w:ilvl w:val="2"/>
          <w:numId w:val="15"/>
        </w:numPr>
        <w:tabs>
          <w:tab w:val="left" w:pos="3252"/>
        </w:tabs>
        <w:spacing w:before="241" w:after="0" w:line="240" w:lineRule="auto"/>
        <w:ind w:left="3251" w:right="0" w:hanging="811"/>
        <w:jc w:val="left"/>
        <w:rPr>
          <w:rFonts w:ascii="Arial" w:eastAsia="Arial"/>
          <w:sz w:val="36"/>
        </w:rPr>
      </w:pPr>
      <w:r>
        <w:rPr>
          <w:rFonts w:ascii="黑体" w:eastAsia="黑体" w:hint="eastAsia"/>
          <w:sz w:val="36"/>
        </w:rPr>
        <w:t>作业条件</w:t>
      </w:r>
    </w:p>
    <w:p>
      <w:pPr>
        <w:pStyle w:val="BodyText"/>
        <w:spacing w:before="350" w:line="381" w:lineRule="auto"/>
        <w:ind w:left="3071" w:right="6866"/>
      </w:pPr>
      <w:r>
        <w:t>砌筑前，将楼、地面基层水泥浮浆及施工垃圾清理干净。弹出楼层轴线及墙身边线，经复核，办理相关手续。</w:t>
      </w:r>
    </w:p>
    <w:p>
      <w:pPr>
        <w:pStyle w:val="BodyText"/>
        <w:spacing w:line="381" w:lineRule="auto"/>
        <w:ind w:right="2426" w:firstLine="629"/>
        <w:jc w:val="right"/>
      </w:pPr>
      <w:r>
        <w:rPr>
          <w:spacing w:val="-1"/>
        </w:rPr>
        <w:t>根据标高控制线及窗台、窗顶标高，预排出砖砌块的皮数线，皮数线可划在框架柱上，并标明拉结筋、圈梁、过梁、墙梁的尺寸、标高，皮数线经技术质检部门复核，办理相关手续。</w:t>
      </w:r>
      <w:r>
        <w:rPr>
          <w:spacing w:val="-3"/>
        </w:rPr>
        <w:t xml:space="preserve">根据最下面第一皮砖的标高，拉通线检查，如水平灰缝厚度超过 </w:t>
      </w:r>
      <w:r>
        <w:rPr>
          <w:rFonts w:ascii="Arial" w:eastAsia="Arial"/>
          <w:spacing w:val="-3"/>
        </w:rPr>
        <w:t>20mm</w:t>
      </w:r>
      <w:r>
        <w:rPr>
          <w:spacing w:val="-2"/>
        </w:rPr>
        <w:t xml:space="preserve">，先用 </w:t>
      </w:r>
      <w:r>
        <w:rPr>
          <w:rFonts w:ascii="Arial" w:eastAsia="Arial"/>
        </w:rPr>
        <w:t>C20</w:t>
      </w:r>
      <w:r>
        <w:rPr>
          <w:rFonts w:ascii="Arial" w:eastAsia="Arial"/>
          <w:spacing w:val="71"/>
        </w:rPr>
        <w:t xml:space="preserve"> </w:t>
      </w:r>
      <w:r>
        <w:t>以上细</w:t>
      </w:r>
    </w:p>
    <w:p>
      <w:pPr>
        <w:pStyle w:val="BodyText"/>
        <w:spacing w:line="381" w:lineRule="auto"/>
        <w:ind w:left="3071" w:right="3060" w:hanging="630"/>
      </w:pPr>
      <w:r>
        <w:t>石混凝土找平。严禁用砂浆或砂浆包碎砖找平，更不允许采用两侧砌砖，中间填芯找平。构造柱钢筋绑扎，隐检验收完毕。</w:t>
      </w:r>
    </w:p>
    <w:p>
      <w:pPr>
        <w:pStyle w:val="BodyText"/>
        <w:spacing w:line="381" w:lineRule="auto"/>
        <w:ind w:right="2432" w:firstLine="629"/>
      </w:pPr>
      <w:r>
        <w:t>砌筑砂浆配合比经有资质的试验部门试配确定，有书面配合比试配单。在施工现场根据砌体方量准备好取样砂浆试模。</w:t>
      </w:r>
    </w:p>
    <w:p>
      <w:pPr>
        <w:pStyle w:val="BodyText"/>
        <w:spacing w:line="394" w:lineRule="exact"/>
        <w:ind w:left="3071"/>
      </w:pPr>
      <w:r>
        <w:t>做好水电管线的预留预埋工作。</w:t>
      </w:r>
    </w:p>
    <w:p>
      <w:pPr>
        <w:spacing w:after="0" w:line="394" w:lineRule="exact"/>
        <w:sectPr>
          <w:headerReference w:type="default" r:id="rId10"/>
          <w:footerReference w:type="default" r:id="rId11"/>
          <w:pgSz w:w="17860" w:h="25260"/>
          <w:pgMar w:top="1360" w:right="0" w:bottom="2060" w:left="0" w:header="1084" w:footer="1838"/>
          <w:pgNumType w:start="4"/>
          <w:cols w:space="708"/>
        </w:sectPr>
      </w:pPr>
    </w:p>
    <w:p>
      <w:pPr>
        <w:pStyle w:val="BodyText"/>
        <w:ind w:left="0"/>
        <w:rPr>
          <w:sz w:val="20"/>
        </w:rPr>
      </w:pPr>
    </w:p>
    <w:p>
      <w:pPr>
        <w:pStyle w:val="ListParagraph"/>
        <w:numPr>
          <w:ilvl w:val="2"/>
          <w:numId w:val="15"/>
        </w:numPr>
        <w:tabs>
          <w:tab w:val="left" w:pos="3252"/>
        </w:tabs>
        <w:spacing w:before="229" w:after="0" w:line="240" w:lineRule="auto"/>
        <w:ind w:left="3251" w:right="0" w:hanging="811"/>
        <w:jc w:val="left"/>
        <w:rPr>
          <w:rFonts w:ascii="Arial" w:eastAsia="Arial"/>
          <w:sz w:val="36"/>
        </w:rPr>
      </w:pPr>
      <w:r>
        <w:rPr>
          <w:rFonts w:ascii="黑体" w:eastAsia="黑体" w:hint="eastAsia"/>
          <w:sz w:val="36"/>
        </w:rPr>
        <w:t>工艺流程图</w:t>
      </w:r>
    </w:p>
    <w:p>
      <w:pPr>
        <w:pStyle w:val="BodyText"/>
        <w:ind w:left="0"/>
        <w:rPr>
          <w:rFonts w:ascii="黑体"/>
          <w:sz w:val="16"/>
        </w:rPr>
      </w:pPr>
      <w:r>
        <w:pict>
          <v:group id="_x0000_s1051" style="width:306.15pt;height:457.2pt;margin-top:12.24pt;margin-left:256.44pt;mso-position-horizontal-relative:page;mso-wrap-distance-left:0;mso-wrap-distance-right:0;position:absolute;z-index:-251656192" coordorigin="5129,245" coordsize="6123,9144">
            <v:shape id="_x0000_s1052" type="#_x0000_t75" style="width:6123;height:9144;left:5128;position:absolute;top:244" stroked="f">
              <v:imagedata r:id="rId12" o:title=""/>
            </v:shape>
            <v:shape id="_x0000_s1053" type="#_x0000_t202" style="width:2450;height:270;left:6859;position:absolute;top:396" filled="f" stroked="f">
              <v:textbox inset="0,0,0,0">
                <w:txbxContent>
                  <w:p>
                    <w:pPr>
                      <w:spacing w:before="0" w:line="270" w:lineRule="exact"/>
                      <w:ind w:left="0" w:right="0" w:firstLine="0"/>
                      <w:jc w:val="left"/>
                      <w:rPr>
                        <w:sz w:val="27"/>
                      </w:rPr>
                    </w:pPr>
                    <w:r>
                      <w:rPr>
                        <w:sz w:val="27"/>
                      </w:rPr>
                      <w:t>基层验收、墙体弹线</w:t>
                    </w:r>
                  </w:p>
                </w:txbxContent>
              </v:textbox>
            </v:shape>
            <v:shape id="_x0000_s1054" type="#_x0000_t202" style="width:560;height:270;left:7961;position:absolute;top:1224" filled="f" stroked="f">
              <v:textbox inset="0,0,0,0">
                <w:txbxContent>
                  <w:p>
                    <w:pPr>
                      <w:spacing w:before="0" w:line="270" w:lineRule="exact"/>
                      <w:ind w:left="0" w:right="0" w:firstLine="0"/>
                      <w:jc w:val="left"/>
                      <w:rPr>
                        <w:sz w:val="27"/>
                      </w:rPr>
                    </w:pPr>
                    <w:r>
                      <w:rPr>
                        <w:sz w:val="27"/>
                      </w:rPr>
                      <w:t>复验</w:t>
                    </w:r>
                  </w:p>
                </w:txbxContent>
              </v:textbox>
            </v:shape>
            <v:shape id="_x0000_s1055" type="#_x0000_t202" style="width:560;height:270;left:7388;position:absolute;top:1613" filled="f" stroked="f">
              <v:textbox inset="0,0,0,0">
                <w:txbxContent>
                  <w:p>
                    <w:pPr>
                      <w:spacing w:before="0" w:line="270" w:lineRule="exact"/>
                      <w:ind w:left="0" w:right="0" w:firstLine="0"/>
                      <w:jc w:val="left"/>
                      <w:rPr>
                        <w:sz w:val="27"/>
                      </w:rPr>
                    </w:pPr>
                    <w:r>
                      <w:rPr>
                        <w:sz w:val="27"/>
                      </w:rPr>
                      <w:t>合格</w:t>
                    </w:r>
                  </w:p>
                </w:txbxContent>
              </v:textbox>
            </v:shape>
            <v:shape id="_x0000_s1056" type="#_x0000_t202" style="width:1209;height:663;left:9440;position:absolute;top:1048" filled="f" stroked="f">
              <v:textbox inset="0,0,0,0">
                <w:txbxContent>
                  <w:p>
                    <w:pPr>
                      <w:spacing w:before="0" w:line="308" w:lineRule="exact"/>
                      <w:ind w:left="378" w:right="0" w:firstLine="0"/>
                      <w:jc w:val="left"/>
                      <w:rPr>
                        <w:sz w:val="27"/>
                      </w:rPr>
                    </w:pPr>
                    <w:r>
                      <w:rPr>
                        <w:sz w:val="27"/>
                      </w:rPr>
                      <w:t>不合格</w:t>
                    </w:r>
                  </w:p>
                  <w:p>
                    <w:pPr>
                      <w:spacing w:before="46" w:line="308" w:lineRule="exact"/>
                      <w:ind w:left="0" w:right="0" w:firstLine="0"/>
                      <w:jc w:val="left"/>
                      <w:rPr>
                        <w:sz w:val="27"/>
                      </w:rPr>
                    </w:pPr>
                    <w:r>
                      <w:rPr>
                        <w:sz w:val="27"/>
                      </w:rPr>
                      <w:t>验线记录</w:t>
                    </w:r>
                  </w:p>
                </w:txbxContent>
              </v:textbox>
            </v:shape>
            <v:shape id="_x0000_s1057" type="#_x0000_t202" style="width:3800;height:270;left:6301;position:absolute;top:2034" filled="f" stroked="f">
              <v:textbox inset="0,0,0,0">
                <w:txbxContent>
                  <w:p>
                    <w:pPr>
                      <w:spacing w:before="0" w:line="270" w:lineRule="exact"/>
                      <w:ind w:left="0" w:right="0" w:firstLine="0"/>
                      <w:jc w:val="left"/>
                      <w:rPr>
                        <w:sz w:val="27"/>
                      </w:rPr>
                    </w:pPr>
                    <w:r>
                      <w:rPr>
                        <w:sz w:val="27"/>
                      </w:rPr>
                      <w:t>见证取样、拌制（混凝土）砂浆</w:t>
                    </w:r>
                  </w:p>
                </w:txbxContent>
              </v:textbox>
            </v:shape>
            <v:shape id="_x0000_s1058" type="#_x0000_t202" style="width:560;height:270;left:7961;position:absolute;top:2862" filled="f" stroked="f">
              <v:textbox inset="0,0,0,0">
                <w:txbxContent>
                  <w:p>
                    <w:pPr>
                      <w:spacing w:before="0" w:line="270" w:lineRule="exact"/>
                      <w:ind w:left="0" w:right="0" w:firstLine="0"/>
                      <w:jc w:val="left"/>
                      <w:rPr>
                        <w:sz w:val="27"/>
                      </w:rPr>
                    </w:pPr>
                    <w:r>
                      <w:rPr>
                        <w:sz w:val="27"/>
                      </w:rPr>
                      <w:t>复试</w:t>
                    </w:r>
                  </w:p>
                </w:txbxContent>
              </v:textbox>
            </v:shape>
            <v:shape id="_x0000_s1059" type="#_x0000_t202" style="width:560;height:270;left:7388;position:absolute;top:3283" filled="f" stroked="f">
              <v:textbox inset="0,0,0,0">
                <w:txbxContent>
                  <w:p>
                    <w:pPr>
                      <w:spacing w:before="0" w:line="270" w:lineRule="exact"/>
                      <w:ind w:left="0" w:right="0" w:firstLine="0"/>
                      <w:jc w:val="left"/>
                      <w:rPr>
                        <w:sz w:val="27"/>
                      </w:rPr>
                    </w:pPr>
                    <w:r>
                      <w:rPr>
                        <w:sz w:val="27"/>
                      </w:rPr>
                      <w:t>合格</w:t>
                    </w:r>
                  </w:p>
                </w:txbxContent>
              </v:textbox>
            </v:shape>
            <v:shape id="_x0000_s1060" type="#_x0000_t202" style="width:1324;height:648;left:9278;position:absolute;top:2725" filled="f" stroked="f">
              <v:textbox inset="0,0,0,0">
                <w:txbxContent>
                  <w:p>
                    <w:pPr>
                      <w:spacing w:before="0" w:line="308" w:lineRule="exact"/>
                      <w:ind w:left="493" w:right="0" w:firstLine="0"/>
                      <w:jc w:val="left"/>
                      <w:rPr>
                        <w:sz w:val="27"/>
                      </w:rPr>
                    </w:pPr>
                    <w:r>
                      <w:rPr>
                        <w:sz w:val="27"/>
                      </w:rPr>
                      <w:t>不合格</w:t>
                    </w:r>
                  </w:p>
                  <w:p>
                    <w:pPr>
                      <w:spacing w:before="32" w:line="308" w:lineRule="exact"/>
                      <w:ind w:left="0" w:right="0" w:firstLine="0"/>
                      <w:jc w:val="left"/>
                      <w:rPr>
                        <w:sz w:val="27"/>
                      </w:rPr>
                    </w:pPr>
                    <w:r>
                      <w:rPr>
                        <w:sz w:val="27"/>
                      </w:rPr>
                      <w:t>留置试块</w:t>
                    </w:r>
                  </w:p>
                </w:txbxContent>
              </v:textbox>
            </v:shape>
            <v:shape id="_x0000_s1061" type="#_x0000_t202" style="width:2450;height:270;left:6989;position:absolute;top:3672" filled="f" stroked="f">
              <v:textbox inset="0,0,0,0">
                <w:txbxContent>
                  <w:p>
                    <w:pPr>
                      <w:spacing w:before="0" w:line="270" w:lineRule="exact"/>
                      <w:ind w:left="0" w:right="0" w:firstLine="0"/>
                      <w:jc w:val="left"/>
                      <w:rPr>
                        <w:sz w:val="27"/>
                      </w:rPr>
                    </w:pPr>
                    <w:r>
                      <w:rPr>
                        <w:sz w:val="27"/>
                      </w:rPr>
                      <w:t>砌筑坎台、排块撂底</w:t>
                    </w:r>
                  </w:p>
                </w:txbxContent>
              </v:textbox>
            </v:shape>
            <v:shape id="_x0000_s1062" type="#_x0000_t202" style="width:560;height:270;left:7946;position:absolute;top:4504" filled="f" stroked="f">
              <v:textbox inset="0,0,0,0">
                <w:txbxContent>
                  <w:p>
                    <w:pPr>
                      <w:spacing w:before="0" w:line="270" w:lineRule="exact"/>
                      <w:ind w:left="0" w:right="0" w:firstLine="0"/>
                      <w:jc w:val="left"/>
                      <w:rPr>
                        <w:sz w:val="27"/>
                      </w:rPr>
                    </w:pPr>
                    <w:r>
                      <w:rPr>
                        <w:sz w:val="27"/>
                      </w:rPr>
                      <w:t>检查</w:t>
                    </w:r>
                  </w:p>
                </w:txbxContent>
              </v:textbox>
            </v:shape>
            <v:shape id="_x0000_s1063" type="#_x0000_t202" style="width:830;height:270;left:9786;position:absolute;top:4363" filled="f" stroked="f">
              <v:textbox inset="0,0,0,0">
                <w:txbxContent>
                  <w:p>
                    <w:pPr>
                      <w:spacing w:before="0" w:line="270" w:lineRule="exact"/>
                      <w:ind w:left="0" w:right="0" w:firstLine="0"/>
                      <w:jc w:val="left"/>
                      <w:rPr>
                        <w:sz w:val="27"/>
                      </w:rPr>
                    </w:pPr>
                    <w:r>
                      <w:rPr>
                        <w:sz w:val="27"/>
                      </w:rPr>
                      <w:t>不合格</w:t>
                    </w:r>
                  </w:p>
                </w:txbxContent>
              </v:textbox>
            </v:shape>
            <v:shape id="_x0000_s1064" type="#_x0000_t202" style="width:1910;height:660;left:7244;position:absolute;top:4921" filled="f" stroked="f">
              <v:textbox inset="0,0,0,0">
                <w:txbxContent>
                  <w:p>
                    <w:pPr>
                      <w:spacing w:before="0" w:line="308" w:lineRule="exact"/>
                      <w:ind w:left="158" w:right="0" w:firstLine="0"/>
                      <w:jc w:val="left"/>
                      <w:rPr>
                        <w:sz w:val="27"/>
                      </w:rPr>
                    </w:pPr>
                    <w:r>
                      <w:rPr>
                        <w:sz w:val="27"/>
                      </w:rPr>
                      <w:t>合格</w:t>
                    </w:r>
                  </w:p>
                  <w:p>
                    <w:pPr>
                      <w:spacing w:before="44" w:line="308" w:lineRule="exact"/>
                      <w:ind w:left="0" w:right="0" w:firstLine="0"/>
                      <w:jc w:val="left"/>
                      <w:rPr>
                        <w:sz w:val="27"/>
                      </w:rPr>
                    </w:pPr>
                    <w:r>
                      <w:rPr>
                        <w:sz w:val="27"/>
                      </w:rPr>
                      <w:t>立杆挂线、砌墙</w:t>
                    </w:r>
                  </w:p>
                </w:txbxContent>
              </v:textbox>
            </v:shape>
            <v:shape id="_x0000_s1065" type="#_x0000_t202" style="width:3260;height:270;left:6524;position:absolute;top:6013" filled="f" stroked="f">
              <v:textbox inset="0,0,0,0">
                <w:txbxContent>
                  <w:p>
                    <w:pPr>
                      <w:spacing w:before="0" w:line="270" w:lineRule="exact"/>
                      <w:ind w:left="0" w:right="0" w:firstLine="0"/>
                      <w:jc w:val="left"/>
                      <w:rPr>
                        <w:sz w:val="27"/>
                      </w:rPr>
                    </w:pPr>
                    <w:r>
                      <w:rPr>
                        <w:sz w:val="27"/>
                      </w:rPr>
                      <w:t>构造柱、拉筋、浇筑混凝土</w:t>
                    </w:r>
                  </w:p>
                </w:txbxContent>
              </v:textbox>
            </v:shape>
            <v:shape id="_x0000_s1066" type="#_x0000_t202" style="width:560;height:270;left:7932;position:absolute;top:6845" filled="f" stroked="f">
              <v:textbox inset="0,0,0,0">
                <w:txbxContent>
                  <w:p>
                    <w:pPr>
                      <w:spacing w:before="0" w:line="270" w:lineRule="exact"/>
                      <w:ind w:left="0" w:right="0" w:firstLine="0"/>
                      <w:jc w:val="left"/>
                      <w:rPr>
                        <w:sz w:val="27"/>
                      </w:rPr>
                    </w:pPr>
                    <w:r>
                      <w:rPr>
                        <w:sz w:val="27"/>
                      </w:rPr>
                      <w:t>检查</w:t>
                    </w:r>
                  </w:p>
                </w:txbxContent>
              </v:textbox>
            </v:shape>
            <v:shape id="_x0000_s1067" type="#_x0000_t202" style="width:830;height:270;left:9786;position:absolute;top:6657" filled="f" stroked="f">
              <v:textbox inset="0,0,0,0">
                <w:txbxContent>
                  <w:p>
                    <w:pPr>
                      <w:spacing w:before="0" w:line="270" w:lineRule="exact"/>
                      <w:ind w:left="0" w:right="0" w:firstLine="0"/>
                      <w:jc w:val="left"/>
                      <w:rPr>
                        <w:sz w:val="27"/>
                      </w:rPr>
                    </w:pPr>
                    <w:r>
                      <w:rPr>
                        <w:sz w:val="27"/>
                      </w:rPr>
                      <w:t>不合格</w:t>
                    </w:r>
                  </w:p>
                </w:txbxContent>
              </v:textbox>
            </v:shape>
            <v:shape id="_x0000_s1068" type="#_x0000_t202" style="width:3394;height:1977;left:7345;position:absolute;top:7262" filled="f" stroked="f">
              <v:textbox inset="0,0,0,0">
                <w:txbxContent>
                  <w:p>
                    <w:pPr>
                      <w:spacing w:before="0" w:line="308" w:lineRule="exact"/>
                      <w:ind w:left="43" w:right="0" w:firstLine="0"/>
                      <w:jc w:val="left"/>
                      <w:rPr>
                        <w:sz w:val="27"/>
                      </w:rPr>
                    </w:pPr>
                    <w:r>
                      <w:rPr>
                        <w:sz w:val="27"/>
                      </w:rPr>
                      <w:t>合格</w:t>
                    </w:r>
                  </w:p>
                  <w:p>
                    <w:pPr>
                      <w:spacing w:before="104"/>
                      <w:ind w:left="18" w:right="0" w:firstLine="0"/>
                      <w:jc w:val="left"/>
                      <w:rPr>
                        <w:sz w:val="27"/>
                      </w:rPr>
                    </w:pPr>
                    <w:r>
                      <w:rPr>
                        <w:rFonts w:ascii="Arial" w:eastAsia="Arial"/>
                        <w:sz w:val="27"/>
                      </w:rPr>
                      <w:t xml:space="preserve">7d </w:t>
                    </w:r>
                    <w:r>
                      <w:rPr>
                        <w:sz w:val="27"/>
                      </w:rPr>
                      <w:t>塞缝、收尾</w:t>
                    </w:r>
                  </w:p>
                  <w:p>
                    <w:pPr>
                      <w:tabs>
                        <w:tab w:val="left" w:pos="1753"/>
                      </w:tabs>
                      <w:spacing w:before="97"/>
                      <w:ind w:left="43" w:right="0" w:firstLine="0"/>
                      <w:jc w:val="left"/>
                      <w:rPr>
                        <w:sz w:val="27"/>
                      </w:rPr>
                    </w:pPr>
                    <w:r>
                      <w:rPr>
                        <w:position w:val="1"/>
                        <w:sz w:val="27"/>
                      </w:rPr>
                      <w:t>合格</w:t>
                      <w:tab/>
                    </w:r>
                    <w:r>
                      <w:rPr>
                        <w:sz w:val="27"/>
                      </w:rPr>
                      <w:t>办理验收记录</w:t>
                    </w:r>
                  </w:p>
                  <w:p>
                    <w:pPr>
                      <w:spacing w:before="247" w:line="187" w:lineRule="auto"/>
                      <w:ind w:left="0" w:right="1771" w:firstLine="0"/>
                      <w:jc w:val="left"/>
                      <w:rPr>
                        <w:sz w:val="27"/>
                      </w:rPr>
                    </w:pPr>
                    <w:r>
                      <w:rPr>
                        <w:sz w:val="27"/>
                      </w:rPr>
                      <w:t>验收、养护并转入下一循环</w:t>
                    </w:r>
                  </w:p>
                </w:txbxContent>
              </v:textbox>
            </v:shape>
            <w10:wrap type="topAndBottom"/>
          </v:group>
        </w:pict>
      </w:r>
    </w:p>
    <w:p>
      <w:pPr>
        <w:pStyle w:val="BodyText"/>
        <w:ind w:left="0"/>
        <w:rPr>
          <w:rFonts w:ascii="黑体"/>
          <w:sz w:val="20"/>
        </w:rPr>
      </w:pPr>
    </w:p>
    <w:p>
      <w:pPr>
        <w:pStyle w:val="BodyText"/>
        <w:spacing w:before="235"/>
        <w:ind w:left="3013" w:right="2978"/>
        <w:jc w:val="center"/>
      </w:pPr>
      <w:r>
        <w:drawing>
          <wp:anchor distT="0" distB="0" distL="0" distR="0" simplePos="0" relativeHeight="251659264" behindDoc="1" locked="0" layoutInCell="1" allowOverlap="1">
            <wp:simplePos x="0" y="0"/>
            <wp:positionH relativeFrom="page">
              <wp:posOffset>3759200</wp:posOffset>
            </wp:positionH>
            <wp:positionV relativeFrom="paragraph">
              <wp:posOffset>349504</wp:posOffset>
            </wp:positionV>
            <wp:extent cx="3835400" cy="38100"/>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png"/>
                    <pic:cNvPicPr/>
                  </pic:nvPicPr>
                  <pic:blipFill>
                    <a:blip xmlns:r="http://schemas.openxmlformats.org/officeDocument/2006/relationships" r:embed="rId13" cstate="print"/>
                    <a:stretch>
                      <a:fillRect/>
                    </a:stretch>
                  </pic:blipFill>
                  <pic:spPr>
                    <a:xfrm>
                      <a:off x="0" y="0"/>
                      <a:ext cx="3835400" cy="38100"/>
                    </a:xfrm>
                    <a:prstGeom prst="rect">
                      <a:avLst/>
                    </a:prstGeom>
                  </pic:spPr>
                </pic:pic>
              </a:graphicData>
            </a:graphic>
          </wp:anchor>
        </w:drawing>
      </w:r>
      <w:r>
        <w:t>加气混凝土砌块填充墙砌体施工工艺流程图</w:t>
      </w:r>
    </w:p>
    <w:p>
      <w:pPr>
        <w:pStyle w:val="Heading1"/>
        <w:numPr>
          <w:ilvl w:val="1"/>
          <w:numId w:val="15"/>
        </w:numPr>
        <w:tabs>
          <w:tab w:val="left" w:pos="2982"/>
        </w:tabs>
        <w:spacing w:before="118" w:after="0" w:line="240" w:lineRule="auto"/>
        <w:ind w:left="2981" w:right="0" w:hanging="541"/>
        <w:jc w:val="left"/>
        <w:rPr>
          <w:rFonts w:ascii="Arial" w:eastAsia="Arial"/>
        </w:rPr>
      </w:pPr>
      <w:bookmarkStart w:id="6" w:name="_TOC_250018"/>
      <w:bookmarkEnd w:id="6"/>
      <w:r>
        <w:t>操作要点</w:t>
      </w:r>
    </w:p>
    <w:p>
      <w:pPr>
        <w:pStyle w:val="ListParagraph"/>
        <w:numPr>
          <w:ilvl w:val="2"/>
          <w:numId w:val="15"/>
        </w:numPr>
        <w:tabs>
          <w:tab w:val="left" w:pos="3252"/>
        </w:tabs>
        <w:spacing w:before="240" w:after="0" w:line="240" w:lineRule="auto"/>
        <w:ind w:left="3251" w:right="0" w:hanging="811"/>
        <w:jc w:val="left"/>
        <w:rPr>
          <w:rFonts w:ascii="Arial" w:eastAsia="Arial"/>
          <w:b/>
          <w:sz w:val="36"/>
        </w:rPr>
      </w:pPr>
      <w:r>
        <w:rPr>
          <w:rFonts w:ascii="黑体" w:eastAsia="黑体" w:hint="eastAsia"/>
          <w:b/>
          <w:sz w:val="36"/>
        </w:rPr>
        <w:t>技术准备</w:t>
      </w:r>
    </w:p>
    <w:p>
      <w:pPr>
        <w:pStyle w:val="BodyText"/>
        <w:spacing w:before="10"/>
        <w:ind w:left="0"/>
        <w:rPr>
          <w:rFonts w:ascii="黑体"/>
          <w:b/>
          <w:sz w:val="21"/>
        </w:rPr>
      </w:pPr>
    </w:p>
    <w:p>
      <w:pPr>
        <w:pStyle w:val="ListParagraph"/>
        <w:numPr>
          <w:ilvl w:val="3"/>
          <w:numId w:val="15"/>
        </w:numPr>
        <w:tabs>
          <w:tab w:val="left" w:pos="3442"/>
        </w:tabs>
        <w:spacing w:before="71" w:after="0" w:line="381" w:lineRule="auto"/>
        <w:ind w:left="2441" w:right="2380" w:firstLine="629"/>
        <w:jc w:val="left"/>
        <w:rPr>
          <w:sz w:val="31"/>
        </w:rPr>
      </w:pPr>
      <w:r>
        <w:rPr>
          <w:spacing w:val="-1"/>
          <w:sz w:val="31"/>
        </w:rPr>
        <w:t>砌筑前，应认真熟悉图纸，核实门窗洞口位置及洞口尺寸，明确预埋、预留位置，算出</w:t>
      </w:r>
      <w:r>
        <w:rPr>
          <w:sz w:val="31"/>
        </w:rPr>
        <w:t>窗台及过梁顶部标高，熟悉相关构造及材料要求。</w:t>
      </w:r>
    </w:p>
    <w:p>
      <w:pPr>
        <w:pStyle w:val="ListParagraph"/>
        <w:numPr>
          <w:ilvl w:val="3"/>
          <w:numId w:val="15"/>
        </w:numPr>
        <w:tabs>
          <w:tab w:val="left" w:pos="3442"/>
        </w:tabs>
        <w:spacing w:before="0" w:after="0" w:line="381" w:lineRule="auto"/>
        <w:ind w:left="2441" w:right="2380" w:firstLine="629"/>
        <w:jc w:val="left"/>
        <w:rPr>
          <w:sz w:val="31"/>
        </w:rPr>
      </w:pPr>
      <w:r>
        <w:rPr>
          <w:spacing w:val="-1"/>
          <w:sz w:val="31"/>
        </w:rPr>
        <w:t>已审核完建筑施工图纸，并确保填充墙、门窗洞口的位置、轴线尺寸准确无误，确保圈</w:t>
      </w:r>
      <w:r>
        <w:rPr>
          <w:sz w:val="31"/>
        </w:rPr>
        <w:t>梁、过梁的标高正确。</w:t>
      </w:r>
    </w:p>
    <w:p>
      <w:pPr>
        <w:pStyle w:val="ListParagraph"/>
        <w:numPr>
          <w:ilvl w:val="3"/>
          <w:numId w:val="15"/>
        </w:numPr>
        <w:tabs>
          <w:tab w:val="left" w:pos="3442"/>
        </w:tabs>
        <w:spacing w:before="0" w:after="0" w:line="394" w:lineRule="exact"/>
        <w:ind w:left="3441" w:right="0" w:hanging="371"/>
        <w:jc w:val="left"/>
        <w:rPr>
          <w:sz w:val="31"/>
        </w:rPr>
      </w:pPr>
      <w:r>
        <w:rPr>
          <w:sz w:val="31"/>
        </w:rPr>
        <w:t>使用经过校验合格的监测和测量工具。</w:t>
      </w:r>
    </w:p>
    <w:p>
      <w:pPr>
        <w:pStyle w:val="ListParagraph"/>
        <w:numPr>
          <w:ilvl w:val="3"/>
          <w:numId w:val="15"/>
        </w:numPr>
        <w:tabs>
          <w:tab w:val="left" w:pos="3442"/>
        </w:tabs>
        <w:spacing w:before="230" w:after="0" w:line="381" w:lineRule="auto"/>
        <w:ind w:left="2441" w:right="2380" w:firstLine="629"/>
        <w:jc w:val="left"/>
        <w:rPr>
          <w:sz w:val="31"/>
        </w:rPr>
      </w:pPr>
      <w:r>
        <w:rPr>
          <w:spacing w:val="-1"/>
          <w:sz w:val="31"/>
        </w:rPr>
        <w:t>施工前，工程技术人员应结合设计图纸及实际情况，编制出专项施工技术交底和作业指</w:t>
      </w:r>
      <w:r>
        <w:rPr>
          <w:sz w:val="31"/>
        </w:rPr>
        <w:t>导书等技术性文件。</w:t>
      </w:r>
    </w:p>
    <w:p>
      <w:pPr>
        <w:pStyle w:val="ListParagraph"/>
        <w:numPr>
          <w:ilvl w:val="3"/>
          <w:numId w:val="15"/>
        </w:numPr>
        <w:tabs>
          <w:tab w:val="left" w:pos="3442"/>
        </w:tabs>
        <w:spacing w:before="0" w:after="0" w:line="381" w:lineRule="auto"/>
        <w:ind w:left="3071" w:right="4916" w:firstLine="0"/>
        <w:jc w:val="left"/>
        <w:rPr>
          <w:sz w:val="31"/>
        </w:rPr>
      </w:pPr>
      <w:r>
        <w:rPr>
          <w:spacing w:val="-1"/>
          <w:sz w:val="31"/>
        </w:rPr>
        <w:t>制定该分项工程的质量目标、检查验收制度等保证工程质量的措施。</w:t>
      </w:r>
      <w:r>
        <w:rPr>
          <w:rFonts w:ascii="Arial" w:eastAsia="Arial"/>
          <w:sz w:val="31"/>
        </w:rPr>
        <w:t>(6)</w:t>
      </w:r>
      <w:r>
        <w:rPr>
          <w:sz w:val="31"/>
        </w:rPr>
        <w:t>由具有相应资质的试验室出具完整的砌筑砂浆配合比试验报告。</w:t>
      </w:r>
    </w:p>
    <w:p>
      <w:pPr>
        <w:pStyle w:val="ListParagraph"/>
        <w:numPr>
          <w:ilvl w:val="2"/>
          <w:numId w:val="15"/>
        </w:numPr>
        <w:tabs>
          <w:tab w:val="left" w:pos="3551"/>
        </w:tabs>
        <w:spacing w:before="0" w:after="0" w:line="371" w:lineRule="exact"/>
        <w:ind w:left="3550" w:right="0" w:hanging="811"/>
        <w:jc w:val="left"/>
        <w:rPr>
          <w:rFonts w:ascii="Arial" w:eastAsia="Arial"/>
          <w:b/>
          <w:sz w:val="36"/>
        </w:rPr>
      </w:pPr>
      <w:r>
        <w:rPr>
          <w:rFonts w:ascii="黑体" w:eastAsia="黑体" w:hint="eastAsia"/>
          <w:b/>
          <w:sz w:val="36"/>
        </w:rPr>
        <w:t>材料要求</w:t>
      </w:r>
    </w:p>
    <w:p>
      <w:pPr>
        <w:pStyle w:val="ListParagraph"/>
        <w:numPr>
          <w:ilvl w:val="3"/>
          <w:numId w:val="15"/>
        </w:numPr>
        <w:tabs>
          <w:tab w:val="left" w:pos="3442"/>
        </w:tabs>
        <w:spacing w:before="253" w:after="0" w:line="381" w:lineRule="auto"/>
        <w:ind w:left="3705" w:right="5028" w:hanging="634"/>
        <w:jc w:val="left"/>
        <w:rPr>
          <w:sz w:val="31"/>
        </w:rPr>
      </w:pPr>
      <w:r>
        <w:rPr>
          <w:spacing w:val="1"/>
          <w:sz w:val="31"/>
        </w:rPr>
        <w:t>蒸压加气混凝土砌块一般规格的公称尺寸有两个系列，单位为</w:t>
      </w:r>
      <w:r>
        <w:rPr>
          <w:rFonts w:ascii="Arial" w:eastAsia="Arial"/>
          <w:spacing w:val="-10"/>
          <w:sz w:val="31"/>
        </w:rPr>
        <w:t>mm</w:t>
      </w:r>
      <w:r>
        <w:rPr>
          <w:spacing w:val="-10"/>
          <w:sz w:val="31"/>
        </w:rPr>
        <w:t xml:space="preserve">： </w:t>
      </w:r>
      <w:r>
        <w:rPr>
          <w:rFonts w:ascii="Arial" w:eastAsia="Arial"/>
          <w:sz w:val="31"/>
        </w:rPr>
        <w:t>a</w:t>
      </w:r>
      <w:r>
        <w:rPr>
          <w:sz w:val="31"/>
        </w:rPr>
        <w:t>．长度：</w:t>
      </w:r>
      <w:r>
        <w:rPr>
          <w:rFonts w:ascii="Arial" w:eastAsia="Arial"/>
          <w:sz w:val="31"/>
        </w:rPr>
        <w:t>600</w:t>
      </w:r>
      <w:r>
        <w:rPr>
          <w:spacing w:val="-1"/>
          <w:sz w:val="31"/>
        </w:rPr>
        <w:t>。高度：</w:t>
      </w:r>
      <w:r>
        <w:rPr>
          <w:rFonts w:ascii="Arial" w:eastAsia="Arial"/>
          <w:spacing w:val="-3"/>
          <w:sz w:val="31"/>
        </w:rPr>
        <w:t>240</w:t>
      </w:r>
      <w:r>
        <w:rPr>
          <w:spacing w:val="-2"/>
          <w:sz w:val="31"/>
        </w:rPr>
        <w:t xml:space="preserve">。宽度： </w:t>
      </w:r>
      <w:r>
        <w:rPr>
          <w:rFonts w:ascii="Arial" w:eastAsia="Arial"/>
          <w:sz w:val="31"/>
        </w:rPr>
        <w:t>100</w:t>
      </w:r>
      <w:r>
        <w:rPr>
          <w:sz w:val="31"/>
        </w:rPr>
        <w:t>。</w:t>
      </w:r>
    </w:p>
    <w:p>
      <w:pPr>
        <w:pStyle w:val="BodyText"/>
        <w:spacing w:line="394" w:lineRule="exact"/>
        <w:ind w:left="3705"/>
      </w:pPr>
      <w:r>
        <w:rPr>
          <w:rFonts w:ascii="Arial" w:eastAsia="Arial"/>
        </w:rPr>
        <w:t>b</w:t>
      </w:r>
      <w:r>
        <w:t>．长度：</w:t>
      </w:r>
      <w:r>
        <w:rPr>
          <w:rFonts w:ascii="Arial" w:eastAsia="Arial"/>
        </w:rPr>
        <w:t>600</w:t>
      </w:r>
      <w:r>
        <w:t>。高度：</w:t>
      </w:r>
      <w:r>
        <w:rPr>
          <w:rFonts w:ascii="Arial" w:eastAsia="Arial"/>
        </w:rPr>
        <w:t>240</w:t>
      </w:r>
      <w:r>
        <w:t xml:space="preserve">。宽度： </w:t>
      </w:r>
      <w:r>
        <w:rPr>
          <w:rFonts w:ascii="Arial" w:eastAsia="Arial"/>
        </w:rPr>
        <w:t>200</w:t>
      </w:r>
      <w:r>
        <w:t>。</w:t>
      </w:r>
    </w:p>
    <w:p>
      <w:pPr>
        <w:spacing w:after="0" w:line="394" w:lineRule="exact"/>
        <w:sectPr>
          <w:headerReference w:type="default" r:id="rId14"/>
          <w:footerReference w:type="default" r:id="rId15"/>
          <w:pgSz w:w="17860" w:h="25260"/>
          <w:pgMar w:top="1360" w:right="0" w:bottom="2020" w:left="0" w:header="1084" w:footer="1838"/>
          <w:pgNumType w:start="5"/>
          <w:cols w:space="708"/>
        </w:sectPr>
      </w:pPr>
    </w:p>
    <w:p>
      <w:pPr>
        <w:pStyle w:val="BodyText"/>
        <w:ind w:left="0"/>
        <w:rPr>
          <w:sz w:val="20"/>
        </w:rPr>
      </w:pPr>
    </w:p>
    <w:p>
      <w:pPr>
        <w:pStyle w:val="BodyText"/>
        <w:ind w:left="0"/>
        <w:rPr>
          <w:sz w:val="20"/>
        </w:rPr>
      </w:pPr>
    </w:p>
    <w:p>
      <w:pPr>
        <w:pStyle w:val="ListParagraph"/>
        <w:numPr>
          <w:ilvl w:val="3"/>
          <w:numId w:val="15"/>
        </w:numPr>
        <w:tabs>
          <w:tab w:val="left" w:pos="3442"/>
        </w:tabs>
        <w:spacing w:before="200" w:after="0" w:line="240" w:lineRule="auto"/>
        <w:ind w:left="3441" w:right="0" w:hanging="371"/>
        <w:jc w:val="left"/>
        <w:rPr>
          <w:sz w:val="31"/>
        </w:rPr>
      </w:pPr>
      <w:r>
        <w:rPr>
          <w:spacing w:val="7"/>
          <w:sz w:val="31"/>
        </w:rPr>
        <w:t>墙体强度：抗压强度</w:t>
      </w:r>
      <w:r>
        <w:rPr>
          <w:rFonts w:ascii="Arial" w:eastAsia="Arial"/>
          <w:sz w:val="31"/>
        </w:rPr>
        <w:t>A5.0</w:t>
      </w:r>
      <w:r>
        <w:rPr>
          <w:sz w:val="31"/>
        </w:rPr>
        <w:t>、</w:t>
      </w:r>
      <w:r>
        <w:rPr>
          <w:rFonts w:ascii="Arial" w:eastAsia="Arial"/>
          <w:sz w:val="31"/>
        </w:rPr>
        <w:t>M5</w:t>
      </w:r>
      <w:r>
        <w:rPr>
          <w:rFonts w:ascii="Arial" w:eastAsia="Arial"/>
          <w:spacing w:val="-11"/>
          <w:sz w:val="31"/>
        </w:rPr>
        <w:t xml:space="preserve"> </w:t>
      </w:r>
      <w:r>
        <w:rPr>
          <w:sz w:val="31"/>
        </w:rPr>
        <w:t>专用砂浆砌筑。</w:t>
      </w:r>
    </w:p>
    <w:p>
      <w:pPr>
        <w:pStyle w:val="ListParagraph"/>
        <w:numPr>
          <w:ilvl w:val="3"/>
          <w:numId w:val="15"/>
        </w:numPr>
        <w:tabs>
          <w:tab w:val="left" w:pos="3442"/>
        </w:tabs>
        <w:spacing w:before="234" w:after="0" w:line="381" w:lineRule="auto"/>
        <w:ind w:left="2441" w:right="2380" w:firstLine="629"/>
        <w:jc w:val="left"/>
        <w:rPr>
          <w:sz w:val="31"/>
        </w:rPr>
      </w:pPr>
      <w:r>
        <w:rPr>
          <w:spacing w:val="-1"/>
          <w:sz w:val="31"/>
        </w:rPr>
        <w:t>蒸压加气混凝土砌块、砂浆等砌筑材料进场时均应有质量证明文件、型式检验报告，并</w:t>
      </w:r>
      <w:r>
        <w:rPr>
          <w:sz w:val="31"/>
        </w:rPr>
        <w:t>按要求进行查检和复验，合格后方可采用。</w:t>
      </w:r>
    </w:p>
    <w:p>
      <w:pPr>
        <w:pStyle w:val="ListParagraph"/>
        <w:numPr>
          <w:ilvl w:val="3"/>
          <w:numId w:val="15"/>
        </w:numPr>
        <w:tabs>
          <w:tab w:val="left" w:pos="3442"/>
        </w:tabs>
        <w:spacing w:before="0" w:after="0" w:line="381" w:lineRule="auto"/>
        <w:ind w:left="2441" w:right="2394" w:firstLine="629"/>
        <w:jc w:val="left"/>
        <w:rPr>
          <w:sz w:val="31"/>
        </w:rPr>
      </w:pPr>
      <w:r>
        <w:rPr>
          <w:spacing w:val="1"/>
          <w:sz w:val="31"/>
        </w:rPr>
        <w:t xml:space="preserve">不得使用龄期不足 </w:t>
      </w:r>
      <w:r>
        <w:rPr>
          <w:rFonts w:ascii="Arial" w:eastAsia="Arial"/>
          <w:sz w:val="31"/>
        </w:rPr>
        <w:t>28d</w:t>
      </w:r>
      <w:r>
        <w:rPr>
          <w:spacing w:val="-1"/>
          <w:sz w:val="31"/>
        </w:rPr>
        <w:t>、浸水和表面被污染的砌块，破裂、不规整的砌块可切割成小规</w:t>
      </w:r>
      <w:r>
        <w:rPr>
          <w:sz w:val="31"/>
        </w:rPr>
        <w:t>格后使用。</w:t>
      </w:r>
    </w:p>
    <w:p>
      <w:pPr>
        <w:pStyle w:val="ListParagraph"/>
        <w:numPr>
          <w:ilvl w:val="3"/>
          <w:numId w:val="15"/>
        </w:numPr>
        <w:tabs>
          <w:tab w:val="left" w:pos="3597"/>
        </w:tabs>
        <w:spacing w:before="0" w:after="0" w:line="394" w:lineRule="exact"/>
        <w:ind w:left="3597" w:right="0" w:hanging="526"/>
        <w:jc w:val="left"/>
        <w:rPr>
          <w:sz w:val="31"/>
        </w:rPr>
      </w:pPr>
      <w:r>
        <w:rPr>
          <w:sz w:val="31"/>
        </w:rPr>
        <w:t>蒸压加气混凝土砌块堆放应符合以下规定：</w:t>
      </w:r>
    </w:p>
    <w:p>
      <w:pPr>
        <w:pStyle w:val="ListParagraph"/>
        <w:numPr>
          <w:ilvl w:val="4"/>
          <w:numId w:val="15"/>
        </w:numPr>
        <w:tabs>
          <w:tab w:val="left" w:pos="3939"/>
        </w:tabs>
        <w:spacing w:before="229" w:after="0" w:line="240" w:lineRule="auto"/>
        <w:ind w:left="3939" w:right="0" w:hanging="234"/>
        <w:jc w:val="left"/>
        <w:rPr>
          <w:sz w:val="31"/>
        </w:rPr>
      </w:pPr>
      <w:r>
        <w:rPr>
          <w:sz w:val="31"/>
        </w:rPr>
        <w:t>砌块堆放场地应平整、清洁、无积水，并有防雨和排水措施；</w:t>
      </w:r>
    </w:p>
    <w:p>
      <w:pPr>
        <w:pStyle w:val="ListParagraph"/>
        <w:numPr>
          <w:ilvl w:val="4"/>
          <w:numId w:val="15"/>
        </w:numPr>
        <w:tabs>
          <w:tab w:val="left" w:pos="3939"/>
        </w:tabs>
        <w:spacing w:before="233" w:after="0" w:line="240" w:lineRule="auto"/>
        <w:ind w:left="3939" w:right="0" w:hanging="234"/>
        <w:jc w:val="left"/>
        <w:rPr>
          <w:sz w:val="31"/>
        </w:rPr>
      </w:pPr>
      <w:r>
        <w:rPr>
          <w:sz w:val="31"/>
        </w:rPr>
        <w:t>砌块装卸时应轻拿轻放，严禁翻斗倾卸和任意抛掷；</w:t>
      </w:r>
    </w:p>
    <w:p>
      <w:pPr>
        <w:pStyle w:val="ListParagraph"/>
        <w:numPr>
          <w:ilvl w:val="4"/>
          <w:numId w:val="15"/>
        </w:numPr>
        <w:tabs>
          <w:tab w:val="left" w:pos="4022"/>
        </w:tabs>
        <w:spacing w:before="233" w:after="0" w:line="381" w:lineRule="auto"/>
        <w:ind w:left="2441" w:right="2432" w:firstLine="1263"/>
        <w:jc w:val="left"/>
        <w:rPr>
          <w:sz w:val="31"/>
        </w:rPr>
      </w:pPr>
      <w:r>
        <w:rPr>
          <w:spacing w:val="-1"/>
          <w:sz w:val="31"/>
        </w:rPr>
        <w:t>砌块应按品种、规格、密度级别以及生产日期分批分别堆垛整齐，并设置标识，不</w:t>
      </w:r>
      <w:r>
        <w:rPr>
          <w:sz w:val="31"/>
        </w:rPr>
        <w:t>得直接触地堆垛，堆垛间应留有通道；</w:t>
      </w:r>
    </w:p>
    <w:p>
      <w:pPr>
        <w:pStyle w:val="ListParagraph"/>
        <w:numPr>
          <w:ilvl w:val="4"/>
          <w:numId w:val="15"/>
        </w:numPr>
        <w:tabs>
          <w:tab w:val="left" w:pos="3939"/>
        </w:tabs>
        <w:spacing w:before="0" w:after="0" w:line="395" w:lineRule="exact"/>
        <w:ind w:left="3939" w:right="0" w:hanging="234"/>
        <w:jc w:val="left"/>
        <w:rPr>
          <w:sz w:val="31"/>
        </w:rPr>
      </w:pPr>
      <w:r>
        <w:rPr>
          <w:spacing w:val="-1"/>
          <w:sz w:val="31"/>
        </w:rPr>
        <w:t xml:space="preserve">砌块堆放高度不宜超过 </w:t>
      </w:r>
      <w:r>
        <w:rPr>
          <w:rFonts w:ascii="Arial" w:eastAsia="Arial"/>
          <w:sz w:val="31"/>
        </w:rPr>
        <w:t>2m</w:t>
      </w:r>
      <w:r>
        <w:rPr>
          <w:sz w:val="31"/>
        </w:rPr>
        <w:t>；</w:t>
      </w:r>
    </w:p>
    <w:p>
      <w:pPr>
        <w:pStyle w:val="ListParagraph"/>
        <w:numPr>
          <w:ilvl w:val="4"/>
          <w:numId w:val="15"/>
        </w:numPr>
        <w:tabs>
          <w:tab w:val="left" w:pos="4022"/>
        </w:tabs>
        <w:spacing w:before="233" w:after="0" w:line="381" w:lineRule="auto"/>
        <w:ind w:left="2441" w:right="2432" w:firstLine="1263"/>
        <w:jc w:val="left"/>
        <w:rPr>
          <w:sz w:val="31"/>
        </w:rPr>
      </w:pPr>
      <w:r>
        <w:rPr>
          <w:spacing w:val="-1"/>
          <w:sz w:val="31"/>
        </w:rPr>
        <w:t>施工过程中，砌块在楼面堆放荷载不得超过楼板允许荷载值，砌块应分散堆放，不</w:t>
      </w:r>
      <w:r>
        <w:rPr>
          <w:sz w:val="31"/>
        </w:rPr>
        <w:t>得集中堆放。</w:t>
      </w:r>
    </w:p>
    <w:p>
      <w:pPr>
        <w:pStyle w:val="ListParagraph"/>
        <w:numPr>
          <w:ilvl w:val="3"/>
          <w:numId w:val="15"/>
        </w:numPr>
        <w:tabs>
          <w:tab w:val="left" w:pos="3442"/>
        </w:tabs>
        <w:spacing w:before="0" w:after="0" w:line="381" w:lineRule="auto"/>
        <w:ind w:left="2441" w:right="2380" w:firstLine="629"/>
        <w:jc w:val="left"/>
        <w:rPr>
          <w:sz w:val="31"/>
        </w:rPr>
      </w:pPr>
      <w:r>
        <w:rPr>
          <w:spacing w:val="-1"/>
          <w:sz w:val="31"/>
        </w:rPr>
        <w:t>蒸压加气混凝土砌块砌筑宜使用蒸压加气混凝土专用砂浆；砌筑砂浆强度等级不应低于</w:t>
      </w:r>
      <w:r>
        <w:rPr>
          <w:rFonts w:ascii="Arial" w:eastAsia="Arial"/>
          <w:sz w:val="31"/>
        </w:rPr>
        <w:t>M5.0</w:t>
      </w:r>
      <w:r>
        <w:rPr>
          <w:sz w:val="31"/>
        </w:rPr>
        <w:t>，且不宜高出蒸压加气混凝土砌块一个强度级别。</w:t>
      </w:r>
    </w:p>
    <w:p>
      <w:pPr>
        <w:pStyle w:val="ListParagraph"/>
        <w:numPr>
          <w:ilvl w:val="3"/>
          <w:numId w:val="15"/>
        </w:numPr>
        <w:tabs>
          <w:tab w:val="left" w:pos="3442"/>
        </w:tabs>
        <w:spacing w:before="0" w:after="0" w:line="394" w:lineRule="exact"/>
        <w:ind w:left="3441" w:right="0" w:hanging="371"/>
        <w:jc w:val="left"/>
        <w:rPr>
          <w:sz w:val="31"/>
        </w:rPr>
      </w:pPr>
      <w:r>
        <w:rPr>
          <w:spacing w:val="-2"/>
          <w:sz w:val="31"/>
        </w:rPr>
        <w:t>蒸压加气混凝土砌块应符合《建筑材料放射性核素限量》</w:t>
      </w:r>
      <w:r>
        <w:rPr>
          <w:rFonts w:ascii="Arial" w:eastAsia="Arial" w:hAnsi="Arial"/>
          <w:sz w:val="31"/>
        </w:rPr>
        <w:t>(GB</w:t>
      </w:r>
      <w:r>
        <w:rPr>
          <w:rFonts w:ascii="Arial" w:eastAsia="Arial" w:hAnsi="Arial"/>
          <w:spacing w:val="-6"/>
          <w:sz w:val="31"/>
        </w:rPr>
        <w:t xml:space="preserve"> </w:t>
      </w:r>
      <w:r>
        <w:rPr>
          <w:rFonts w:ascii="Arial" w:eastAsia="Arial" w:hAnsi="Arial"/>
          <w:sz w:val="31"/>
        </w:rPr>
        <w:t>6566</w:t>
      </w:r>
      <w:r>
        <w:rPr>
          <w:sz w:val="31"/>
        </w:rPr>
        <w:t>—</w:t>
      </w:r>
      <w:r>
        <w:rPr>
          <w:rFonts w:ascii="Arial" w:eastAsia="Arial" w:hAnsi="Arial"/>
          <w:sz w:val="31"/>
        </w:rPr>
        <w:t>2010)</w:t>
      </w:r>
      <w:r>
        <w:rPr>
          <w:sz w:val="31"/>
        </w:rPr>
        <w:t>的规定。</w:t>
      </w:r>
    </w:p>
    <w:p>
      <w:pPr>
        <w:pStyle w:val="ListParagraph"/>
        <w:numPr>
          <w:ilvl w:val="2"/>
          <w:numId w:val="15"/>
        </w:numPr>
        <w:tabs>
          <w:tab w:val="left" w:pos="3151"/>
        </w:tabs>
        <w:spacing w:before="230" w:after="0" w:line="240" w:lineRule="auto"/>
        <w:ind w:left="3150" w:right="0" w:hanging="710"/>
        <w:jc w:val="left"/>
        <w:rPr>
          <w:rFonts w:ascii="Arial" w:eastAsia="Arial"/>
          <w:b/>
          <w:sz w:val="31"/>
        </w:rPr>
      </w:pPr>
      <w:r>
        <w:rPr>
          <w:b/>
          <w:sz w:val="31"/>
        </w:rPr>
        <w:t>操作要点</w:t>
      </w:r>
    </w:p>
    <w:p>
      <w:pPr>
        <w:pStyle w:val="BodyText"/>
        <w:spacing w:before="233" w:line="381" w:lineRule="auto"/>
        <w:ind w:right="2427" w:firstLine="629"/>
        <w:jc w:val="both"/>
      </w:pPr>
      <w:r>
        <w:rPr>
          <w:spacing w:val="-1"/>
        </w:rPr>
        <w:t>结构经验收合格后，把砌筑基层楼地面的浮浆残渣清理干净并进行弹线，填充墙的边线、门窗洞口位置线要准确，偏差控制在规范允许的范围内。皮数杆尽可能立在填充墙的两端或转</w:t>
      </w:r>
      <w:r>
        <w:t>角处，并拉通线。</w:t>
      </w:r>
    </w:p>
    <w:p>
      <w:pPr>
        <w:pStyle w:val="BodyText"/>
        <w:spacing w:line="381" w:lineRule="auto"/>
        <w:ind w:right="2390" w:firstLine="629"/>
        <w:jc w:val="both"/>
      </w:pPr>
      <w:r>
        <w:rPr>
          <w:spacing w:val="-3"/>
        </w:rPr>
        <w:t xml:space="preserve">除高出屋面的外墙基脚均采用 </w:t>
      </w:r>
      <w:r>
        <w:rPr>
          <w:rFonts w:ascii="Arial" w:eastAsia="Arial"/>
        </w:rPr>
        <w:t>C20</w:t>
      </w:r>
      <w:r>
        <w:rPr>
          <w:rFonts w:ascii="Arial" w:eastAsia="Arial"/>
          <w:spacing w:val="56"/>
        </w:rPr>
        <w:t xml:space="preserve"> </w:t>
      </w:r>
      <w:r>
        <w:rPr>
          <w:spacing w:val="-3"/>
        </w:rPr>
        <w:t xml:space="preserve">素混凝土现浇 </w:t>
      </w:r>
      <w:r>
        <w:rPr>
          <w:rFonts w:ascii="Arial" w:eastAsia="Arial"/>
        </w:rPr>
        <w:t xml:space="preserve">300mm </w:t>
      </w:r>
      <w:r>
        <w:t>高，宽度同墙体厚度。其余所有</w:t>
      </w:r>
      <w:r>
        <w:rPr>
          <w:spacing w:val="11"/>
        </w:rPr>
        <w:t>外墙基脚均用</w:t>
      </w:r>
      <w:r>
        <w:rPr>
          <w:rFonts w:ascii="Arial" w:eastAsia="Arial"/>
        </w:rPr>
        <w:t xml:space="preserve">C20 </w:t>
      </w:r>
      <w:r>
        <w:rPr>
          <w:spacing w:val="-5"/>
        </w:rPr>
        <w:t xml:space="preserve">素混凝土浇筑 </w:t>
      </w:r>
      <w:r>
        <w:rPr>
          <w:rFonts w:ascii="Arial" w:eastAsia="Arial"/>
        </w:rPr>
        <w:t xml:space="preserve">200 </w:t>
      </w:r>
      <w:r>
        <w:rPr>
          <w:spacing w:val="-1"/>
        </w:rPr>
        <w:t>高，宽度同墙厚。卫生间及其它用水房间的周边墙体基脚</w:t>
      </w:r>
      <w:r>
        <w:rPr>
          <w:spacing w:val="25"/>
        </w:rPr>
        <w:t>均采用</w:t>
      </w:r>
      <w:r>
        <w:rPr>
          <w:rFonts w:ascii="Arial" w:eastAsia="Arial"/>
        </w:rPr>
        <w:t xml:space="preserve">C20 </w:t>
      </w:r>
      <w:r>
        <w:rPr>
          <w:spacing w:val="-7"/>
        </w:rPr>
        <w:t xml:space="preserve">素混凝土翻梁与楼板同浇 </w:t>
      </w:r>
      <w:r>
        <w:rPr>
          <w:rFonts w:ascii="Arial" w:eastAsia="Arial"/>
        </w:rPr>
        <w:t xml:space="preserve">300mm </w:t>
      </w:r>
      <w:r>
        <w:rPr>
          <w:spacing w:val="-15"/>
        </w:rPr>
        <w:t xml:space="preserve">高，高度同墙厚。设备间及管道井检修门均设 </w:t>
      </w:r>
      <w:r>
        <w:rPr>
          <w:rFonts w:ascii="Arial" w:eastAsia="Arial"/>
        </w:rPr>
        <w:t xml:space="preserve">100 </w:t>
      </w:r>
      <w:r>
        <w:t>高素混凝土门槛，高度同墙厚。</w:t>
      </w:r>
    </w:p>
    <w:p>
      <w:pPr>
        <w:pStyle w:val="BodyText"/>
        <w:spacing w:line="381" w:lineRule="auto"/>
        <w:ind w:right="2396" w:firstLine="629"/>
        <w:jc w:val="both"/>
      </w:pPr>
      <w:r>
        <w:t>砌筑时应预先试排砌块，并优先使用整体砌块。不得已须断开砌块时，应使用手锯、切割机等工具锯裁整齐，并保护好砌块的棱角，锯裁砌块的长度不应小于砌块总长度的</w:t>
      </w:r>
      <w:r>
        <w:rPr>
          <w:rFonts w:ascii="Arial" w:eastAsia="Arial" w:hAnsi="Arial"/>
          <w:spacing w:val="-3"/>
        </w:rPr>
        <w:t>1</w:t>
      </w:r>
      <w:r>
        <w:rPr>
          <w:spacing w:val="-3"/>
        </w:rPr>
        <w:t>／</w:t>
      </w:r>
      <w:r>
        <w:rPr>
          <w:rFonts w:ascii="Arial" w:eastAsia="Arial" w:hAnsi="Arial"/>
          <w:spacing w:val="-3"/>
        </w:rPr>
        <w:t>3</w:t>
      </w:r>
      <w:r>
        <w:t>。长度</w:t>
      </w:r>
      <w:r>
        <w:rPr>
          <w:spacing w:val="-11"/>
        </w:rPr>
        <w:t xml:space="preserve">小于等于 </w:t>
      </w:r>
      <w:r>
        <w:rPr>
          <w:rFonts w:ascii="Arial" w:eastAsia="Arial" w:hAnsi="Arial"/>
        </w:rPr>
        <w:t xml:space="preserve">150mm </w:t>
      </w:r>
      <w:r>
        <w:rPr>
          <w:spacing w:val="-16"/>
        </w:rPr>
        <w:t xml:space="preserve">的砌块不得上墙。砌筑最底层砌块时，当灰缝厚度大于 </w:t>
      </w:r>
      <w:r>
        <w:rPr>
          <w:rFonts w:ascii="Arial" w:eastAsia="Arial" w:hAnsi="Arial"/>
        </w:rPr>
        <w:t xml:space="preserve">20mm </w:t>
      </w:r>
      <w:r>
        <w:t>时应使用细石混</w:t>
      </w:r>
      <w:r>
        <w:rPr>
          <w:spacing w:val="4"/>
        </w:rPr>
        <w:t xml:space="preserve">凝土铺密实，上下皮灰缝应错开搭砌，搭砌长度不应小于砌块总长的 </w:t>
      </w:r>
      <w:r>
        <w:rPr>
          <w:rFonts w:ascii="Arial" w:eastAsia="Arial" w:hAnsi="Arial"/>
          <w:spacing w:val="4"/>
        </w:rPr>
        <w:t>1</w:t>
      </w:r>
      <w:r>
        <w:rPr>
          <w:spacing w:val="4"/>
        </w:rPr>
        <w:t>／</w:t>
      </w:r>
      <w:r>
        <w:rPr>
          <w:rFonts w:ascii="Arial" w:eastAsia="Arial" w:hAnsi="Arial"/>
          <w:spacing w:val="4"/>
        </w:rPr>
        <w:t>3</w:t>
      </w:r>
      <w:r>
        <w:t>。当搭砌长度小于</w:t>
      </w:r>
      <w:r>
        <w:rPr>
          <w:rFonts w:ascii="Arial" w:eastAsia="Arial" w:hAnsi="Arial"/>
        </w:rPr>
        <w:t xml:space="preserve">150mm </w:t>
      </w:r>
      <w:r>
        <w:t>时，即形成通缝，竖向通缝不应大于</w:t>
      </w:r>
      <w:r>
        <w:rPr>
          <w:rFonts w:ascii="Arial" w:eastAsia="Arial" w:hAnsi="Arial"/>
        </w:rPr>
        <w:t xml:space="preserve">2 </w:t>
      </w:r>
      <w:r>
        <w:t>皮砌块，否则应配</w:t>
      </w:r>
      <w:r>
        <w:rPr>
          <w:spacing w:val="-22"/>
        </w:rPr>
        <w:t>φ</w:t>
      </w:r>
      <w:r>
        <w:rPr>
          <w:rFonts w:ascii="Arial" w:eastAsia="Arial" w:hAnsi="Arial"/>
          <w:spacing w:val="-22"/>
        </w:rPr>
        <w:t xml:space="preserve">4 </w:t>
      </w:r>
      <w:r>
        <w:rPr>
          <w:spacing w:val="-11"/>
        </w:rPr>
        <w:t xml:space="preserve">钢筋网片或 </w:t>
      </w:r>
      <w:r>
        <w:rPr>
          <w:rFonts w:ascii="Arial" w:eastAsia="Arial" w:hAnsi="Arial"/>
        </w:rPr>
        <w:t>2</w:t>
      </w:r>
      <w:r>
        <w:t>φ</w:t>
      </w:r>
      <w:r>
        <w:rPr>
          <w:rFonts w:ascii="Arial" w:eastAsia="Arial" w:hAnsi="Arial"/>
        </w:rPr>
        <w:t xml:space="preserve">6 </w:t>
      </w:r>
      <w:r>
        <w:rPr>
          <w:spacing w:val="-4"/>
        </w:rPr>
        <w:t>钢筋，长</w:t>
      </w:r>
      <w:r>
        <w:rPr>
          <w:spacing w:val="-21"/>
        </w:rPr>
        <w:t xml:space="preserve">度宜为 </w:t>
      </w:r>
      <w:r>
        <w:rPr>
          <w:rFonts w:ascii="Arial" w:eastAsia="Arial" w:hAnsi="Arial"/>
          <w:spacing w:val="-3"/>
        </w:rPr>
        <w:t>700mm</w:t>
      </w:r>
      <w:r>
        <w:t>。</w:t>
      </w:r>
    </w:p>
    <w:p>
      <w:pPr>
        <w:pStyle w:val="BodyText"/>
        <w:spacing w:line="381" w:lineRule="auto"/>
        <w:ind w:right="2407" w:firstLine="629"/>
        <w:jc w:val="both"/>
      </w:pPr>
      <w:r>
        <w:rPr>
          <w:spacing w:val="2"/>
        </w:rPr>
        <w:t>砌块墙的转角处，应隔皮纵、横墙砌块相互搭砌。砌块墙的</w:t>
      </w:r>
      <w:r>
        <w:rPr>
          <w:rFonts w:ascii="Arial" w:eastAsia="Arial"/>
        </w:rPr>
        <w:t>T</w:t>
      </w:r>
      <w:r>
        <w:rPr>
          <w:rFonts w:ascii="Arial" w:eastAsia="Arial"/>
          <w:spacing w:val="52"/>
        </w:rPr>
        <w:t xml:space="preserve"> </w:t>
      </w:r>
      <w:r>
        <w:rPr>
          <w:spacing w:val="-2"/>
        </w:rPr>
        <w:t>字交接处，应使横墙砌块隔</w:t>
      </w:r>
      <w:r>
        <w:t>皮断面露头。</w:t>
      </w:r>
    </w:p>
    <w:p>
      <w:pPr>
        <w:pStyle w:val="BodyText"/>
        <w:spacing w:line="394" w:lineRule="exact"/>
        <w:ind w:left="3071"/>
        <w:jc w:val="both"/>
      </w:pPr>
      <w:r>
        <w:t xml:space="preserve">蒸压加气混凝土砌体的竖向灰缝宽度和水平灰缝厚度宜分别为 </w:t>
      </w:r>
      <w:r>
        <w:rPr>
          <w:rFonts w:ascii="Arial" w:eastAsia="Arial"/>
        </w:rPr>
        <w:t xml:space="preserve">20mm </w:t>
      </w:r>
      <w:r>
        <w:t xml:space="preserve">和 </w:t>
      </w:r>
      <w:r>
        <w:rPr>
          <w:rFonts w:ascii="Arial" w:eastAsia="Arial"/>
        </w:rPr>
        <w:t>15mm</w:t>
      </w:r>
      <w:r>
        <w:t>。灰缝应横</w:t>
      </w:r>
    </w:p>
    <w:p>
      <w:pPr>
        <w:spacing w:after="0" w:line="394" w:lineRule="exact"/>
        <w:jc w:val="both"/>
        <w:sectPr>
          <w:headerReference w:type="default" r:id="rId16"/>
          <w:footerReference w:type="default" r:id="rId17"/>
          <w:pgSz w:w="17860" w:h="25260"/>
          <w:pgMar w:top="1360" w:right="0" w:bottom="2020" w:left="0" w:header="1084" w:footer="1838"/>
          <w:pgNumType w:start="6"/>
          <w:cols w:space="708"/>
        </w:sectPr>
      </w:pPr>
    </w:p>
    <w:p>
      <w:pPr>
        <w:pStyle w:val="BodyText"/>
        <w:ind w:left="0"/>
        <w:rPr>
          <w:sz w:val="20"/>
        </w:rPr>
      </w:pPr>
    </w:p>
    <w:p>
      <w:pPr>
        <w:pStyle w:val="BodyText"/>
        <w:ind w:left="0"/>
        <w:rPr>
          <w:sz w:val="20"/>
        </w:rPr>
      </w:pPr>
    </w:p>
    <w:p>
      <w:pPr>
        <w:pStyle w:val="BodyText"/>
        <w:spacing w:before="200" w:line="381" w:lineRule="auto"/>
        <w:ind w:right="2418"/>
      </w:pPr>
      <w:r>
        <w:t>平竖直、砂浆饱满，正、反手墙面均宜进行勾缝。砂浆的饱满度不得小于</w:t>
      </w:r>
      <w:r>
        <w:rPr>
          <w:rFonts w:ascii="Arial" w:eastAsia="Arial"/>
        </w:rPr>
        <w:t>80</w:t>
      </w:r>
      <w:r>
        <w:t xml:space="preserve">％。横向灰缝的一次铺灰长度不应大于 </w:t>
      </w:r>
      <w:r>
        <w:rPr>
          <w:rFonts w:ascii="Arial" w:eastAsia="Arial"/>
        </w:rPr>
        <w:t>2m</w:t>
      </w:r>
      <w:r>
        <w:t>，竖向灰缝应采用临时内外夹板夹紧后灌缝。</w:t>
      </w:r>
    </w:p>
    <w:p>
      <w:pPr>
        <w:pStyle w:val="BodyText"/>
        <w:spacing w:line="381" w:lineRule="auto"/>
        <w:ind w:right="2422" w:firstLine="629"/>
        <w:jc w:val="both"/>
      </w:pPr>
      <w:r>
        <w:rPr>
          <w:spacing w:val="-4"/>
        </w:rPr>
        <w:t xml:space="preserve">蒸压加气混凝土砌体填充墙与结构或构造柱连接的部位，应预埋 </w:t>
      </w:r>
      <w:r>
        <w:rPr>
          <w:rFonts w:ascii="Arial" w:eastAsia="Arial" w:hAnsi="Arial"/>
        </w:rPr>
        <w:t>2</w:t>
      </w:r>
      <w:r>
        <w:t>φ</w:t>
      </w:r>
      <w:r>
        <w:rPr>
          <w:rFonts w:ascii="Arial" w:eastAsia="Arial" w:hAnsi="Arial"/>
        </w:rPr>
        <w:t xml:space="preserve">6 </w:t>
      </w:r>
      <w:r>
        <w:rPr>
          <w:spacing w:val="-14"/>
        </w:rPr>
        <w:t>的拉结筋</w:t>
      </w:r>
      <w:r>
        <w:t>（</w:t>
      </w:r>
      <w:r>
        <w:rPr>
          <w:spacing w:val="-4"/>
        </w:rPr>
        <w:t>顶层墙体</w:t>
      </w:r>
      <w:r>
        <w:t>设置为通长），</w:t>
      </w:r>
      <w:r>
        <w:rPr>
          <w:spacing w:val="2"/>
        </w:rPr>
        <w:t>拉结筋的竖向间距应为</w:t>
      </w:r>
      <w:r>
        <w:rPr>
          <w:rFonts w:ascii="Arial" w:eastAsia="Arial" w:hAnsi="Arial"/>
          <w:spacing w:val="-3"/>
        </w:rPr>
        <w:t>500mm</w:t>
      </w:r>
      <w:r>
        <w:t>，当有抗震要求时，拉结筋的末端应做</w:t>
      </w:r>
      <w:r>
        <w:rPr>
          <w:rFonts w:ascii="Arial" w:eastAsia="Arial" w:hAnsi="Arial"/>
        </w:rPr>
        <w:t>40mm</w:t>
      </w:r>
      <w:r>
        <w:rPr>
          <w:rFonts w:ascii="Arial" w:eastAsia="Arial" w:hAnsi="Arial"/>
          <w:spacing w:val="73"/>
        </w:rPr>
        <w:t xml:space="preserve"> </w:t>
      </w:r>
      <w:r>
        <w:t>长</w:t>
      </w:r>
      <w:r>
        <w:rPr>
          <w:rFonts w:ascii="Arial" w:eastAsia="Arial" w:hAnsi="Arial"/>
        </w:rPr>
        <w:t>90</w:t>
      </w:r>
      <w:r>
        <w:t>°弯钩。</w:t>
      </w:r>
    </w:p>
    <w:p>
      <w:pPr>
        <w:pStyle w:val="BodyText"/>
        <w:spacing w:line="381" w:lineRule="auto"/>
        <w:ind w:right="2375" w:firstLine="629"/>
        <w:jc w:val="both"/>
      </w:pPr>
      <w:r>
        <w:rPr>
          <w:spacing w:val="-3"/>
        </w:rPr>
        <w:t xml:space="preserve">墙长大于 </w:t>
      </w:r>
      <w:r>
        <w:rPr>
          <w:rFonts w:ascii="Arial" w:eastAsia="Arial"/>
        </w:rPr>
        <w:t>4</w:t>
      </w:r>
      <w:r>
        <w:rPr>
          <w:rFonts w:ascii="Arial" w:eastAsia="Arial"/>
          <w:spacing w:val="62"/>
        </w:rPr>
        <w:t xml:space="preserve"> </w:t>
      </w:r>
      <w:r>
        <w:rPr>
          <w:spacing w:val="-3"/>
        </w:rPr>
        <w:t xml:space="preserve">米时，墙中应设置混凝土构造柱；宽度大于 </w:t>
      </w:r>
      <w:r>
        <w:rPr>
          <w:rFonts w:ascii="Arial" w:eastAsia="Arial"/>
        </w:rPr>
        <w:t>2</w:t>
      </w:r>
      <w:r>
        <w:rPr>
          <w:rFonts w:ascii="Arial" w:eastAsia="Arial"/>
          <w:spacing w:val="62"/>
        </w:rPr>
        <w:t xml:space="preserve"> </w:t>
      </w:r>
      <w:r>
        <w:t xml:space="preserve">米的洞口两侧、独立墙端部、不同隔墙墙材交接处应设置截面宽度同墙厚的钢筋混凝土构造柱；顶部为自由端的墙体应在顶面 </w:t>
      </w:r>
      <w:r>
        <w:rPr>
          <w:spacing w:val="2"/>
        </w:rPr>
        <w:t xml:space="preserve">设置钢筋混凝土圈梁；高度超过 </w:t>
      </w:r>
      <w:r>
        <w:rPr>
          <w:rFonts w:ascii="Arial" w:eastAsia="Arial"/>
        </w:rPr>
        <w:t>4</w:t>
      </w:r>
      <w:r>
        <w:rPr>
          <w:rFonts w:ascii="Arial" w:eastAsia="Arial"/>
          <w:spacing w:val="65"/>
        </w:rPr>
        <w:t xml:space="preserve"> </w:t>
      </w:r>
      <w:r>
        <w:t xml:space="preserve">米的墙体应在半高处（或窗台顶）设置钢筋混凝土圈梁，圈梁宽度与墙体相同，且应与柱连接、沿墙全长贯通。圈梁、构造柱的插筋宜优先预埋在结构混 凝土构件中或后植筋，预留长度符合设计要求。构造柱施工时按要求应留设马牙槎，马牙槎宜 </w:t>
      </w:r>
      <w:r>
        <w:rPr>
          <w:spacing w:val="3"/>
        </w:rPr>
        <w:t>先退后进，进退尺寸不小于</w:t>
      </w:r>
      <w:r>
        <w:rPr>
          <w:rFonts w:ascii="Arial" w:eastAsia="Arial"/>
          <w:spacing w:val="-3"/>
        </w:rPr>
        <w:t>60mm</w:t>
      </w:r>
      <w:r>
        <w:rPr>
          <w:spacing w:val="-10"/>
        </w:rPr>
        <w:t xml:space="preserve">，高度为 </w:t>
      </w:r>
      <w:r>
        <w:rPr>
          <w:rFonts w:ascii="Arial" w:eastAsia="Arial"/>
        </w:rPr>
        <w:t>300mm</w:t>
      </w:r>
      <w:r>
        <w:rPr>
          <w:rFonts w:ascii="Arial" w:eastAsia="Arial"/>
          <w:spacing w:val="44"/>
        </w:rPr>
        <w:t xml:space="preserve"> </w:t>
      </w:r>
      <w:r>
        <w:rPr>
          <w:spacing w:val="-1"/>
        </w:rPr>
        <w:t>左右。当设计无要求时，构造柱应设置在填</w:t>
      </w:r>
      <w:r>
        <w:rPr>
          <w:spacing w:val="-2"/>
        </w:rPr>
        <w:t>充墙的转角处、</w:t>
      </w:r>
      <w:r>
        <w:rPr>
          <w:rFonts w:ascii="Arial" w:eastAsia="Arial"/>
        </w:rPr>
        <w:t>T</w:t>
      </w:r>
      <w:r>
        <w:rPr>
          <w:rFonts w:ascii="Arial" w:eastAsia="Arial"/>
          <w:spacing w:val="-9"/>
        </w:rPr>
        <w:t xml:space="preserve"> </w:t>
      </w:r>
      <w:r>
        <w:t>形交接处或端部；</w:t>
      </w:r>
    </w:p>
    <w:p>
      <w:pPr>
        <w:pStyle w:val="BodyText"/>
        <w:spacing w:line="381" w:lineRule="auto"/>
        <w:ind w:right="2426" w:firstLine="629"/>
        <w:jc w:val="both"/>
      </w:pPr>
      <w:r>
        <w:rPr>
          <w:spacing w:val="-8"/>
        </w:rPr>
        <w:t xml:space="preserve">构造柱设置 </w:t>
      </w:r>
      <w:r>
        <w:rPr>
          <w:rFonts w:ascii="Arial" w:eastAsia="Arial" w:hAnsi="Arial"/>
        </w:rPr>
        <w:t>4</w:t>
      </w:r>
      <w:r>
        <w:t>Φ</w:t>
      </w:r>
      <w:r>
        <w:rPr>
          <w:rFonts w:ascii="Arial" w:eastAsia="Arial" w:hAnsi="Arial"/>
        </w:rPr>
        <w:t>12</w:t>
      </w:r>
      <w:r>
        <w:rPr>
          <w:rFonts w:ascii="Arial" w:eastAsia="Arial" w:hAnsi="Arial"/>
          <w:spacing w:val="26"/>
        </w:rPr>
        <w:t xml:space="preserve"> </w:t>
      </w:r>
      <w:r>
        <w:t>箍筋为Ф</w:t>
      </w:r>
      <w:r>
        <w:rPr>
          <w:rFonts w:ascii="Arial" w:eastAsia="Arial" w:hAnsi="Arial"/>
        </w:rPr>
        <w:t>6@100/200</w:t>
      </w:r>
      <w:r>
        <w:rPr>
          <w:rFonts w:ascii="Arial" w:eastAsia="Arial" w:hAnsi="Arial"/>
          <w:spacing w:val="21"/>
        </w:rPr>
        <w:t xml:space="preserve"> </w:t>
      </w:r>
      <w:r>
        <w:rPr>
          <w:spacing w:val="-8"/>
        </w:rPr>
        <w:t xml:space="preserve">设置；当过梁 </w:t>
      </w:r>
      <w:r>
        <w:rPr>
          <w:rFonts w:ascii="Arial" w:eastAsia="Arial" w:hAnsi="Arial"/>
        </w:rPr>
        <w:t>L</w:t>
      </w:r>
      <w:r>
        <w:t>≤</w:t>
      </w:r>
      <w:r>
        <w:rPr>
          <w:rFonts w:ascii="Arial" w:eastAsia="Arial" w:hAnsi="Arial"/>
        </w:rPr>
        <w:t>1200mm</w:t>
      </w:r>
      <w:r>
        <w:rPr>
          <w:rFonts w:ascii="Arial" w:eastAsia="Arial" w:hAnsi="Arial"/>
          <w:spacing w:val="19"/>
        </w:rPr>
        <w:t xml:space="preserve"> </w:t>
      </w:r>
      <w:r>
        <w:rPr>
          <w:spacing w:val="-9"/>
        </w:rPr>
        <w:t xml:space="preserve">时，设置 </w:t>
      </w:r>
      <w:r>
        <w:rPr>
          <w:rFonts w:ascii="Arial" w:eastAsia="Arial" w:hAnsi="Arial"/>
        </w:rPr>
        <w:t>3</w:t>
      </w:r>
      <w:r>
        <w:t>Φ</w:t>
      </w:r>
      <w:r>
        <w:rPr>
          <w:rFonts w:ascii="Arial" w:eastAsia="Arial" w:hAnsi="Arial"/>
        </w:rPr>
        <w:t>8</w:t>
      </w:r>
      <w:r>
        <w:rPr>
          <w:rFonts w:ascii="Arial" w:eastAsia="Arial" w:hAnsi="Arial"/>
          <w:spacing w:val="26"/>
        </w:rPr>
        <w:t xml:space="preserve"> </w:t>
      </w:r>
      <w:r>
        <w:t>箍筋</w:t>
      </w:r>
      <w:r>
        <w:rPr>
          <w:spacing w:val="-12"/>
        </w:rPr>
        <w:t xml:space="preserve">Ф </w:t>
      </w:r>
      <w:r>
        <w:rPr>
          <w:rFonts w:ascii="Arial" w:eastAsia="Arial" w:hAnsi="Arial"/>
        </w:rPr>
        <w:t>6@150</w:t>
      </w:r>
      <w:r>
        <w:t>，</w:t>
      </w:r>
      <w:r>
        <w:rPr>
          <w:rFonts w:ascii="Arial" w:eastAsia="Arial" w:hAnsi="Arial"/>
        </w:rPr>
        <w:t>1200mm</w:t>
      </w:r>
      <w:r>
        <w:t>＜</w:t>
      </w:r>
      <w:r>
        <w:rPr>
          <w:rFonts w:ascii="Arial" w:eastAsia="Arial" w:hAnsi="Arial"/>
        </w:rPr>
        <w:t>L</w:t>
      </w:r>
      <w:r>
        <w:t>≤</w:t>
      </w:r>
      <w:r>
        <w:rPr>
          <w:rFonts w:ascii="Arial" w:eastAsia="Arial" w:hAnsi="Arial"/>
        </w:rPr>
        <w:t>2100mm</w:t>
      </w:r>
      <w:r>
        <w:rPr>
          <w:rFonts w:ascii="Arial" w:eastAsia="Arial" w:hAnsi="Arial"/>
          <w:spacing w:val="-35"/>
        </w:rPr>
        <w:t xml:space="preserve"> </w:t>
      </w:r>
      <w:r>
        <w:t>时</w:t>
      </w:r>
      <w:r>
        <w:rPr>
          <w:rFonts w:ascii="Arial" w:eastAsia="Arial" w:hAnsi="Arial"/>
          <w:spacing w:val="2"/>
        </w:rPr>
        <w:t xml:space="preserve">, </w:t>
      </w:r>
      <w:r>
        <w:rPr>
          <w:spacing w:val="-20"/>
        </w:rPr>
        <w:t xml:space="preserve">设置面筋 </w:t>
      </w:r>
      <w:r>
        <w:rPr>
          <w:rFonts w:ascii="Arial" w:eastAsia="Arial" w:hAnsi="Arial"/>
        </w:rPr>
        <w:t>2</w:t>
      </w:r>
      <w:r>
        <w:t>Φ</w:t>
      </w:r>
      <w:r>
        <w:rPr>
          <w:rFonts w:ascii="Arial" w:eastAsia="Arial" w:hAnsi="Arial"/>
        </w:rPr>
        <w:t>8</w:t>
      </w:r>
      <w:r>
        <w:rPr>
          <w:rFonts w:ascii="Arial" w:eastAsia="Arial" w:hAnsi="Arial"/>
          <w:spacing w:val="-30"/>
        </w:rPr>
        <w:t xml:space="preserve"> </w:t>
      </w:r>
      <w:r>
        <w:rPr>
          <w:spacing w:val="-34"/>
        </w:rPr>
        <w:t xml:space="preserve">底筋 </w:t>
      </w:r>
      <w:r>
        <w:rPr>
          <w:rFonts w:ascii="Arial" w:eastAsia="Arial" w:hAnsi="Arial"/>
        </w:rPr>
        <w:t>3</w:t>
      </w:r>
      <w:r>
        <w:t>Φ</w:t>
      </w:r>
      <w:r>
        <w:rPr>
          <w:rFonts w:ascii="Arial" w:eastAsia="Arial" w:hAnsi="Arial"/>
        </w:rPr>
        <w:t>12</w:t>
      </w:r>
      <w:r>
        <w:rPr>
          <w:rFonts w:ascii="Arial" w:eastAsia="Arial" w:hAnsi="Arial"/>
          <w:spacing w:val="-32"/>
        </w:rPr>
        <w:t xml:space="preserve"> </w:t>
      </w:r>
      <w:r>
        <w:t>箍筋Ф</w:t>
      </w:r>
      <w:r>
        <w:rPr>
          <w:rFonts w:ascii="Arial" w:eastAsia="Arial" w:hAnsi="Arial"/>
        </w:rPr>
        <w:t>6@150</w:t>
      </w:r>
      <w:r>
        <w:rPr>
          <w:spacing w:val="-17"/>
        </w:rPr>
        <w:t xml:space="preserve">；圈梁设置 </w:t>
      </w:r>
      <w:r>
        <w:rPr>
          <w:rFonts w:ascii="Arial" w:eastAsia="Arial" w:hAnsi="Arial"/>
        </w:rPr>
        <w:t>4</w:t>
      </w:r>
      <w:r>
        <w:t>Φ</w:t>
      </w:r>
      <w:r>
        <w:rPr>
          <w:rFonts w:ascii="Arial" w:eastAsia="Arial" w:hAnsi="Arial"/>
        </w:rPr>
        <w:t xml:space="preserve">12 </w:t>
      </w:r>
      <w:r>
        <w:t>箍筋Ф</w:t>
      </w:r>
      <w:r>
        <w:rPr>
          <w:rFonts w:ascii="Arial" w:eastAsia="Arial" w:hAnsi="Arial"/>
        </w:rPr>
        <w:t>6@200</w:t>
      </w:r>
      <w:r>
        <w:t>；</w:t>
      </w:r>
    </w:p>
    <w:p>
      <w:pPr>
        <w:pStyle w:val="BodyText"/>
        <w:spacing w:line="381" w:lineRule="auto"/>
        <w:ind w:right="2416" w:firstLine="629"/>
        <w:jc w:val="both"/>
      </w:pPr>
      <w:r>
        <w:t>蒸压加气混凝土砌块填充墙砌体与后塞口门窗的连接：后塞口门窗与砌体间通过预制水泥</w:t>
      </w:r>
      <w:r>
        <w:rPr>
          <w:spacing w:val="-8"/>
        </w:rPr>
        <w:t xml:space="preserve">砖与门窗框连接，具体可用 </w:t>
      </w:r>
      <w:r>
        <w:rPr>
          <w:rFonts w:ascii="Arial" w:eastAsia="Arial"/>
        </w:rPr>
        <w:t>100mm</w:t>
      </w:r>
      <w:r>
        <w:rPr>
          <w:rFonts w:ascii="Arial" w:eastAsia="Arial"/>
          <w:spacing w:val="65"/>
        </w:rPr>
        <w:t xml:space="preserve"> </w:t>
      </w:r>
      <w:r>
        <w:rPr>
          <w:spacing w:val="-7"/>
        </w:rPr>
        <w:t>长的铁钉把门框与水泥砖钉牢。水泥砖应当在墙体砌筑时预</w:t>
      </w:r>
      <w:r>
        <w:t>埋。</w:t>
      </w:r>
    </w:p>
    <w:p>
      <w:pPr>
        <w:pStyle w:val="BodyText"/>
        <w:spacing w:line="381" w:lineRule="auto"/>
        <w:ind w:right="2432" w:firstLine="629"/>
      </w:pPr>
      <w:r>
        <w:t>加气混凝土填充墙砌体在转角处及纵横墙交接处，应同时砌筑，当不能同时施工时，应留成斜槎。砌体每天的砌筑高度不应超过</w:t>
      </w:r>
      <w:r>
        <w:rPr>
          <w:rFonts w:ascii="Arial" w:eastAsia="Arial"/>
        </w:rPr>
        <w:t>1</w:t>
      </w:r>
      <w:r>
        <w:t>．</w:t>
      </w:r>
      <w:r>
        <w:rPr>
          <w:rFonts w:ascii="Arial" w:eastAsia="Arial"/>
        </w:rPr>
        <w:t>8m</w:t>
      </w:r>
      <w:r>
        <w:t>。</w:t>
      </w:r>
    </w:p>
    <w:p>
      <w:pPr>
        <w:pStyle w:val="BodyText"/>
        <w:spacing w:line="394" w:lineRule="exact"/>
        <w:ind w:left="3071"/>
      </w:pPr>
      <w:r>
        <w:t>切锯砌块应使用专用工具，不允许用斧或瓦刀任意砍劈。</w:t>
      </w:r>
    </w:p>
    <w:p>
      <w:pPr>
        <w:pStyle w:val="BodyText"/>
        <w:spacing w:before="208"/>
        <w:ind w:left="3071"/>
      </w:pPr>
      <w:r>
        <w:t xml:space="preserve">墙体洞口上部应放置 </w:t>
      </w:r>
      <w:r>
        <w:rPr>
          <w:rFonts w:ascii="Arial" w:eastAsia="Arial" w:hAnsi="Arial"/>
        </w:rPr>
        <w:t>2</w:t>
      </w:r>
      <w:r>
        <w:t>φ</w:t>
      </w:r>
      <w:r>
        <w:rPr>
          <w:rFonts w:ascii="Arial" w:eastAsia="Arial" w:hAnsi="Arial"/>
        </w:rPr>
        <w:t xml:space="preserve">6 </w:t>
      </w:r>
      <w:r>
        <w:t>的拉结筋，伸过洞口两边长度每边不少于</w:t>
      </w:r>
      <w:r>
        <w:rPr>
          <w:rFonts w:ascii="Arial" w:eastAsia="Arial" w:hAnsi="Arial"/>
        </w:rPr>
        <w:t>500mm</w:t>
      </w:r>
      <w:r>
        <w:t>。</w:t>
      </w:r>
    </w:p>
    <w:p>
      <w:pPr>
        <w:pStyle w:val="BodyText"/>
        <w:spacing w:before="233" w:line="381" w:lineRule="auto"/>
        <w:ind w:right="2432" w:firstLine="629"/>
      </w:pPr>
      <w:r>
        <w:t>不同干密度和强度等级的加气混凝土不应混砌。加气混凝土砌块也不得与其它砖、砌块混砌。但在墙底、墙顶及门窗洞口处局部采用烧结普通砖和多孔砖砌筑不视为混砌。</w:t>
      </w:r>
    </w:p>
    <w:p>
      <w:pPr>
        <w:pStyle w:val="BodyText"/>
        <w:spacing w:line="381" w:lineRule="auto"/>
        <w:ind w:right="2383" w:firstLine="629"/>
        <w:jc w:val="both"/>
      </w:pPr>
      <w:r>
        <w:t>砌至接近梁（板）</w:t>
      </w:r>
      <w:r>
        <w:rPr>
          <w:spacing w:val="6"/>
        </w:rPr>
        <w:t>底位置时，宜预留</w:t>
      </w:r>
      <w:r>
        <w:rPr>
          <w:rFonts w:ascii="Arial" w:eastAsia="Arial" w:hAnsi="Arial"/>
        </w:rPr>
        <w:t xml:space="preserve">40-60mm </w:t>
      </w:r>
      <w:r>
        <w:rPr>
          <w:spacing w:val="-10"/>
        </w:rPr>
        <w:t xml:space="preserve">的空隙，至少隔 </w:t>
      </w:r>
      <w:r>
        <w:rPr>
          <w:rFonts w:ascii="Arial" w:eastAsia="Arial" w:hAnsi="Arial"/>
        </w:rPr>
        <w:t xml:space="preserve">7 </w:t>
      </w:r>
      <w:r>
        <w:rPr>
          <w:spacing w:val="-20"/>
        </w:rPr>
        <w:t xml:space="preserve">天后加 </w:t>
      </w:r>
      <w:r>
        <w:rPr>
          <w:rFonts w:ascii="Arial" w:eastAsia="Arial" w:hAnsi="Arial"/>
        </w:rPr>
        <w:t>100</w:t>
      </w:r>
      <w:r>
        <w:rPr>
          <w:rFonts w:ascii="Arial" w:eastAsia="Arial" w:hAnsi="Arial"/>
          <w:spacing w:val="81"/>
        </w:rPr>
        <w:t xml:space="preserve"> </w:t>
      </w:r>
      <w:r>
        <w:rPr>
          <w:rFonts w:ascii="Arial" w:eastAsia="Arial" w:hAnsi="Arial"/>
        </w:rPr>
        <w:t>mm</w:t>
      </w:r>
      <w:r>
        <w:t xml:space="preserve">（长）× </w:t>
      </w:r>
      <w:r>
        <w:rPr>
          <w:rFonts w:ascii="Arial" w:eastAsia="Arial" w:hAnsi="Arial"/>
          <w:spacing w:val="-3"/>
        </w:rPr>
        <w:t>100mm</w:t>
      </w:r>
      <w:r>
        <w:rPr>
          <w:spacing w:val="-3"/>
        </w:rPr>
        <w:t>（</w:t>
      </w:r>
      <w:r>
        <w:t>宽）×</w:t>
      </w:r>
      <w:r>
        <w:rPr>
          <w:rFonts w:ascii="Arial" w:eastAsia="Arial" w:hAnsi="Arial"/>
        </w:rPr>
        <w:t>10</w:t>
      </w:r>
      <w:r>
        <w:t>～</w:t>
      </w:r>
      <w:r>
        <w:rPr>
          <w:rFonts w:ascii="Arial" w:eastAsia="Arial" w:hAnsi="Arial"/>
        </w:rPr>
        <w:t xml:space="preserve">50 </w:t>
      </w:r>
      <w:r>
        <w:rPr>
          <w:rFonts w:ascii="Arial" w:eastAsia="Arial" w:hAnsi="Arial"/>
          <w:spacing w:val="-5"/>
        </w:rPr>
        <w:t>mm</w:t>
      </w:r>
      <w:r>
        <w:rPr>
          <w:spacing w:val="-5"/>
        </w:rPr>
        <w:t>（</w:t>
      </w:r>
      <w:r>
        <w:t>高</w:t>
      </w:r>
      <w:r>
        <w:rPr>
          <w:spacing w:val="-2"/>
        </w:rPr>
        <w:t>）</w:t>
      </w:r>
      <w:r>
        <w:rPr>
          <w:rFonts w:ascii="Arial" w:eastAsia="Arial" w:hAnsi="Arial"/>
          <w:spacing w:val="-2"/>
        </w:rPr>
        <w:t>@600</w:t>
      </w:r>
      <w:r>
        <w:rPr>
          <w:spacing w:val="-2"/>
        </w:rPr>
        <w:t>（</w:t>
      </w:r>
      <w:r>
        <w:t>间距）</w:t>
      </w:r>
      <w:r>
        <w:rPr>
          <w:spacing w:val="-1"/>
        </w:rPr>
        <w:t>防腐木楔，楔紧后用微膨胀砌筑砂浆灌实。或</w:t>
      </w:r>
      <w:r>
        <w:rPr>
          <w:spacing w:val="-2"/>
        </w:rPr>
        <w:t>待下部平砌砖墙沉实</w:t>
      </w:r>
      <w:r>
        <w:rPr>
          <w:rFonts w:ascii="Arial" w:eastAsia="Arial" w:hAnsi="Arial"/>
          <w:spacing w:val="-5"/>
        </w:rPr>
        <w:t>(</w:t>
      </w:r>
      <w:r>
        <w:rPr>
          <w:spacing w:val="-25"/>
        </w:rPr>
        <w:t xml:space="preserve">至少 </w:t>
      </w:r>
      <w:r>
        <w:rPr>
          <w:rFonts w:ascii="Arial" w:eastAsia="Arial" w:hAnsi="Arial"/>
        </w:rPr>
        <w:t xml:space="preserve">7 </w:t>
      </w:r>
      <w:r>
        <w:t>天</w:t>
      </w:r>
      <w:r>
        <w:rPr>
          <w:rFonts w:ascii="Arial" w:eastAsia="Arial" w:hAnsi="Arial"/>
        </w:rPr>
        <w:t>)</w:t>
      </w:r>
      <w:r>
        <w:rPr>
          <w:spacing w:val="-25"/>
        </w:rPr>
        <w:t xml:space="preserve">后再 </w:t>
      </w:r>
      <w:r>
        <w:rPr>
          <w:rFonts w:ascii="Arial" w:eastAsia="Arial" w:hAnsi="Arial"/>
        </w:rPr>
        <w:t xml:space="preserve">75 </w:t>
      </w:r>
      <w:r>
        <w:t>度斜砌墙，砌筑时应砂浆饱满逐块顶紧。</w:t>
      </w:r>
    </w:p>
    <w:p>
      <w:pPr>
        <w:pStyle w:val="BodyText"/>
        <w:spacing w:line="393" w:lineRule="exact"/>
        <w:ind w:left="3071"/>
        <w:jc w:val="both"/>
      </w:pPr>
      <w:r>
        <w:t>顶层填充墙拉结筋宜采用沿墙全长贯通设置。各层窗台板处应沿墙通长设置</w:t>
      </w:r>
      <w:r>
        <w:rPr>
          <w:rFonts w:ascii="Arial" w:eastAsia="Arial"/>
        </w:rPr>
        <w:t xml:space="preserve">60mm </w:t>
      </w:r>
      <w:r>
        <w:t>厚内配</w:t>
      </w:r>
    </w:p>
    <w:p>
      <w:pPr>
        <w:pStyle w:val="BodyText"/>
        <w:spacing w:before="229"/>
      </w:pPr>
      <w:r>
        <w:rPr>
          <w:rFonts w:ascii="Arial" w:eastAsia="Arial" w:hAnsi="Arial"/>
        </w:rPr>
        <w:t>2</w:t>
      </w:r>
      <w:r>
        <w:t>Φ</w:t>
      </w:r>
      <w:r>
        <w:rPr>
          <w:rFonts w:ascii="Arial" w:eastAsia="Arial" w:hAnsi="Arial"/>
        </w:rPr>
        <w:t xml:space="preserve">10 </w:t>
      </w:r>
      <w:r>
        <w:t>纵筋和Φ</w:t>
      </w:r>
      <w:r>
        <w:rPr>
          <w:rFonts w:ascii="Arial" w:eastAsia="Arial" w:hAnsi="Arial"/>
        </w:rPr>
        <w:t xml:space="preserve">6 </w:t>
      </w:r>
      <w:r>
        <w:t>的分布筋的</w:t>
      </w:r>
      <w:r>
        <w:rPr>
          <w:rFonts w:ascii="Arial" w:eastAsia="Arial" w:hAnsi="Arial"/>
        </w:rPr>
        <w:t xml:space="preserve">C20 </w:t>
      </w:r>
      <w:r>
        <w:t>混凝土带。</w:t>
      </w:r>
    </w:p>
    <w:p>
      <w:pPr>
        <w:pStyle w:val="ListParagraph"/>
        <w:numPr>
          <w:ilvl w:val="2"/>
          <w:numId w:val="15"/>
        </w:numPr>
        <w:tabs>
          <w:tab w:val="left" w:pos="3151"/>
        </w:tabs>
        <w:spacing w:before="233" w:after="0" w:line="240" w:lineRule="auto"/>
        <w:ind w:left="3150" w:right="0" w:hanging="710"/>
        <w:jc w:val="left"/>
        <w:rPr>
          <w:rFonts w:ascii="Arial" w:eastAsia="Arial"/>
          <w:b/>
          <w:sz w:val="31"/>
        </w:rPr>
      </w:pPr>
      <w:r>
        <w:rPr>
          <w:b/>
          <w:sz w:val="31"/>
        </w:rPr>
        <w:t>控制要点</w:t>
      </w:r>
    </w:p>
    <w:p>
      <w:pPr>
        <w:pStyle w:val="ListParagraph"/>
        <w:numPr>
          <w:ilvl w:val="0"/>
          <w:numId w:val="14"/>
        </w:numPr>
        <w:tabs>
          <w:tab w:val="left" w:pos="3865"/>
        </w:tabs>
        <w:spacing w:before="233" w:after="0" w:line="381" w:lineRule="auto"/>
        <w:ind w:left="2441" w:right="2272" w:firstLine="629"/>
        <w:jc w:val="left"/>
        <w:rPr>
          <w:sz w:val="31"/>
        </w:rPr>
      </w:pPr>
      <w:r>
        <w:rPr>
          <w:spacing w:val="-1"/>
          <w:sz w:val="31"/>
        </w:rPr>
        <w:t>外门、窗安装固定点位置应按规定在填充墙洞边嵌砌混凝土块，室内木门安装固定点</w:t>
      </w:r>
      <w:r>
        <w:rPr>
          <w:sz w:val="31"/>
        </w:rPr>
        <w:t>位置同样应嵌砌防腐木砖。</w:t>
      </w:r>
    </w:p>
    <w:p>
      <w:pPr>
        <w:pStyle w:val="ListParagraph"/>
        <w:numPr>
          <w:ilvl w:val="0"/>
          <w:numId w:val="14"/>
        </w:numPr>
        <w:tabs>
          <w:tab w:val="left" w:pos="3865"/>
        </w:tabs>
        <w:spacing w:before="0" w:after="0" w:line="394" w:lineRule="exact"/>
        <w:ind w:left="3864" w:right="0" w:hanging="794"/>
        <w:jc w:val="left"/>
        <w:rPr>
          <w:sz w:val="31"/>
        </w:rPr>
      </w:pPr>
      <w:r>
        <w:rPr>
          <w:spacing w:val="-13"/>
          <w:sz w:val="31"/>
        </w:rPr>
        <w:t>外墙抹灰前，门窗框与砌体之间的缝隙应采用聚氨酯</w:t>
      </w:r>
      <w:r>
        <w:rPr>
          <w:rFonts w:ascii="Arial" w:eastAsia="Arial"/>
          <w:sz w:val="31"/>
        </w:rPr>
        <w:t>(PU)</w:t>
      </w:r>
      <w:r>
        <w:rPr>
          <w:sz w:val="31"/>
        </w:rPr>
        <w:t>发泡胶或其它弹性材料封填，</w:t>
      </w:r>
    </w:p>
    <w:p>
      <w:pPr>
        <w:spacing w:after="0" w:line="394" w:lineRule="exact"/>
        <w:jc w:val="left"/>
        <w:rPr>
          <w:sz w:val="31"/>
        </w:rPr>
        <w:sectPr>
          <w:headerReference w:type="default" r:id="rId18"/>
          <w:footerReference w:type="default" r:id="rId19"/>
          <w:pgSz w:w="17860" w:h="25260"/>
          <w:pgMar w:top="1360" w:right="0" w:bottom="2020" w:left="0" w:header="1084" w:footer="1838"/>
          <w:pgNumType w:start="7"/>
          <w:cols w:space="708"/>
        </w:sectPr>
      </w:pPr>
    </w:p>
    <w:p>
      <w:pPr>
        <w:pStyle w:val="BodyText"/>
        <w:ind w:left="0"/>
        <w:rPr>
          <w:sz w:val="20"/>
        </w:rPr>
      </w:pPr>
    </w:p>
    <w:p>
      <w:pPr>
        <w:pStyle w:val="BodyText"/>
        <w:ind w:left="0"/>
        <w:rPr>
          <w:sz w:val="20"/>
        </w:rPr>
      </w:pPr>
    </w:p>
    <w:p>
      <w:pPr>
        <w:pStyle w:val="BodyText"/>
        <w:spacing w:before="200"/>
      </w:pPr>
      <w:r>
        <w:t xml:space="preserve">并在门窗框与外墙交界处留 </w:t>
      </w:r>
      <w:r>
        <w:rPr>
          <w:rFonts w:ascii="Bookman Old Style" w:eastAsia="Bookman Old Style"/>
          <w:b w:val="0"/>
        </w:rPr>
        <w:t xml:space="preserve">l0mm </w:t>
      </w:r>
      <w:r>
        <w:t>深凹槽，用纤维防水砂浆或聚合物防水砂浆填塞密实，再刷</w:t>
      </w:r>
    </w:p>
    <w:p>
      <w:pPr>
        <w:pStyle w:val="BodyText"/>
        <w:spacing w:before="234"/>
      </w:pPr>
      <w:r>
        <w:rPr>
          <w:rFonts w:ascii="Bookman Old Style" w:eastAsia="Bookman Old Style"/>
          <w:b w:val="0"/>
        </w:rPr>
        <w:t xml:space="preserve">1mm </w:t>
      </w:r>
      <w:r>
        <w:t>厚聚合物水泥基防水涂料。</w:t>
      </w:r>
    </w:p>
    <w:p>
      <w:pPr>
        <w:pStyle w:val="ListParagraph"/>
        <w:numPr>
          <w:ilvl w:val="0"/>
          <w:numId w:val="18"/>
        </w:numPr>
        <w:tabs>
          <w:tab w:val="left" w:pos="3865"/>
        </w:tabs>
        <w:spacing w:before="232" w:after="0" w:line="381" w:lineRule="auto"/>
        <w:ind w:left="2441" w:right="2272" w:firstLine="629"/>
        <w:jc w:val="left"/>
        <w:rPr>
          <w:sz w:val="31"/>
        </w:rPr>
      </w:pPr>
      <w:r>
        <w:rPr>
          <w:spacing w:val="-1"/>
          <w:sz w:val="31"/>
        </w:rPr>
        <w:t>外墙面必须采用防水砂浆罩面，不同材料基体交界处，应铺设钢丝加强网，网宽度应</w:t>
      </w:r>
      <w:r>
        <w:rPr>
          <w:spacing w:val="-29"/>
          <w:sz w:val="31"/>
        </w:rPr>
        <w:t xml:space="preserve">不小于 </w:t>
      </w:r>
      <w:r>
        <w:rPr>
          <w:rFonts w:ascii="Bookman Old Style" w:eastAsia="Bookman Old Style" w:hAnsi="Bookman Old Style"/>
          <w:b w:val="0"/>
          <w:spacing w:val="-10"/>
          <w:sz w:val="31"/>
        </w:rPr>
        <w:t>200mm</w:t>
      </w:r>
      <w:r>
        <w:rPr>
          <w:spacing w:val="-12"/>
          <w:sz w:val="31"/>
        </w:rPr>
        <w:t xml:space="preserve">，与基体的搭接宽度不应小于 </w:t>
      </w:r>
      <w:r>
        <w:rPr>
          <w:rFonts w:ascii="Bookman Old Style" w:eastAsia="Bookman Old Style" w:hAnsi="Bookman Old Style"/>
          <w:b w:val="0"/>
          <w:spacing w:val="-9"/>
          <w:sz w:val="31"/>
        </w:rPr>
        <w:t>100mm</w:t>
      </w:r>
      <w:r>
        <w:rPr>
          <w:spacing w:val="-8"/>
          <w:sz w:val="31"/>
        </w:rPr>
        <w:t>；钢丝网应采用镀锌钢丝，网目规格不应大</w:t>
      </w:r>
      <w:r>
        <w:rPr>
          <w:spacing w:val="-65"/>
          <w:sz w:val="31"/>
        </w:rPr>
        <w:t xml:space="preserve">于 </w:t>
      </w:r>
      <w:r>
        <w:rPr>
          <w:rFonts w:ascii="Bookman Old Style" w:eastAsia="Bookman Old Style" w:hAnsi="Bookman Old Style"/>
          <w:b w:val="0"/>
          <w:sz w:val="31"/>
        </w:rPr>
        <w:t>20</w:t>
      </w:r>
      <w:r>
        <w:rPr>
          <w:rFonts w:ascii="Bookman Old Style" w:eastAsia="Bookman Old Style" w:hAnsi="Bookman Old Style"/>
          <w:b w:val="0"/>
          <w:spacing w:val="-64"/>
          <w:sz w:val="31"/>
        </w:rPr>
        <w:t xml:space="preserve"> </w:t>
      </w:r>
      <w:r>
        <w:rPr>
          <w:rFonts w:ascii="Bookman Old Style" w:eastAsia="Bookman Old Style" w:hAnsi="Bookman Old Style"/>
          <w:b w:val="0"/>
          <w:spacing w:val="-4"/>
          <w:sz w:val="31"/>
        </w:rPr>
        <w:t>mm</w:t>
      </w:r>
      <w:r>
        <w:rPr>
          <w:spacing w:val="-45"/>
          <w:sz w:val="31"/>
        </w:rPr>
        <w:t xml:space="preserve">× </w:t>
      </w:r>
      <w:r>
        <w:rPr>
          <w:rFonts w:ascii="Bookman Old Style" w:eastAsia="Bookman Old Style" w:hAnsi="Bookman Old Style"/>
          <w:b w:val="0"/>
          <w:sz w:val="31"/>
        </w:rPr>
        <w:t>20</w:t>
      </w:r>
      <w:r>
        <w:rPr>
          <w:rFonts w:ascii="Bookman Old Style" w:eastAsia="Bookman Old Style" w:hAnsi="Bookman Old Style"/>
          <w:b w:val="0"/>
          <w:spacing w:val="-64"/>
          <w:sz w:val="31"/>
        </w:rPr>
        <w:t xml:space="preserve"> </w:t>
      </w:r>
      <w:r>
        <w:rPr>
          <w:rFonts w:ascii="Bookman Old Style" w:eastAsia="Bookman Old Style" w:hAnsi="Bookman Old Style"/>
          <w:b w:val="0"/>
          <w:spacing w:val="-3"/>
          <w:sz w:val="31"/>
        </w:rPr>
        <w:t>mm</w:t>
      </w:r>
      <w:r>
        <w:rPr>
          <w:spacing w:val="3"/>
          <w:sz w:val="31"/>
        </w:rPr>
        <w:t>，钢丝直径不应小于</w:t>
      </w:r>
      <w:r>
        <w:rPr>
          <w:rFonts w:ascii="Bookman Old Style" w:eastAsia="Bookman Old Style" w:hAnsi="Bookman Old Style"/>
          <w:b w:val="0"/>
          <w:spacing w:val="-3"/>
          <w:sz w:val="31"/>
        </w:rPr>
        <w:t>1.0mm</w:t>
      </w:r>
      <w:r>
        <w:rPr>
          <w:sz w:val="31"/>
        </w:rPr>
        <w:t>。外墙抹灰层内应设置耐碱玻纤网格，耐碱玻纤</w:t>
      </w:r>
      <w:r>
        <w:rPr>
          <w:spacing w:val="-12"/>
          <w:sz w:val="31"/>
        </w:rPr>
        <w:t xml:space="preserve">布网格不得大于 </w:t>
      </w:r>
      <w:r>
        <w:rPr>
          <w:rFonts w:ascii="Bookman Old Style" w:eastAsia="Bookman Old Style" w:hAnsi="Bookman Old Style"/>
          <w:b w:val="0"/>
          <w:sz w:val="31"/>
        </w:rPr>
        <w:t>8</w:t>
      </w:r>
      <w:r>
        <w:rPr>
          <w:rFonts w:ascii="Bookman Old Style" w:eastAsia="Bookman Old Style" w:hAnsi="Bookman Old Style"/>
          <w:b w:val="0"/>
          <w:spacing w:val="-26"/>
          <w:sz w:val="31"/>
        </w:rPr>
        <w:t xml:space="preserve"> </w:t>
      </w:r>
      <w:r>
        <w:rPr>
          <w:rFonts w:ascii="Bookman Old Style" w:eastAsia="Bookman Old Style" w:hAnsi="Bookman Old Style"/>
          <w:b w:val="0"/>
          <w:spacing w:val="-4"/>
          <w:sz w:val="31"/>
        </w:rPr>
        <w:t>mm</w:t>
      </w:r>
      <w:r>
        <w:rPr>
          <w:spacing w:val="-7"/>
          <w:sz w:val="31"/>
        </w:rPr>
        <w:t xml:space="preserve">× </w:t>
      </w:r>
      <w:r>
        <w:rPr>
          <w:rFonts w:ascii="Bookman Old Style" w:eastAsia="Bookman Old Style" w:hAnsi="Bookman Old Style"/>
          <w:b w:val="0"/>
          <w:sz w:val="31"/>
        </w:rPr>
        <w:t>8</w:t>
      </w:r>
      <w:r>
        <w:rPr>
          <w:rFonts w:ascii="Bookman Old Style" w:eastAsia="Bookman Old Style" w:hAnsi="Bookman Old Style"/>
          <w:b w:val="0"/>
          <w:spacing w:val="-26"/>
          <w:sz w:val="31"/>
        </w:rPr>
        <w:t xml:space="preserve"> </w:t>
      </w:r>
      <w:r>
        <w:rPr>
          <w:rFonts w:ascii="Bookman Old Style" w:eastAsia="Bookman Old Style" w:hAnsi="Bookman Old Style"/>
          <w:b w:val="0"/>
          <w:spacing w:val="-3"/>
          <w:sz w:val="31"/>
        </w:rPr>
        <w:t>mm</w:t>
      </w:r>
      <w:r>
        <w:rPr>
          <w:spacing w:val="-11"/>
          <w:sz w:val="31"/>
        </w:rPr>
        <w:t xml:space="preserve">，单位面积重量不小于 </w:t>
      </w:r>
      <w:r>
        <w:rPr>
          <w:rFonts w:ascii="Bookman Old Style" w:eastAsia="Bookman Old Style" w:hAnsi="Bookman Old Style"/>
          <w:b w:val="0"/>
          <w:sz w:val="31"/>
        </w:rPr>
        <w:t>120g/m</w:t>
      </w:r>
      <w:r>
        <w:rPr>
          <w:sz w:val="31"/>
        </w:rPr>
        <w:t>²。</w:t>
      </w:r>
    </w:p>
    <w:p>
      <w:pPr>
        <w:pStyle w:val="ListParagraph"/>
        <w:numPr>
          <w:ilvl w:val="0"/>
          <w:numId w:val="18"/>
        </w:numPr>
        <w:tabs>
          <w:tab w:val="left" w:pos="3865"/>
        </w:tabs>
        <w:spacing w:before="0" w:after="0" w:line="381" w:lineRule="auto"/>
        <w:ind w:left="2441" w:right="2263" w:firstLine="629"/>
        <w:jc w:val="left"/>
        <w:rPr>
          <w:sz w:val="31"/>
        </w:rPr>
      </w:pPr>
      <w:r>
        <w:rPr>
          <w:spacing w:val="-5"/>
          <w:sz w:val="31"/>
        </w:rPr>
        <w:t xml:space="preserve">加强蒸压加气混凝土砌块进场检验，将蒸压加气混凝土砌块列入进场材料见证取样与 </w:t>
      </w:r>
      <w:r>
        <w:rPr>
          <w:spacing w:val="-13"/>
          <w:sz w:val="31"/>
        </w:rPr>
        <w:t xml:space="preserve">送检范围。将蒸压加气混凝土砌体及其抹灰工程的质量控制列为关键工序，加强过程质量控制， </w:t>
      </w:r>
      <w:r>
        <w:rPr>
          <w:sz w:val="31"/>
        </w:rPr>
        <w:t>对拉结筋、构造柱、顶层对楔、界面处理等进行逐项验收。</w:t>
      </w:r>
    </w:p>
    <w:p>
      <w:pPr>
        <w:pStyle w:val="ListParagraph"/>
        <w:numPr>
          <w:ilvl w:val="0"/>
          <w:numId w:val="18"/>
        </w:numPr>
        <w:tabs>
          <w:tab w:val="left" w:pos="3865"/>
        </w:tabs>
        <w:spacing w:before="0" w:after="0" w:line="381" w:lineRule="auto"/>
        <w:ind w:left="2441" w:right="2272" w:firstLine="629"/>
        <w:jc w:val="left"/>
        <w:rPr>
          <w:sz w:val="31"/>
        </w:rPr>
      </w:pPr>
      <w:r>
        <w:rPr>
          <w:spacing w:val="-1"/>
          <w:sz w:val="31"/>
        </w:rPr>
        <w:t>加气混凝土砌块进场后，应严格进场验收，执行见证取样与送检制度。必须按照工程</w:t>
      </w:r>
      <w:r>
        <w:rPr>
          <w:sz w:val="31"/>
        </w:rPr>
        <w:t>设计图纸、现行施工技术标准和经审批的专项施工方案组织施工。</w:t>
      </w:r>
    </w:p>
    <w:p>
      <w:pPr>
        <w:pStyle w:val="ListParagraph"/>
        <w:numPr>
          <w:ilvl w:val="0"/>
          <w:numId w:val="18"/>
        </w:numPr>
        <w:tabs>
          <w:tab w:val="left" w:pos="3865"/>
        </w:tabs>
        <w:spacing w:before="0" w:after="0" w:line="381" w:lineRule="auto"/>
        <w:ind w:left="2441" w:right="2383" w:firstLine="629"/>
        <w:jc w:val="both"/>
        <w:rPr>
          <w:sz w:val="31"/>
        </w:rPr>
      </w:pPr>
      <w:r>
        <w:rPr>
          <w:spacing w:val="-4"/>
          <w:sz w:val="31"/>
        </w:rPr>
        <w:t xml:space="preserve">砌块生产厂家应严格按国家标准生产加气混凝土砌块，并提供填充墙顶皮对楔防腐  </w:t>
      </w:r>
      <w:r>
        <w:rPr>
          <w:spacing w:val="-1"/>
          <w:sz w:val="31"/>
        </w:rPr>
        <w:t xml:space="preserve">木砖。加气混凝土砌块应存放 </w:t>
      </w:r>
      <w:r>
        <w:rPr>
          <w:rFonts w:ascii="Bookman Old Style" w:eastAsia="Bookman Old Style"/>
          <w:b w:val="0"/>
          <w:sz w:val="31"/>
        </w:rPr>
        <w:t>5</w:t>
      </w:r>
      <w:r>
        <w:rPr>
          <w:rFonts w:ascii="Bookman Old Style" w:eastAsia="Bookman Old Style"/>
          <w:b w:val="0"/>
          <w:spacing w:val="33"/>
          <w:sz w:val="31"/>
        </w:rPr>
        <w:t xml:space="preserve"> </w:t>
      </w:r>
      <w:r>
        <w:rPr>
          <w:sz w:val="31"/>
        </w:rPr>
        <w:t>天以上方可出厂。砌块产品出厂时，应成垛绑扎或有其它包装</w:t>
      </w:r>
      <w:r>
        <w:rPr>
          <w:spacing w:val="-4"/>
          <w:sz w:val="31"/>
        </w:rPr>
        <w:t>，砌块产品必须捆扎加塑料薄膜封包等防潮、防雨措施，并标明生产日期。</w:t>
      </w:r>
    </w:p>
    <w:p>
      <w:pPr>
        <w:pStyle w:val="ListParagraph"/>
        <w:numPr>
          <w:ilvl w:val="0"/>
          <w:numId w:val="18"/>
        </w:numPr>
        <w:tabs>
          <w:tab w:val="left" w:pos="3865"/>
        </w:tabs>
        <w:spacing w:before="0" w:after="0" w:line="381" w:lineRule="auto"/>
        <w:ind w:left="2441" w:right="2425" w:firstLine="633"/>
        <w:jc w:val="both"/>
        <w:rPr>
          <w:sz w:val="31"/>
        </w:rPr>
      </w:pPr>
      <w:r>
        <w:rPr>
          <w:spacing w:val="-4"/>
          <w:sz w:val="31"/>
        </w:rPr>
        <w:t>加气混凝土砌块及专用砂浆的检测机构不得与生产厂家存在隶属或利害关系。当无  法判定砌块出厂龄期时，或出厂龄期与实际不符时，应在现场放置五天后，方可进行见证取样 送检。加气混凝土砌块进场，除按批次检验立方体抗压强度、干密度等检验项目外，每个单位 工程应进行不少于一次的砌块干燥收缩值见证取样送检。</w:t>
      </w:r>
    </w:p>
    <w:p>
      <w:pPr>
        <w:pStyle w:val="ListParagraph"/>
        <w:numPr>
          <w:ilvl w:val="0"/>
          <w:numId w:val="18"/>
        </w:numPr>
        <w:tabs>
          <w:tab w:val="left" w:pos="3933"/>
        </w:tabs>
        <w:spacing w:before="0" w:after="0" w:line="392" w:lineRule="exact"/>
        <w:ind w:left="3932" w:right="0" w:hanging="858"/>
        <w:jc w:val="left"/>
        <w:rPr>
          <w:sz w:val="31"/>
        </w:rPr>
      </w:pPr>
      <w:r>
        <w:rPr>
          <w:sz w:val="31"/>
        </w:rPr>
        <w:t>）加气混凝土砌体设计、施工，应符合《蒸压加气混凝土砌块应用技术规程》</w:t>
      </w:r>
    </w:p>
    <w:p>
      <w:pPr>
        <w:pStyle w:val="BodyText"/>
        <w:spacing w:before="216" w:line="381" w:lineRule="auto"/>
        <w:ind w:right="2363"/>
      </w:pPr>
      <w:r>
        <w:rPr>
          <w:w w:val="95"/>
        </w:rPr>
        <w:t>（</w:t>
      </w:r>
      <w:r>
        <w:rPr>
          <w:rFonts w:ascii="Bookman Old Style" w:eastAsia="Bookman Old Style"/>
          <w:b w:val="0"/>
          <w:w w:val="95"/>
        </w:rPr>
        <w:t>DBJ13-29-2016</w:t>
      </w:r>
      <w:r>
        <w:rPr>
          <w:w w:val="95"/>
        </w:rPr>
        <w:t>）</w:t>
      </w:r>
      <w:r>
        <w:rPr>
          <w:spacing w:val="-5"/>
          <w:w w:val="95"/>
        </w:rPr>
        <w:t>、《蒸压加气混凝土建筑应用技术规程》</w:t>
      </w:r>
      <w:r>
        <w:rPr>
          <w:rFonts w:ascii="Bookman Old Style" w:eastAsia="Bookman Old Style"/>
          <w:b w:val="0"/>
          <w:w w:val="95"/>
        </w:rPr>
        <w:t xml:space="preserve">JGJ/T17-2008 </w:t>
      </w:r>
      <w:r>
        <w:rPr>
          <w:spacing w:val="-2"/>
          <w:w w:val="95"/>
        </w:rPr>
        <w:t>等国家、地方现行有</w:t>
      </w:r>
      <w:r>
        <w:t>关标准的规定。</w:t>
      </w:r>
    </w:p>
    <w:p>
      <w:pPr>
        <w:pStyle w:val="ListParagraph"/>
        <w:numPr>
          <w:ilvl w:val="1"/>
          <w:numId w:val="15"/>
        </w:numPr>
        <w:tabs>
          <w:tab w:val="left" w:pos="2993"/>
        </w:tabs>
        <w:spacing w:before="0" w:after="0" w:line="394" w:lineRule="exact"/>
        <w:ind w:left="2992" w:right="0" w:hanging="552"/>
        <w:jc w:val="left"/>
        <w:rPr>
          <w:rFonts w:ascii="Arial" w:eastAsia="Arial"/>
          <w:b/>
          <w:sz w:val="31"/>
        </w:rPr>
      </w:pPr>
      <w:bookmarkStart w:id="7" w:name="_TOC_250017"/>
      <w:bookmarkEnd w:id="7"/>
      <w:r>
        <w:rPr>
          <w:b/>
          <w:sz w:val="31"/>
        </w:rPr>
        <w:t>墙体砌筑要求</w:t>
      </w:r>
    </w:p>
    <w:p>
      <w:pPr>
        <w:pStyle w:val="ListParagraph"/>
        <w:numPr>
          <w:ilvl w:val="2"/>
          <w:numId w:val="15"/>
        </w:numPr>
        <w:tabs>
          <w:tab w:val="left" w:pos="3230"/>
        </w:tabs>
        <w:spacing w:before="233" w:after="0" w:line="381" w:lineRule="auto"/>
        <w:ind w:left="3075" w:right="6392" w:hanging="634"/>
        <w:jc w:val="left"/>
        <w:rPr>
          <w:rFonts w:ascii="Bookman Old Style" w:eastAsia="Bookman Old Style"/>
          <w:sz w:val="31"/>
        </w:rPr>
      </w:pPr>
      <w:r>
        <w:rPr>
          <w:spacing w:val="-1"/>
          <w:sz w:val="31"/>
        </w:rPr>
        <w:t>蒸压加气混凝土砌块砌筑分普通砌筑和薄层砌筑两种方法。</w:t>
      </w:r>
      <w:r>
        <w:rPr>
          <w:sz w:val="31"/>
        </w:rPr>
        <w:t>墙体砌筑应符合以下规定：</w:t>
      </w:r>
    </w:p>
    <w:p>
      <w:pPr>
        <w:pStyle w:val="ListParagraph"/>
        <w:numPr>
          <w:ilvl w:val="0"/>
          <w:numId w:val="13"/>
        </w:numPr>
        <w:tabs>
          <w:tab w:val="left" w:pos="3392"/>
        </w:tabs>
        <w:spacing w:before="0" w:after="0" w:line="381" w:lineRule="auto"/>
        <w:ind w:left="2441" w:right="2427" w:firstLine="633"/>
        <w:jc w:val="both"/>
        <w:rPr>
          <w:rFonts w:ascii="Bookman Old Style" w:eastAsia="Bookman Old Style"/>
          <w:sz w:val="31"/>
        </w:rPr>
      </w:pPr>
      <w:r>
        <w:rPr>
          <w:spacing w:val="-1"/>
          <w:sz w:val="31"/>
        </w:rPr>
        <w:t xml:space="preserve">砌筑前先拉水平线，在放好墨线的位置上，按排列图从墙体转角处或定位处开始砌筑， </w:t>
      </w:r>
      <w:r>
        <w:rPr>
          <w:sz w:val="31"/>
        </w:rPr>
        <w:t>砌筑时应保证灰缝饱满；</w:t>
      </w:r>
    </w:p>
    <w:p>
      <w:pPr>
        <w:pStyle w:val="ListParagraph"/>
        <w:numPr>
          <w:ilvl w:val="0"/>
          <w:numId w:val="13"/>
        </w:numPr>
        <w:tabs>
          <w:tab w:val="left" w:pos="3309"/>
        </w:tabs>
        <w:spacing w:before="0" w:after="0" w:line="381" w:lineRule="auto"/>
        <w:ind w:left="2441" w:right="2419" w:firstLine="633"/>
        <w:jc w:val="both"/>
        <w:rPr>
          <w:rFonts w:ascii="Bookman Old Style" w:eastAsia="Bookman Old Style"/>
          <w:sz w:val="31"/>
        </w:rPr>
      </w:pPr>
      <w:r>
        <w:rPr>
          <w:spacing w:val="-10"/>
          <w:sz w:val="31"/>
        </w:rPr>
        <w:t xml:space="preserve">砌块砌筑时，应上下错缝，采用咬砌方式。上下皮砌块搭接长度不应小于砌块长度的 </w:t>
      </w:r>
      <w:r>
        <w:rPr>
          <w:rFonts w:ascii="Bookman Old Style" w:eastAsia="Bookman Old Style"/>
          <w:b w:val="0"/>
          <w:sz w:val="31"/>
        </w:rPr>
        <w:t xml:space="preserve">1/3 </w:t>
      </w:r>
      <w:r>
        <w:rPr>
          <w:spacing w:val="1"/>
          <w:sz w:val="31"/>
        </w:rPr>
        <w:t xml:space="preserve">且不应小于 </w:t>
      </w:r>
      <w:r>
        <w:rPr>
          <w:rFonts w:ascii="Bookman Old Style" w:eastAsia="Bookman Old Style"/>
          <w:b w:val="0"/>
          <w:spacing w:val="-3"/>
          <w:sz w:val="31"/>
        </w:rPr>
        <w:t>150mm</w:t>
      </w:r>
      <w:r>
        <w:rPr>
          <w:spacing w:val="1"/>
          <w:sz w:val="31"/>
        </w:rPr>
        <w:t xml:space="preserve">。当在同一位置相邻 </w:t>
      </w:r>
      <w:r>
        <w:rPr>
          <w:rFonts w:ascii="Bookman Old Style" w:eastAsia="Bookman Old Style"/>
          <w:b w:val="0"/>
          <w:sz w:val="31"/>
        </w:rPr>
        <w:t>3</w:t>
      </w:r>
      <w:r>
        <w:rPr>
          <w:rFonts w:ascii="Bookman Old Style" w:eastAsia="Bookman Old Style"/>
          <w:b w:val="0"/>
          <w:spacing w:val="67"/>
          <w:sz w:val="31"/>
        </w:rPr>
        <w:t xml:space="preserve"> </w:t>
      </w:r>
      <w:r>
        <w:rPr>
          <w:spacing w:val="-1"/>
          <w:sz w:val="31"/>
        </w:rPr>
        <w:t>皮的搭接长度不能满足上述要求时，应在每道水平</w:t>
      </w:r>
      <w:r>
        <w:rPr>
          <w:spacing w:val="-2"/>
          <w:sz w:val="31"/>
        </w:rPr>
        <w:t xml:space="preserve">缝内设置不少于 </w:t>
      </w:r>
      <w:r>
        <w:rPr>
          <w:rFonts w:ascii="Bookman Old Style" w:eastAsia="Bookman Old Style"/>
          <w:b w:val="0"/>
          <w:sz w:val="31"/>
        </w:rPr>
        <w:t>2</w:t>
      </w:r>
      <w:r>
        <w:rPr>
          <w:rFonts w:ascii="Bookman Old Style" w:eastAsia="Bookman Old Style"/>
          <w:b w:val="0"/>
          <w:spacing w:val="-22"/>
          <w:sz w:val="31"/>
        </w:rPr>
        <w:t xml:space="preserve"> </w:t>
      </w:r>
      <w:r>
        <w:rPr>
          <w:rFonts w:ascii="Bookman Old Style" w:eastAsia="Bookman Old Style"/>
          <w:b w:val="0"/>
          <w:sz w:val="31"/>
        </w:rPr>
        <w:t>6</w:t>
      </w:r>
      <w:r>
        <w:rPr>
          <w:rFonts w:ascii="Bookman Old Style" w:eastAsia="Bookman Old Style"/>
          <w:b w:val="0"/>
          <w:spacing w:val="-26"/>
          <w:sz w:val="31"/>
        </w:rPr>
        <w:t xml:space="preserve"> </w:t>
      </w:r>
      <w:r>
        <w:rPr>
          <w:spacing w:val="-2"/>
          <w:sz w:val="31"/>
        </w:rPr>
        <w:t xml:space="preserve">钢筋，钢筋两端超出该垂直缝的长度均不应小于 </w:t>
      </w:r>
      <w:r>
        <w:rPr>
          <w:rFonts w:ascii="Bookman Old Style" w:eastAsia="Bookman Old Style"/>
          <w:b w:val="0"/>
          <w:sz w:val="31"/>
        </w:rPr>
        <w:t>350mm</w:t>
      </w:r>
      <w:r>
        <w:rPr>
          <w:sz w:val="31"/>
        </w:rPr>
        <w:t>；</w:t>
      </w:r>
    </w:p>
    <w:p>
      <w:pPr>
        <w:pStyle w:val="ListParagraph"/>
        <w:numPr>
          <w:ilvl w:val="0"/>
          <w:numId w:val="13"/>
        </w:numPr>
        <w:tabs>
          <w:tab w:val="left" w:pos="3392"/>
        </w:tabs>
        <w:spacing w:before="0" w:after="0" w:line="381" w:lineRule="auto"/>
        <w:ind w:left="2441" w:right="2427" w:firstLine="633"/>
        <w:jc w:val="both"/>
        <w:rPr>
          <w:rFonts w:ascii="Bookman Old Style" w:eastAsia="Bookman Old Style"/>
          <w:sz w:val="31"/>
        </w:rPr>
      </w:pPr>
      <w:r>
        <w:rPr>
          <w:spacing w:val="-1"/>
          <w:sz w:val="31"/>
        </w:rPr>
        <w:t>墙体转角处应同时砌筑，对不能同时砌筑且又必须留置临时间断处，应砌成斜槎，斜槎</w:t>
      </w:r>
      <w:r>
        <w:rPr>
          <w:spacing w:val="-17"/>
          <w:sz w:val="31"/>
        </w:rPr>
        <w:t xml:space="preserve">水平投影不应小于墙体高度，且不得留阴槎；留槎确有困难时，应沿墙高每隔不大于 </w:t>
      </w:r>
      <w:r>
        <w:rPr>
          <w:rFonts w:ascii="Bookman Old Style" w:eastAsia="Bookman Old Style"/>
          <w:b w:val="0"/>
          <w:sz w:val="31"/>
        </w:rPr>
        <w:t>600mm</w:t>
      </w:r>
      <w:r>
        <w:rPr>
          <w:rFonts w:ascii="Bookman Old Style" w:eastAsia="Bookman Old Style"/>
          <w:b w:val="0"/>
          <w:spacing w:val="80"/>
          <w:sz w:val="31"/>
        </w:rPr>
        <w:t xml:space="preserve"> </w:t>
      </w:r>
      <w:r>
        <w:rPr>
          <w:spacing w:val="-11"/>
          <w:sz w:val="31"/>
        </w:rPr>
        <w:t>设</w:t>
      </w:r>
      <w:r>
        <w:rPr>
          <w:spacing w:val="-1"/>
          <w:sz w:val="31"/>
        </w:rPr>
        <w:t xml:space="preserve">置 </w:t>
      </w:r>
      <w:r>
        <w:rPr>
          <w:rFonts w:ascii="Bookman Old Style" w:eastAsia="Bookman Old Style"/>
          <w:b w:val="0"/>
          <w:sz w:val="31"/>
        </w:rPr>
        <w:t>2</w:t>
      </w:r>
      <w:r>
        <w:rPr>
          <w:rFonts w:ascii="Bookman Old Style" w:eastAsia="Bookman Old Style"/>
          <w:b w:val="0"/>
          <w:spacing w:val="-22"/>
          <w:sz w:val="31"/>
        </w:rPr>
        <w:t xml:space="preserve"> </w:t>
      </w:r>
      <w:r>
        <w:rPr>
          <w:rFonts w:ascii="Bookman Old Style" w:eastAsia="Bookman Old Style"/>
          <w:b w:val="0"/>
          <w:sz w:val="31"/>
        </w:rPr>
        <w:t>6</w:t>
      </w:r>
      <w:r>
        <w:rPr>
          <w:rFonts w:ascii="Bookman Old Style" w:eastAsia="Bookman Old Style"/>
          <w:b w:val="0"/>
          <w:spacing w:val="51"/>
          <w:sz w:val="31"/>
        </w:rPr>
        <w:t xml:space="preserve"> </w:t>
      </w:r>
      <w:r>
        <w:rPr>
          <w:spacing w:val="-2"/>
          <w:sz w:val="31"/>
        </w:rPr>
        <w:t xml:space="preserve">拉结筋，拉结筋伸入墙内长度每边不应小于 </w:t>
      </w:r>
      <w:r>
        <w:rPr>
          <w:rFonts w:ascii="Bookman Old Style" w:eastAsia="Bookman Old Style"/>
          <w:b w:val="0"/>
          <w:sz w:val="31"/>
        </w:rPr>
        <w:t>700mm</w:t>
      </w:r>
      <w:r>
        <w:rPr>
          <w:sz w:val="31"/>
        </w:rPr>
        <w:t>；</w:t>
      </w:r>
    </w:p>
    <w:p>
      <w:pPr>
        <w:pStyle w:val="ListParagraph"/>
        <w:numPr>
          <w:ilvl w:val="0"/>
          <w:numId w:val="13"/>
        </w:numPr>
        <w:tabs>
          <w:tab w:val="left" w:pos="3309"/>
        </w:tabs>
        <w:spacing w:before="0" w:after="0" w:line="393" w:lineRule="exact"/>
        <w:ind w:left="3309" w:right="0" w:hanging="234"/>
        <w:jc w:val="both"/>
        <w:rPr>
          <w:rFonts w:ascii="Bookman Old Style" w:eastAsia="Bookman Old Style"/>
          <w:sz w:val="31"/>
        </w:rPr>
      </w:pPr>
      <w:r>
        <w:rPr>
          <w:spacing w:val="-2"/>
          <w:sz w:val="31"/>
        </w:rPr>
        <w:t xml:space="preserve">铺设砌筑砂浆的长度一次不宜超过 </w:t>
      </w:r>
      <w:r>
        <w:rPr>
          <w:rFonts w:ascii="Bookman Old Style" w:eastAsia="Bookman Old Style"/>
          <w:b w:val="0"/>
          <w:sz w:val="31"/>
        </w:rPr>
        <w:t>750mm</w:t>
      </w:r>
      <w:r>
        <w:rPr>
          <w:sz w:val="31"/>
        </w:rPr>
        <w:t>，铺浆后应立即放置蒸压加气混凝土砌块，要</w:t>
      </w:r>
    </w:p>
    <w:p>
      <w:pPr>
        <w:spacing w:after="0" w:line="393" w:lineRule="exact"/>
        <w:jc w:val="both"/>
        <w:rPr>
          <w:rFonts w:ascii="Bookman Old Style" w:eastAsia="Bookman Old Style"/>
          <w:sz w:val="31"/>
        </w:rPr>
        <w:sectPr>
          <w:headerReference w:type="default" r:id="rId20"/>
          <w:footerReference w:type="default" r:id="rId21"/>
          <w:pgSz w:w="17860" w:h="25260"/>
          <w:pgMar w:top="1360" w:right="0" w:bottom="2020" w:left="0" w:header="1084" w:footer="1838"/>
          <w:pgNumType w:start="8"/>
          <w:cols w:space="708"/>
        </w:sectPr>
      </w:pPr>
    </w:p>
    <w:p>
      <w:pPr>
        <w:pStyle w:val="BodyText"/>
        <w:ind w:left="0"/>
        <w:rPr>
          <w:sz w:val="20"/>
        </w:rPr>
      </w:pPr>
    </w:p>
    <w:p>
      <w:pPr>
        <w:pStyle w:val="BodyText"/>
        <w:ind w:left="0"/>
        <w:rPr>
          <w:sz w:val="20"/>
        </w:rPr>
      </w:pPr>
    </w:p>
    <w:p>
      <w:pPr>
        <w:pStyle w:val="BodyText"/>
        <w:spacing w:before="200" w:line="381" w:lineRule="auto"/>
        <w:ind w:right="2373"/>
      </w:pPr>
      <w:r>
        <w:t>求一次摆正放平。砌好的蒸压加气混凝土砌块不应随意移动或撞击，若发生移动或撞击应铲除原有砂浆重新砌筑；</w:t>
      </w:r>
    </w:p>
    <w:p>
      <w:pPr>
        <w:pStyle w:val="ListParagraph"/>
        <w:numPr>
          <w:ilvl w:val="0"/>
          <w:numId w:val="19"/>
        </w:numPr>
        <w:tabs>
          <w:tab w:val="left" w:pos="3392"/>
        </w:tabs>
        <w:spacing w:before="0" w:after="0" w:line="381" w:lineRule="auto"/>
        <w:ind w:left="2441" w:right="2429" w:firstLine="633"/>
        <w:jc w:val="left"/>
        <w:rPr>
          <w:rFonts w:ascii="Arial" w:eastAsia="Arial"/>
          <w:sz w:val="31"/>
        </w:rPr>
      </w:pPr>
      <w:r>
        <w:rPr>
          <w:spacing w:val="3"/>
          <w:sz w:val="31"/>
        </w:rPr>
        <w:t xml:space="preserve">砌至接近梁、板底时，应预留足够空隙，待墙体砌筑完毕 </w:t>
      </w:r>
      <w:r>
        <w:rPr>
          <w:rFonts w:ascii="Arial" w:eastAsia="Arial"/>
          <w:sz w:val="31"/>
        </w:rPr>
        <w:t>7d</w:t>
      </w:r>
      <w:r>
        <w:rPr>
          <w:rFonts w:ascii="Arial" w:eastAsia="Arial"/>
          <w:spacing w:val="1"/>
          <w:sz w:val="31"/>
        </w:rPr>
        <w:t xml:space="preserve"> </w:t>
      </w:r>
      <w:r>
        <w:rPr>
          <w:spacing w:val="-2"/>
          <w:sz w:val="31"/>
        </w:rPr>
        <w:t>后方可进行顶部空隙斜砌</w:t>
      </w:r>
      <w:r>
        <w:rPr>
          <w:sz w:val="31"/>
        </w:rPr>
        <w:t>顶紧处理或嵌填处理。</w:t>
      </w:r>
    </w:p>
    <w:p>
      <w:pPr>
        <w:pStyle w:val="ListParagraph"/>
        <w:numPr>
          <w:ilvl w:val="2"/>
          <w:numId w:val="15"/>
        </w:numPr>
        <w:tabs>
          <w:tab w:val="left" w:pos="3230"/>
        </w:tabs>
        <w:spacing w:before="0" w:after="0" w:line="394" w:lineRule="exact"/>
        <w:ind w:left="3229" w:right="0" w:hanging="789"/>
        <w:jc w:val="left"/>
        <w:rPr>
          <w:rFonts w:ascii="Arial" w:eastAsia="Arial"/>
          <w:sz w:val="31"/>
        </w:rPr>
      </w:pPr>
      <w:r>
        <w:rPr>
          <w:sz w:val="31"/>
        </w:rPr>
        <w:t>普通砌筑</w:t>
      </w:r>
    </w:p>
    <w:p>
      <w:pPr>
        <w:pStyle w:val="ListParagraph"/>
        <w:numPr>
          <w:ilvl w:val="0"/>
          <w:numId w:val="12"/>
        </w:numPr>
        <w:tabs>
          <w:tab w:val="left" w:pos="3389"/>
        </w:tabs>
        <w:spacing w:before="231" w:after="0" w:line="240" w:lineRule="auto"/>
        <w:ind w:left="3388" w:right="0" w:hanging="314"/>
        <w:jc w:val="left"/>
        <w:rPr>
          <w:sz w:val="31"/>
        </w:rPr>
      </w:pPr>
      <w:r>
        <w:rPr>
          <w:spacing w:val="-2"/>
          <w:sz w:val="31"/>
        </w:rPr>
        <w:t xml:space="preserve">砌筑时砌块的含水率不应大于 </w:t>
      </w:r>
      <w:r>
        <w:rPr>
          <w:rFonts w:ascii="Arial" w:eastAsia="Arial"/>
          <w:sz w:val="31"/>
        </w:rPr>
        <w:t>30%</w:t>
      </w:r>
      <w:r>
        <w:rPr>
          <w:sz w:val="31"/>
        </w:rPr>
        <w:t>；</w:t>
      </w:r>
    </w:p>
    <w:p>
      <w:pPr>
        <w:pStyle w:val="ListParagraph"/>
        <w:numPr>
          <w:ilvl w:val="0"/>
          <w:numId w:val="12"/>
        </w:numPr>
        <w:tabs>
          <w:tab w:val="left" w:pos="3389"/>
        </w:tabs>
        <w:spacing w:before="232" w:after="0" w:line="240" w:lineRule="auto"/>
        <w:ind w:left="3388" w:right="0" w:hanging="314"/>
        <w:jc w:val="left"/>
        <w:rPr>
          <w:sz w:val="31"/>
        </w:rPr>
      </w:pPr>
      <w:r>
        <w:rPr>
          <w:spacing w:val="-2"/>
          <w:sz w:val="31"/>
        </w:rPr>
        <w:t xml:space="preserve">墙体应分次砌筑，每次砌筑高度不应超过 </w:t>
      </w:r>
      <w:r>
        <w:rPr>
          <w:rFonts w:ascii="Arial" w:eastAsia="Arial"/>
          <w:spacing w:val="-3"/>
          <w:sz w:val="31"/>
        </w:rPr>
        <w:t>1.5m</w:t>
      </w:r>
      <w:r>
        <w:rPr>
          <w:spacing w:val="-3"/>
          <w:sz w:val="31"/>
        </w:rPr>
        <w:t xml:space="preserve">，日砌筑高度不宜大于 </w:t>
      </w:r>
      <w:r>
        <w:rPr>
          <w:rFonts w:ascii="Arial" w:eastAsia="Arial"/>
          <w:sz w:val="31"/>
        </w:rPr>
        <w:t>2.4m</w:t>
      </w:r>
      <w:r>
        <w:rPr>
          <w:sz w:val="31"/>
        </w:rPr>
        <w:t>；</w:t>
      </w:r>
    </w:p>
    <w:p>
      <w:pPr>
        <w:pStyle w:val="ListParagraph"/>
        <w:numPr>
          <w:ilvl w:val="0"/>
          <w:numId w:val="12"/>
        </w:numPr>
        <w:tabs>
          <w:tab w:val="left" w:pos="3389"/>
        </w:tabs>
        <w:spacing w:before="233" w:after="0" w:line="381" w:lineRule="auto"/>
        <w:ind w:left="2441" w:right="2217" w:firstLine="633"/>
        <w:jc w:val="left"/>
        <w:rPr>
          <w:sz w:val="31"/>
        </w:rPr>
      </w:pPr>
      <w:r>
        <w:rPr>
          <w:spacing w:val="-6"/>
          <w:sz w:val="31"/>
        </w:rPr>
        <w:t xml:space="preserve">斜砌顶紧处理时，砌至接近梁、板底应留置约 </w:t>
      </w:r>
      <w:r>
        <w:rPr>
          <w:rFonts w:ascii="Arial" w:eastAsia="Arial" w:hAnsi="Arial"/>
          <w:sz w:val="31"/>
        </w:rPr>
        <w:t>200mm</w:t>
      </w:r>
      <w:r>
        <w:rPr>
          <w:rFonts w:ascii="Arial" w:eastAsia="Arial" w:hAnsi="Arial"/>
          <w:spacing w:val="56"/>
          <w:sz w:val="31"/>
        </w:rPr>
        <w:t xml:space="preserve"> </w:t>
      </w:r>
      <w:r>
        <w:rPr>
          <w:spacing w:val="-1"/>
          <w:sz w:val="31"/>
        </w:rPr>
        <w:t xml:space="preserve">高空隙，补砌采用砌块斜砌顶紧， 其倾斜度宜为 </w:t>
      </w:r>
      <w:r>
        <w:rPr>
          <w:rFonts w:ascii="Arial" w:eastAsia="Arial" w:hAnsi="Arial"/>
          <w:sz w:val="31"/>
        </w:rPr>
        <w:t>60</w:t>
      </w:r>
      <w:r>
        <w:rPr>
          <w:sz w:val="31"/>
        </w:rPr>
        <w:t>°～</w:t>
      </w:r>
      <w:r>
        <w:rPr>
          <w:rFonts w:ascii="Arial" w:eastAsia="Arial" w:hAnsi="Arial"/>
          <w:sz w:val="31"/>
        </w:rPr>
        <w:t>75</w:t>
      </w:r>
      <w:r>
        <w:rPr>
          <w:sz w:val="31"/>
        </w:rPr>
        <w:t>°，砌筑砂浆应饱满；</w:t>
      </w:r>
    </w:p>
    <w:p>
      <w:pPr>
        <w:pStyle w:val="ListParagraph"/>
        <w:numPr>
          <w:ilvl w:val="0"/>
          <w:numId w:val="12"/>
        </w:numPr>
        <w:tabs>
          <w:tab w:val="left" w:pos="3389"/>
        </w:tabs>
        <w:spacing w:before="0" w:after="0" w:line="381" w:lineRule="auto"/>
        <w:ind w:left="2441" w:right="2427" w:firstLine="633"/>
        <w:jc w:val="left"/>
        <w:rPr>
          <w:sz w:val="31"/>
        </w:rPr>
      </w:pPr>
      <w:r>
        <w:rPr>
          <w:spacing w:val="1"/>
          <w:sz w:val="31"/>
        </w:rPr>
        <w:t xml:space="preserve">嵌填应采用顶塞法处理，砌筑至过梁、板底时应预留 </w:t>
      </w:r>
      <w:r>
        <w:rPr>
          <w:rFonts w:ascii="Arial" w:eastAsia="Arial"/>
          <w:sz w:val="31"/>
        </w:rPr>
        <w:t>15mm</w:t>
      </w:r>
      <w:r>
        <w:rPr>
          <w:sz w:val="31"/>
        </w:rPr>
        <w:t>～</w:t>
      </w:r>
      <w:r>
        <w:rPr>
          <w:rFonts w:ascii="Arial" w:eastAsia="Arial"/>
          <w:sz w:val="31"/>
        </w:rPr>
        <w:t>20mm</w:t>
      </w:r>
      <w:r>
        <w:rPr>
          <w:rFonts w:ascii="Arial" w:eastAsia="Arial"/>
          <w:spacing w:val="33"/>
          <w:sz w:val="31"/>
        </w:rPr>
        <w:t xml:space="preserve"> </w:t>
      </w:r>
      <w:r>
        <w:rPr>
          <w:spacing w:val="-3"/>
          <w:sz w:val="31"/>
        </w:rPr>
        <w:t>空隙，缝内可采用</w:t>
      </w:r>
      <w:r>
        <w:rPr>
          <w:sz w:val="31"/>
        </w:rPr>
        <w:t>干硬性混凝土捻实；外墙外侧梁下部位用专用材料填充密实，防止外墙渗水。</w:t>
      </w:r>
    </w:p>
    <w:p>
      <w:pPr>
        <w:pStyle w:val="ListParagraph"/>
        <w:numPr>
          <w:ilvl w:val="1"/>
          <w:numId w:val="15"/>
        </w:numPr>
        <w:tabs>
          <w:tab w:val="left" w:pos="2993"/>
        </w:tabs>
        <w:spacing w:before="0" w:after="0" w:line="394" w:lineRule="exact"/>
        <w:ind w:left="2992" w:right="0" w:hanging="552"/>
        <w:jc w:val="left"/>
        <w:rPr>
          <w:rFonts w:ascii="Arial" w:eastAsia="Arial"/>
          <w:b/>
          <w:sz w:val="31"/>
        </w:rPr>
      </w:pPr>
      <w:r>
        <w:rPr>
          <w:b/>
          <w:sz w:val="31"/>
        </w:rPr>
        <w:t>砌筑灰缝要求</w:t>
      </w:r>
    </w:p>
    <w:p>
      <w:pPr>
        <w:pStyle w:val="ListParagraph"/>
        <w:numPr>
          <w:ilvl w:val="0"/>
          <w:numId w:val="11"/>
        </w:numPr>
        <w:tabs>
          <w:tab w:val="left" w:pos="3309"/>
        </w:tabs>
        <w:spacing w:before="231" w:after="0" w:line="381" w:lineRule="auto"/>
        <w:ind w:left="2441" w:right="2282" w:firstLine="633"/>
        <w:jc w:val="left"/>
        <w:rPr>
          <w:sz w:val="31"/>
        </w:rPr>
      </w:pPr>
      <w:r>
        <w:rPr>
          <w:spacing w:val="-22"/>
          <w:sz w:val="31"/>
        </w:rPr>
        <w:t xml:space="preserve">灰缝应横平竖直，砂浆应饱满、均匀，原浆随砌随勾缝，勾缝深度宜凹进墙面 </w:t>
      </w:r>
      <w:r>
        <w:rPr>
          <w:rFonts w:ascii="Arial" w:eastAsia="Arial"/>
          <w:spacing w:val="-3"/>
          <w:sz w:val="31"/>
        </w:rPr>
        <w:t>1mm</w:t>
      </w:r>
      <w:r>
        <w:rPr>
          <w:spacing w:val="-3"/>
          <w:sz w:val="31"/>
        </w:rPr>
        <w:t>～</w:t>
      </w:r>
      <w:r>
        <w:rPr>
          <w:rFonts w:ascii="Arial" w:eastAsia="Arial"/>
          <w:spacing w:val="-3"/>
          <w:sz w:val="31"/>
        </w:rPr>
        <w:t>3mm</w:t>
      </w:r>
      <w:r>
        <w:rPr>
          <w:spacing w:val="-16"/>
          <w:sz w:val="31"/>
        </w:rPr>
        <w:t>。</w:t>
      </w:r>
      <w:r>
        <w:rPr>
          <w:spacing w:val="-1"/>
          <w:sz w:val="31"/>
        </w:rPr>
        <w:t xml:space="preserve">水平灰缝砂浆饱满度不应小于 </w:t>
      </w:r>
      <w:r>
        <w:rPr>
          <w:rFonts w:ascii="Arial" w:eastAsia="Arial"/>
          <w:sz w:val="31"/>
        </w:rPr>
        <w:t>90%</w:t>
      </w:r>
      <w:r>
        <w:rPr>
          <w:spacing w:val="-2"/>
          <w:sz w:val="31"/>
        </w:rPr>
        <w:t xml:space="preserve">，竖向灰缝砂浆饱满度不应小于 </w:t>
      </w:r>
      <w:r>
        <w:rPr>
          <w:rFonts w:ascii="Arial" w:eastAsia="Arial"/>
          <w:sz w:val="31"/>
        </w:rPr>
        <w:t>80%</w:t>
      </w:r>
      <w:r>
        <w:rPr>
          <w:sz w:val="31"/>
        </w:rPr>
        <w:t>。</w:t>
      </w:r>
    </w:p>
    <w:p>
      <w:pPr>
        <w:pStyle w:val="ListParagraph"/>
        <w:numPr>
          <w:ilvl w:val="0"/>
          <w:numId w:val="11"/>
        </w:numPr>
        <w:tabs>
          <w:tab w:val="left" w:pos="3309"/>
        </w:tabs>
        <w:spacing w:before="0" w:after="0" w:line="394" w:lineRule="exact"/>
        <w:ind w:left="3309" w:right="0" w:hanging="234"/>
        <w:jc w:val="left"/>
        <w:rPr>
          <w:sz w:val="31"/>
        </w:rPr>
      </w:pPr>
      <w:r>
        <w:rPr>
          <w:spacing w:val="-1"/>
          <w:sz w:val="31"/>
        </w:rPr>
        <w:t xml:space="preserve">普通砌筑灰缝厚度不宜大于 </w:t>
      </w:r>
      <w:r>
        <w:rPr>
          <w:rFonts w:ascii="Arial" w:eastAsia="Arial"/>
          <w:spacing w:val="-3"/>
          <w:sz w:val="31"/>
        </w:rPr>
        <w:t>15mm</w:t>
      </w:r>
      <w:r>
        <w:rPr>
          <w:spacing w:val="-9"/>
          <w:sz w:val="31"/>
        </w:rPr>
        <w:t xml:space="preserve">；薄层砌筑灰缝厚度不应大于 </w:t>
      </w:r>
      <w:r>
        <w:rPr>
          <w:rFonts w:ascii="Arial" w:eastAsia="Arial"/>
          <w:spacing w:val="-3"/>
          <w:sz w:val="31"/>
        </w:rPr>
        <w:t>5mm</w:t>
      </w:r>
      <w:r>
        <w:rPr>
          <w:sz w:val="31"/>
        </w:rPr>
        <w:t>。</w:t>
      </w:r>
    </w:p>
    <w:p>
      <w:pPr>
        <w:pStyle w:val="ListParagraph"/>
        <w:numPr>
          <w:ilvl w:val="0"/>
          <w:numId w:val="11"/>
        </w:numPr>
        <w:tabs>
          <w:tab w:val="left" w:pos="3309"/>
        </w:tabs>
        <w:spacing w:before="233" w:after="0" w:line="240" w:lineRule="auto"/>
        <w:ind w:left="3309" w:right="0" w:hanging="234"/>
        <w:jc w:val="left"/>
        <w:rPr>
          <w:sz w:val="31"/>
        </w:rPr>
      </w:pPr>
      <w:r>
        <w:rPr>
          <w:sz w:val="31"/>
        </w:rPr>
        <w:t>砌筑时，不得出现瞎缝、透缝、假缝和用杂物塞缝。</w:t>
      </w:r>
    </w:p>
    <w:p>
      <w:pPr>
        <w:pStyle w:val="ListParagraph"/>
        <w:numPr>
          <w:ilvl w:val="0"/>
          <w:numId w:val="15"/>
        </w:numPr>
        <w:tabs>
          <w:tab w:val="left" w:pos="2918"/>
        </w:tabs>
        <w:spacing w:before="233" w:after="0" w:line="240" w:lineRule="auto"/>
        <w:ind w:left="2917" w:right="0" w:hanging="477"/>
        <w:jc w:val="left"/>
        <w:rPr>
          <w:rFonts w:ascii="Arial" w:eastAsia="Arial"/>
          <w:b/>
          <w:sz w:val="29"/>
        </w:rPr>
      </w:pPr>
      <w:bookmarkStart w:id="8" w:name="_TOC_250016"/>
      <w:bookmarkEnd w:id="8"/>
      <w:r>
        <w:rPr>
          <w:b/>
          <w:sz w:val="31"/>
        </w:rPr>
        <w:t>抹灰工艺流程及操作要点</w:t>
      </w:r>
    </w:p>
    <w:p>
      <w:pPr>
        <w:pStyle w:val="ListParagraph"/>
        <w:numPr>
          <w:ilvl w:val="1"/>
          <w:numId w:val="15"/>
        </w:numPr>
        <w:tabs>
          <w:tab w:val="left" w:pos="2914"/>
        </w:tabs>
        <w:spacing w:before="233" w:after="0" w:line="240" w:lineRule="auto"/>
        <w:ind w:left="2913" w:right="0" w:hanging="473"/>
        <w:jc w:val="left"/>
        <w:rPr>
          <w:rFonts w:ascii="Arial" w:eastAsia="Arial"/>
          <w:b/>
          <w:sz w:val="31"/>
        </w:rPr>
      </w:pPr>
      <w:bookmarkStart w:id="9" w:name="_TOC_250015"/>
      <w:bookmarkEnd w:id="9"/>
      <w:r>
        <w:rPr>
          <w:b/>
          <w:sz w:val="31"/>
        </w:rPr>
        <w:t>工艺流程</w:t>
      </w:r>
    </w:p>
    <w:p>
      <w:pPr>
        <w:pStyle w:val="BodyText"/>
        <w:spacing w:before="233" w:line="381" w:lineRule="auto"/>
        <w:ind w:right="2427" w:firstLine="633"/>
      </w:pPr>
      <w:r>
        <w:t>加气混凝土墙抹灰工艺流程：清除墙面浮灰→修正补平勾缝→洒水湿润基层→做灰饼→挂钢丝网→基层专用界面剂处理→抹底层灰→抹中层灰→抹面层灰→养护</w:t>
      </w:r>
    </w:p>
    <w:p>
      <w:pPr>
        <w:pStyle w:val="ListParagraph"/>
        <w:numPr>
          <w:ilvl w:val="1"/>
          <w:numId w:val="15"/>
        </w:numPr>
        <w:tabs>
          <w:tab w:val="left" w:pos="2914"/>
        </w:tabs>
        <w:spacing w:before="0" w:after="0" w:line="394" w:lineRule="exact"/>
        <w:ind w:left="2913" w:right="0" w:hanging="473"/>
        <w:jc w:val="left"/>
        <w:rPr>
          <w:rFonts w:ascii="Arial" w:eastAsia="Arial"/>
          <w:b/>
          <w:sz w:val="31"/>
        </w:rPr>
      </w:pPr>
      <w:bookmarkStart w:id="10" w:name="_TOC_250014"/>
      <w:bookmarkEnd w:id="10"/>
      <w:r>
        <w:rPr>
          <w:b/>
          <w:sz w:val="31"/>
        </w:rPr>
        <w:t>抹灰操作要求</w:t>
      </w:r>
    </w:p>
    <w:p>
      <w:pPr>
        <w:pStyle w:val="ListParagraph"/>
        <w:numPr>
          <w:ilvl w:val="2"/>
          <w:numId w:val="15"/>
        </w:numPr>
        <w:tabs>
          <w:tab w:val="left" w:pos="3547"/>
        </w:tabs>
        <w:spacing w:before="233" w:after="0" w:line="381" w:lineRule="auto"/>
        <w:ind w:left="2441" w:right="2272" w:firstLine="316"/>
        <w:jc w:val="left"/>
        <w:rPr>
          <w:rFonts w:ascii="Arial" w:eastAsia="Arial"/>
          <w:sz w:val="31"/>
        </w:rPr>
      </w:pPr>
      <w:r>
        <w:rPr>
          <w:spacing w:val="-1"/>
          <w:sz w:val="31"/>
        </w:rPr>
        <w:t xml:space="preserve">抹灰砂浆、界面砂浆、抹灰石膏、增强网等材料进场时均应有质量证明文件、型式检验报告，并按本规程第 </w:t>
      </w:r>
      <w:r>
        <w:rPr>
          <w:rFonts w:ascii="Arial" w:eastAsia="Arial"/>
          <w:sz w:val="31"/>
        </w:rPr>
        <w:t>7.2.4</w:t>
      </w:r>
      <w:r>
        <w:rPr>
          <w:rFonts w:ascii="Arial" w:eastAsia="Arial"/>
          <w:spacing w:val="71"/>
          <w:sz w:val="31"/>
        </w:rPr>
        <w:t xml:space="preserve"> </w:t>
      </w:r>
      <w:r>
        <w:rPr>
          <w:sz w:val="31"/>
        </w:rPr>
        <w:t>条的要求进行查检和复验，合格后方可采用。</w:t>
      </w:r>
    </w:p>
    <w:p>
      <w:pPr>
        <w:pStyle w:val="ListParagraph"/>
        <w:numPr>
          <w:ilvl w:val="2"/>
          <w:numId w:val="15"/>
        </w:numPr>
        <w:tabs>
          <w:tab w:val="left" w:pos="3547"/>
        </w:tabs>
        <w:spacing w:before="0" w:after="0" w:line="394" w:lineRule="exact"/>
        <w:ind w:left="3546" w:right="0" w:hanging="789"/>
        <w:jc w:val="left"/>
        <w:rPr>
          <w:rFonts w:ascii="Arial" w:eastAsia="Arial"/>
          <w:sz w:val="31"/>
        </w:rPr>
      </w:pPr>
      <w:r>
        <w:rPr>
          <w:spacing w:val="-2"/>
          <w:sz w:val="31"/>
        </w:rPr>
        <w:t xml:space="preserve">抹灰应在砌体工程施工完至少 </w:t>
      </w:r>
      <w:r>
        <w:rPr>
          <w:rFonts w:ascii="Arial" w:eastAsia="Arial"/>
          <w:sz w:val="31"/>
        </w:rPr>
        <w:t>7d</w:t>
      </w:r>
      <w:r>
        <w:rPr>
          <w:sz w:val="31"/>
        </w:rPr>
        <w:t>，且经验收合格后进行。</w:t>
      </w:r>
    </w:p>
    <w:p>
      <w:pPr>
        <w:pStyle w:val="ListParagraph"/>
        <w:numPr>
          <w:ilvl w:val="2"/>
          <w:numId w:val="15"/>
        </w:numPr>
        <w:tabs>
          <w:tab w:val="left" w:pos="3547"/>
        </w:tabs>
        <w:spacing w:before="232" w:after="0" w:line="240" w:lineRule="auto"/>
        <w:ind w:left="3546" w:right="0" w:hanging="789"/>
        <w:jc w:val="left"/>
        <w:rPr>
          <w:rFonts w:ascii="Arial" w:eastAsia="Arial"/>
          <w:sz w:val="31"/>
        </w:rPr>
      </w:pPr>
      <w:r>
        <w:rPr>
          <w:spacing w:val="-20"/>
          <w:sz w:val="31"/>
        </w:rPr>
        <w:t>应在门窗、管线盒等安装完毕，且墙体的灰缝、孔洞、沟槽填实补平且凝固后方可抹灰。</w:t>
      </w:r>
    </w:p>
    <w:p>
      <w:pPr>
        <w:pStyle w:val="ListParagraph"/>
        <w:numPr>
          <w:ilvl w:val="2"/>
          <w:numId w:val="15"/>
        </w:numPr>
        <w:tabs>
          <w:tab w:val="left" w:pos="3547"/>
        </w:tabs>
        <w:spacing w:before="233" w:after="0" w:line="240" w:lineRule="auto"/>
        <w:ind w:left="3546" w:right="0" w:hanging="789"/>
        <w:jc w:val="left"/>
        <w:rPr>
          <w:rFonts w:ascii="Arial" w:eastAsia="Arial"/>
          <w:sz w:val="31"/>
        </w:rPr>
      </w:pPr>
      <w:r>
        <w:rPr>
          <w:sz w:val="31"/>
        </w:rPr>
        <w:t>普通抹灰冲筋、做灰饼所用砂浆的品种、强度等级应与大面积抹灰砂浆一致。</w:t>
      </w:r>
    </w:p>
    <w:p>
      <w:pPr>
        <w:pStyle w:val="ListParagraph"/>
        <w:numPr>
          <w:ilvl w:val="2"/>
          <w:numId w:val="15"/>
        </w:numPr>
        <w:tabs>
          <w:tab w:val="left" w:pos="3547"/>
        </w:tabs>
        <w:spacing w:before="234" w:after="0" w:line="381" w:lineRule="auto"/>
        <w:ind w:left="2441" w:right="2272" w:firstLine="316"/>
        <w:jc w:val="left"/>
        <w:rPr>
          <w:rFonts w:ascii="Arial" w:eastAsia="Arial"/>
          <w:sz w:val="31"/>
        </w:rPr>
      </w:pPr>
      <w:r>
        <w:rPr>
          <w:spacing w:val="-1"/>
          <w:sz w:val="31"/>
        </w:rPr>
        <w:t>抹灰前应检查栏杆、预埋件位置是否正确，与墙体连接是否牢固，清除基层表面浮灰、</w:t>
      </w:r>
      <w:r>
        <w:rPr>
          <w:sz w:val="31"/>
        </w:rPr>
        <w:t>油污、松散物等。</w:t>
      </w:r>
    </w:p>
    <w:p>
      <w:pPr>
        <w:pStyle w:val="ListParagraph"/>
        <w:numPr>
          <w:ilvl w:val="2"/>
          <w:numId w:val="15"/>
        </w:numPr>
        <w:tabs>
          <w:tab w:val="left" w:pos="3561"/>
          <w:tab w:val="left" w:pos="10333"/>
        </w:tabs>
        <w:spacing w:before="0" w:after="0" w:line="381" w:lineRule="auto"/>
        <w:ind w:left="2441" w:right="2591" w:firstLine="316"/>
        <w:jc w:val="left"/>
        <w:rPr>
          <w:rFonts w:ascii="Arial" w:eastAsia="Arial"/>
          <w:sz w:val="31"/>
        </w:rPr>
      </w:pPr>
      <w:r>
        <w:rPr>
          <w:sz w:val="31"/>
        </w:rPr>
        <w:t>普通抹灰应分层抹灰，一次抹灰厚度不宜大于</w:t>
        <w:tab/>
      </w:r>
      <w:r>
        <w:rPr>
          <w:rFonts w:ascii="Arial" w:eastAsia="Arial"/>
          <w:sz w:val="31"/>
        </w:rPr>
        <w:t>10mm</w:t>
      </w:r>
      <w:r>
        <w:rPr>
          <w:sz w:val="31"/>
        </w:rPr>
        <w:t>，内墙抹灰平均厚度不宜大</w:t>
      </w:r>
      <w:r>
        <w:rPr>
          <w:spacing w:val="-17"/>
          <w:sz w:val="31"/>
        </w:rPr>
        <w:t>于</w:t>
      </w:r>
      <w:r>
        <w:rPr>
          <w:rFonts w:ascii="Arial" w:eastAsia="Arial"/>
          <w:sz w:val="31"/>
        </w:rPr>
        <w:t>15mm</w:t>
      </w:r>
      <w:r>
        <w:rPr>
          <w:sz w:val="31"/>
        </w:rPr>
        <w:t>，外墙抹灰平均厚度不宜大于</w:t>
      </w:r>
      <w:r>
        <w:rPr>
          <w:spacing w:val="-15"/>
          <w:sz w:val="31"/>
        </w:rPr>
        <w:t xml:space="preserve"> </w:t>
      </w:r>
      <w:r>
        <w:rPr>
          <w:rFonts w:ascii="Arial" w:eastAsia="Arial"/>
          <w:spacing w:val="-4"/>
          <w:sz w:val="31"/>
        </w:rPr>
        <w:t>25mm</w:t>
      </w:r>
      <w:r>
        <w:rPr>
          <w:sz w:val="31"/>
        </w:rPr>
        <w:t>。</w:t>
      </w:r>
    </w:p>
    <w:p>
      <w:pPr>
        <w:pStyle w:val="ListParagraph"/>
        <w:numPr>
          <w:ilvl w:val="2"/>
          <w:numId w:val="15"/>
        </w:numPr>
        <w:tabs>
          <w:tab w:val="left" w:pos="3547"/>
        </w:tabs>
        <w:spacing w:before="0" w:after="0" w:line="394" w:lineRule="exact"/>
        <w:ind w:left="3546" w:right="0" w:hanging="789"/>
        <w:jc w:val="left"/>
        <w:rPr>
          <w:rFonts w:ascii="Arial" w:eastAsia="Arial"/>
          <w:sz w:val="31"/>
        </w:rPr>
      </w:pPr>
      <w:r>
        <w:rPr>
          <w:sz w:val="31"/>
        </w:rPr>
        <w:t>抹灰砂浆强度等级不宜高出蒸压加气混凝土砌块一个及以上强度级别。</w:t>
      </w:r>
    </w:p>
    <w:p>
      <w:pPr>
        <w:pStyle w:val="ListParagraph"/>
        <w:numPr>
          <w:ilvl w:val="2"/>
          <w:numId w:val="15"/>
        </w:numPr>
        <w:tabs>
          <w:tab w:val="left" w:pos="3547"/>
        </w:tabs>
        <w:spacing w:before="230" w:after="0" w:line="240" w:lineRule="auto"/>
        <w:ind w:left="3546" w:right="0" w:hanging="789"/>
        <w:jc w:val="left"/>
        <w:rPr>
          <w:rFonts w:ascii="Arial" w:eastAsia="Arial"/>
          <w:sz w:val="31"/>
        </w:rPr>
      </w:pPr>
      <w:r>
        <w:rPr>
          <w:sz w:val="31"/>
        </w:rPr>
        <w:t>外墙抹灰层与砌体之间不得有空鼓、脱落、爆灰等缺陷。</w:t>
      </w:r>
    </w:p>
    <w:p>
      <w:pPr>
        <w:pStyle w:val="ListParagraph"/>
        <w:numPr>
          <w:ilvl w:val="2"/>
          <w:numId w:val="15"/>
        </w:numPr>
        <w:tabs>
          <w:tab w:val="left" w:pos="3547"/>
        </w:tabs>
        <w:spacing w:before="232" w:after="0" w:line="240" w:lineRule="auto"/>
        <w:ind w:left="3546" w:right="0" w:hanging="789"/>
        <w:jc w:val="left"/>
        <w:rPr>
          <w:rFonts w:ascii="Arial" w:eastAsia="Arial"/>
          <w:sz w:val="31"/>
        </w:rPr>
      </w:pPr>
      <w:r>
        <w:rPr>
          <w:spacing w:val="-2"/>
          <w:sz w:val="31"/>
        </w:rPr>
        <w:t xml:space="preserve">抹灰层宜设分格缝，面积宜为 </w:t>
      </w:r>
      <w:r>
        <w:rPr>
          <w:rFonts w:ascii="Arial" w:eastAsia="Arial"/>
          <w:sz w:val="31"/>
        </w:rPr>
        <w:t>30m</w:t>
      </w:r>
      <w:r>
        <w:rPr>
          <w:rFonts w:ascii="Arial" w:eastAsia="Arial"/>
          <w:spacing w:val="-6"/>
          <w:sz w:val="31"/>
        </w:rPr>
        <w:t xml:space="preserve"> </w:t>
      </w:r>
      <w:r>
        <w:rPr>
          <w:rFonts w:ascii="Arial" w:eastAsia="Arial"/>
          <w:sz w:val="31"/>
        </w:rPr>
        <w:t>2</w:t>
      </w:r>
      <w:r>
        <w:rPr>
          <w:rFonts w:ascii="Arial" w:eastAsia="Arial"/>
          <w:spacing w:val="67"/>
          <w:sz w:val="31"/>
        </w:rPr>
        <w:t xml:space="preserve"> </w:t>
      </w:r>
      <w:r>
        <w:rPr>
          <w:spacing w:val="-1"/>
          <w:sz w:val="31"/>
        </w:rPr>
        <w:t xml:space="preserve">，长度不宜超过 </w:t>
      </w:r>
      <w:r>
        <w:rPr>
          <w:rFonts w:ascii="Arial" w:eastAsia="Arial"/>
          <w:spacing w:val="-3"/>
          <w:sz w:val="31"/>
        </w:rPr>
        <w:t>6m</w:t>
      </w:r>
      <w:r>
        <w:rPr>
          <w:sz w:val="31"/>
        </w:rPr>
        <w:t>。</w:t>
      </w:r>
    </w:p>
    <w:p>
      <w:pPr>
        <w:spacing w:after="0" w:line="240" w:lineRule="auto"/>
        <w:jc w:val="left"/>
        <w:rPr>
          <w:rFonts w:ascii="Arial" w:eastAsia="Arial"/>
          <w:sz w:val="31"/>
        </w:rPr>
        <w:sectPr>
          <w:headerReference w:type="default" r:id="rId22"/>
          <w:footerReference w:type="default" r:id="rId23"/>
          <w:pgSz w:w="17860" w:h="25260"/>
          <w:pgMar w:top="1360" w:right="0" w:bottom="2060" w:left="0" w:header="1084" w:footer="1838"/>
          <w:pgNumType w:start="9"/>
          <w:cols w:space="708"/>
        </w:sectPr>
      </w:pPr>
    </w:p>
    <w:p>
      <w:pPr>
        <w:pStyle w:val="BodyText"/>
        <w:ind w:left="0"/>
        <w:rPr>
          <w:sz w:val="20"/>
        </w:rPr>
      </w:pPr>
    </w:p>
    <w:p>
      <w:pPr>
        <w:pStyle w:val="BodyText"/>
        <w:spacing w:before="8"/>
        <w:ind w:left="0"/>
        <w:rPr>
          <w:sz w:val="27"/>
        </w:rPr>
      </w:pPr>
    </w:p>
    <w:p>
      <w:pPr>
        <w:pStyle w:val="ListParagraph"/>
        <w:numPr>
          <w:ilvl w:val="2"/>
          <w:numId w:val="15"/>
        </w:numPr>
        <w:tabs>
          <w:tab w:val="left" w:pos="3705"/>
        </w:tabs>
        <w:spacing w:before="103" w:after="0" w:line="240" w:lineRule="auto"/>
        <w:ind w:left="3705" w:right="0" w:hanging="947"/>
        <w:jc w:val="left"/>
        <w:rPr>
          <w:rFonts w:ascii="Arial" w:eastAsia="Arial"/>
          <w:sz w:val="31"/>
        </w:rPr>
      </w:pPr>
      <w:r>
        <w:rPr>
          <w:sz w:val="31"/>
        </w:rPr>
        <w:t>抹灰层凝固前应做好防曝晒、防水、防风干等措施。</w:t>
      </w:r>
    </w:p>
    <w:p>
      <w:pPr>
        <w:pStyle w:val="ListParagraph"/>
        <w:numPr>
          <w:ilvl w:val="2"/>
          <w:numId w:val="15"/>
        </w:numPr>
        <w:tabs>
          <w:tab w:val="left" w:pos="3691"/>
        </w:tabs>
        <w:spacing w:before="233" w:after="0" w:line="240" w:lineRule="auto"/>
        <w:ind w:left="3690" w:right="0" w:hanging="933"/>
        <w:jc w:val="left"/>
        <w:rPr>
          <w:rFonts w:ascii="Arial" w:eastAsia="Arial"/>
          <w:sz w:val="31"/>
        </w:rPr>
      </w:pPr>
      <w:r>
        <w:rPr>
          <w:sz w:val="31"/>
        </w:rPr>
        <w:t>高温干燥天气抹灰时，应采取必要的养护措施；雨期外墙抹灰应采取防雨措施。</w:t>
      </w:r>
    </w:p>
    <w:p>
      <w:pPr>
        <w:pStyle w:val="ListParagraph"/>
        <w:numPr>
          <w:ilvl w:val="2"/>
          <w:numId w:val="15"/>
        </w:numPr>
        <w:tabs>
          <w:tab w:val="left" w:pos="3705"/>
        </w:tabs>
        <w:spacing w:before="233" w:after="0" w:line="240" w:lineRule="auto"/>
        <w:ind w:left="3705" w:right="0" w:hanging="947"/>
        <w:jc w:val="left"/>
        <w:rPr>
          <w:rFonts w:ascii="Arial" w:eastAsia="Arial"/>
          <w:sz w:val="31"/>
        </w:rPr>
      </w:pPr>
      <w:r>
        <w:rPr>
          <w:sz w:val="31"/>
        </w:rPr>
        <w:t>普通抹灰时，以下部位宜挂设增强网：</w:t>
      </w:r>
    </w:p>
    <w:p>
      <w:pPr>
        <w:pStyle w:val="ListParagraph"/>
        <w:numPr>
          <w:ilvl w:val="0"/>
          <w:numId w:val="10"/>
        </w:numPr>
        <w:tabs>
          <w:tab w:val="left" w:pos="3626"/>
        </w:tabs>
        <w:spacing w:before="233" w:after="0" w:line="240" w:lineRule="auto"/>
        <w:ind w:left="3625" w:right="0" w:hanging="238"/>
        <w:jc w:val="left"/>
        <w:rPr>
          <w:sz w:val="31"/>
        </w:rPr>
      </w:pPr>
      <w:r>
        <w:rPr>
          <w:sz w:val="31"/>
        </w:rPr>
        <w:t>不同材料基体结合处；</w:t>
      </w:r>
    </w:p>
    <w:p>
      <w:pPr>
        <w:pStyle w:val="ListParagraph"/>
        <w:numPr>
          <w:ilvl w:val="0"/>
          <w:numId w:val="10"/>
        </w:numPr>
        <w:tabs>
          <w:tab w:val="left" w:pos="3626"/>
        </w:tabs>
        <w:spacing w:before="232" w:after="0" w:line="240" w:lineRule="auto"/>
        <w:ind w:left="3625" w:right="0" w:hanging="238"/>
        <w:jc w:val="left"/>
        <w:rPr>
          <w:sz w:val="31"/>
        </w:rPr>
      </w:pPr>
      <w:r>
        <w:rPr>
          <w:sz w:val="31"/>
        </w:rPr>
        <w:t>暗埋管线的孔槽处；</w:t>
      </w:r>
    </w:p>
    <w:p>
      <w:pPr>
        <w:pStyle w:val="ListParagraph"/>
        <w:numPr>
          <w:ilvl w:val="0"/>
          <w:numId w:val="10"/>
        </w:numPr>
        <w:tabs>
          <w:tab w:val="left" w:pos="3626"/>
        </w:tabs>
        <w:spacing w:before="233" w:after="0" w:line="240" w:lineRule="auto"/>
        <w:ind w:left="3625" w:right="0" w:hanging="238"/>
        <w:jc w:val="left"/>
        <w:rPr>
          <w:sz w:val="31"/>
        </w:rPr>
      </w:pPr>
      <w:r>
        <w:rPr>
          <w:sz w:val="31"/>
        </w:rPr>
        <w:t>顶层填充墙两侧找平层；</w:t>
      </w:r>
    </w:p>
    <w:p>
      <w:pPr>
        <w:pStyle w:val="ListParagraph"/>
        <w:numPr>
          <w:ilvl w:val="0"/>
          <w:numId w:val="10"/>
        </w:numPr>
        <w:tabs>
          <w:tab w:val="left" w:pos="3626"/>
        </w:tabs>
        <w:spacing w:before="233" w:after="0" w:line="240" w:lineRule="auto"/>
        <w:ind w:left="3625" w:right="0" w:hanging="238"/>
        <w:jc w:val="left"/>
        <w:rPr>
          <w:sz w:val="31"/>
        </w:rPr>
      </w:pPr>
      <w:r>
        <w:rPr>
          <w:spacing w:val="-2"/>
          <w:sz w:val="31"/>
        </w:rPr>
        <w:t xml:space="preserve">抹灰总厚度大于等于 </w:t>
      </w:r>
      <w:r>
        <w:rPr>
          <w:rFonts w:ascii="Arial" w:eastAsia="Arial"/>
          <w:sz w:val="31"/>
        </w:rPr>
        <w:t>35mm</w:t>
      </w:r>
      <w:r>
        <w:rPr>
          <w:rFonts w:ascii="Arial" w:eastAsia="Arial"/>
          <w:spacing w:val="58"/>
          <w:sz w:val="31"/>
        </w:rPr>
        <w:t xml:space="preserve"> </w:t>
      </w:r>
      <w:r>
        <w:rPr>
          <w:sz w:val="31"/>
        </w:rPr>
        <w:t>处。</w:t>
      </w:r>
    </w:p>
    <w:p>
      <w:pPr>
        <w:pStyle w:val="ListParagraph"/>
        <w:numPr>
          <w:ilvl w:val="2"/>
          <w:numId w:val="15"/>
        </w:numPr>
        <w:tabs>
          <w:tab w:val="left" w:pos="3705"/>
        </w:tabs>
        <w:spacing w:before="233" w:after="0" w:line="240" w:lineRule="auto"/>
        <w:ind w:left="3705" w:right="0" w:hanging="947"/>
        <w:jc w:val="left"/>
        <w:rPr>
          <w:rFonts w:ascii="Arial" w:eastAsia="Arial"/>
          <w:sz w:val="31"/>
        </w:rPr>
      </w:pPr>
      <w:r>
        <w:rPr>
          <w:sz w:val="31"/>
        </w:rPr>
        <w:t>薄层抹灰时，以下部位宜挂设耐碱玻纤网格布：</w:t>
      </w:r>
    </w:p>
    <w:p>
      <w:pPr>
        <w:pStyle w:val="ListParagraph"/>
        <w:numPr>
          <w:ilvl w:val="0"/>
          <w:numId w:val="9"/>
        </w:numPr>
        <w:tabs>
          <w:tab w:val="left" w:pos="3626"/>
        </w:tabs>
        <w:spacing w:before="233" w:after="0" w:line="240" w:lineRule="auto"/>
        <w:ind w:left="3625" w:right="0" w:hanging="238"/>
        <w:jc w:val="left"/>
        <w:rPr>
          <w:sz w:val="31"/>
        </w:rPr>
      </w:pPr>
      <w:r>
        <w:rPr>
          <w:sz w:val="31"/>
        </w:rPr>
        <w:t>不同材料基体结合处；</w:t>
      </w:r>
    </w:p>
    <w:p>
      <w:pPr>
        <w:pStyle w:val="ListParagraph"/>
        <w:numPr>
          <w:ilvl w:val="0"/>
          <w:numId w:val="9"/>
        </w:numPr>
        <w:tabs>
          <w:tab w:val="left" w:pos="3626"/>
        </w:tabs>
        <w:spacing w:before="233" w:after="0" w:line="240" w:lineRule="auto"/>
        <w:ind w:left="3625" w:right="0" w:hanging="238"/>
        <w:jc w:val="left"/>
        <w:rPr>
          <w:sz w:val="31"/>
        </w:rPr>
      </w:pPr>
      <w:r>
        <w:rPr>
          <w:sz w:val="31"/>
        </w:rPr>
        <w:t>暗埋管线的孔槽处。</w:t>
      </w:r>
    </w:p>
    <w:p>
      <w:pPr>
        <w:pStyle w:val="ListParagraph"/>
        <w:numPr>
          <w:ilvl w:val="2"/>
          <w:numId w:val="15"/>
        </w:numPr>
        <w:tabs>
          <w:tab w:val="left" w:pos="3705"/>
        </w:tabs>
        <w:spacing w:before="233" w:after="0" w:line="240" w:lineRule="auto"/>
        <w:ind w:left="3705" w:right="0" w:hanging="947"/>
        <w:jc w:val="left"/>
        <w:rPr>
          <w:rFonts w:ascii="Arial" w:eastAsia="Arial"/>
          <w:sz w:val="31"/>
        </w:rPr>
      </w:pPr>
      <w:r>
        <w:rPr>
          <w:sz w:val="31"/>
        </w:rPr>
        <w:t>增强网的设置应符合以下规定：</w:t>
      </w:r>
    </w:p>
    <w:p>
      <w:pPr>
        <w:pStyle w:val="ListParagraph"/>
        <w:numPr>
          <w:ilvl w:val="0"/>
          <w:numId w:val="8"/>
        </w:numPr>
        <w:tabs>
          <w:tab w:val="left" w:pos="3705"/>
        </w:tabs>
        <w:spacing w:before="233" w:after="0" w:line="240" w:lineRule="auto"/>
        <w:ind w:left="3705" w:right="0" w:hanging="317"/>
        <w:jc w:val="left"/>
        <w:rPr>
          <w:sz w:val="31"/>
        </w:rPr>
      </w:pPr>
      <w:r>
        <w:rPr>
          <w:sz w:val="31"/>
        </w:rPr>
        <w:t>挂网平整、钉网牢固、抹灰密实；</w:t>
      </w:r>
    </w:p>
    <w:p>
      <w:pPr>
        <w:pStyle w:val="ListParagraph"/>
        <w:numPr>
          <w:ilvl w:val="0"/>
          <w:numId w:val="8"/>
        </w:numPr>
        <w:tabs>
          <w:tab w:val="left" w:pos="3705"/>
        </w:tabs>
        <w:spacing w:before="233" w:after="0" w:line="240" w:lineRule="auto"/>
        <w:ind w:left="3705" w:right="0" w:hanging="317"/>
        <w:jc w:val="left"/>
        <w:rPr>
          <w:sz w:val="31"/>
        </w:rPr>
      </w:pPr>
      <w:r>
        <w:rPr>
          <w:sz w:val="31"/>
        </w:rPr>
        <w:t>挂网前应清洁基层，除去浮灰油污，修补整平墙面，并保持一定湿度；</w:t>
      </w:r>
    </w:p>
    <w:p>
      <w:pPr>
        <w:pStyle w:val="ListParagraph"/>
        <w:numPr>
          <w:ilvl w:val="0"/>
          <w:numId w:val="8"/>
        </w:numPr>
        <w:tabs>
          <w:tab w:val="left" w:pos="3705"/>
        </w:tabs>
        <w:spacing w:before="233" w:after="0" w:line="381" w:lineRule="auto"/>
        <w:ind w:left="2441" w:right="2432" w:firstLine="946"/>
        <w:jc w:val="left"/>
        <w:rPr>
          <w:sz w:val="31"/>
        </w:rPr>
      </w:pPr>
      <w:r>
        <w:rPr>
          <w:spacing w:val="-1"/>
          <w:sz w:val="31"/>
        </w:rPr>
        <w:t xml:space="preserve">挂网前应展平，与梁柱、墙体连接可用射钉或预埋的钢筋点焊牢固，间距不宜太大， </w:t>
      </w:r>
      <w:r>
        <w:rPr>
          <w:sz w:val="31"/>
        </w:rPr>
        <w:t>以保证钢丝网不变形起拱；</w:t>
      </w:r>
    </w:p>
    <w:p>
      <w:pPr>
        <w:pStyle w:val="ListParagraph"/>
        <w:numPr>
          <w:ilvl w:val="0"/>
          <w:numId w:val="8"/>
        </w:numPr>
        <w:tabs>
          <w:tab w:val="left" w:pos="3705"/>
        </w:tabs>
        <w:spacing w:before="0" w:after="0" w:line="394" w:lineRule="exact"/>
        <w:ind w:left="3705" w:right="0" w:hanging="317"/>
        <w:jc w:val="left"/>
        <w:rPr>
          <w:sz w:val="31"/>
        </w:rPr>
      </w:pPr>
      <w:r>
        <w:rPr>
          <w:sz w:val="31"/>
        </w:rPr>
        <w:t>网材搭接应平整、连续、牢固；</w:t>
      </w:r>
    </w:p>
    <w:p>
      <w:pPr>
        <w:pStyle w:val="ListParagraph"/>
        <w:numPr>
          <w:ilvl w:val="0"/>
          <w:numId w:val="8"/>
        </w:numPr>
        <w:tabs>
          <w:tab w:val="left" w:pos="3705"/>
        </w:tabs>
        <w:spacing w:before="232" w:after="0" w:line="240" w:lineRule="auto"/>
        <w:ind w:left="3705" w:right="0" w:hanging="317"/>
        <w:jc w:val="left"/>
        <w:rPr>
          <w:sz w:val="31"/>
        </w:rPr>
      </w:pPr>
      <w:r>
        <w:rPr>
          <w:sz w:val="31"/>
        </w:rPr>
        <w:t>挂网必须置于抹灰层内，不得外露，应防止生锈和腐蚀。</w:t>
      </w:r>
    </w:p>
    <w:p>
      <w:pPr>
        <w:pStyle w:val="ListParagraph"/>
        <w:numPr>
          <w:ilvl w:val="2"/>
          <w:numId w:val="15"/>
        </w:numPr>
        <w:tabs>
          <w:tab w:val="left" w:pos="3705"/>
        </w:tabs>
        <w:spacing w:before="234" w:after="0" w:line="381" w:lineRule="auto"/>
        <w:ind w:left="2441" w:right="2404" w:firstLine="316"/>
        <w:jc w:val="left"/>
        <w:rPr>
          <w:rFonts w:ascii="Arial" w:eastAsia="Arial"/>
          <w:sz w:val="31"/>
        </w:rPr>
      </w:pPr>
      <w:r>
        <w:rPr>
          <w:sz w:val="31"/>
        </w:rPr>
        <w:t>增强网可采用钢丝网或耐碱玻纤网格布，网宽度不应小于</w:t>
      </w:r>
      <w:r>
        <w:rPr>
          <w:rFonts w:ascii="Arial" w:eastAsia="Arial"/>
          <w:sz w:val="31"/>
        </w:rPr>
        <w:t>200mm</w:t>
      </w:r>
      <w:r>
        <w:rPr>
          <w:spacing w:val="-2"/>
          <w:sz w:val="31"/>
        </w:rPr>
        <w:t>，与基体的搭接宽度</w:t>
      </w:r>
      <w:r>
        <w:rPr>
          <w:spacing w:val="-1"/>
          <w:sz w:val="31"/>
        </w:rPr>
        <w:t xml:space="preserve">不应小于 </w:t>
      </w:r>
      <w:r>
        <w:rPr>
          <w:rFonts w:ascii="Arial" w:eastAsia="Arial"/>
          <w:spacing w:val="-3"/>
          <w:sz w:val="31"/>
        </w:rPr>
        <w:t>100mm</w:t>
      </w:r>
      <w:r>
        <w:rPr>
          <w:sz w:val="31"/>
        </w:rPr>
        <w:t>。</w:t>
      </w:r>
    </w:p>
    <w:p>
      <w:pPr>
        <w:pStyle w:val="ListParagraph"/>
        <w:numPr>
          <w:ilvl w:val="2"/>
          <w:numId w:val="15"/>
        </w:numPr>
        <w:tabs>
          <w:tab w:val="left" w:pos="4022"/>
        </w:tabs>
        <w:spacing w:before="0" w:after="0" w:line="381" w:lineRule="auto"/>
        <w:ind w:left="2441" w:right="2432" w:firstLine="633"/>
        <w:jc w:val="left"/>
        <w:rPr>
          <w:rFonts w:ascii="Arial" w:eastAsia="Arial"/>
          <w:sz w:val="31"/>
        </w:rPr>
      </w:pPr>
      <w:r>
        <w:rPr>
          <w:spacing w:val="-1"/>
          <w:sz w:val="31"/>
        </w:rPr>
        <w:t>砖饰面层抹灰、贴饰面砖等，应符合现行国家标准《建筑装饰装修工程质量验收规</w:t>
      </w:r>
      <w:r>
        <w:rPr>
          <w:spacing w:val="-2"/>
          <w:sz w:val="31"/>
        </w:rPr>
        <w:t>范》</w:t>
      </w:r>
      <w:r>
        <w:rPr>
          <w:rFonts w:ascii="Arial" w:eastAsia="Arial"/>
          <w:sz w:val="31"/>
        </w:rPr>
        <w:t>GB</w:t>
      </w:r>
      <w:r>
        <w:rPr>
          <w:rFonts w:ascii="Arial" w:eastAsia="Arial"/>
          <w:spacing w:val="-8"/>
          <w:sz w:val="31"/>
        </w:rPr>
        <w:t xml:space="preserve"> </w:t>
      </w:r>
      <w:r>
        <w:rPr>
          <w:rFonts w:ascii="Arial" w:eastAsia="Arial"/>
          <w:sz w:val="31"/>
        </w:rPr>
        <w:t>50210</w:t>
      </w:r>
      <w:r>
        <w:rPr>
          <w:rFonts w:ascii="Arial" w:eastAsia="Arial"/>
          <w:spacing w:val="64"/>
          <w:sz w:val="31"/>
        </w:rPr>
        <w:t xml:space="preserve"> </w:t>
      </w:r>
      <w:r>
        <w:rPr>
          <w:sz w:val="31"/>
        </w:rPr>
        <w:t>的规定。</w:t>
      </w:r>
    </w:p>
    <w:p>
      <w:pPr>
        <w:pStyle w:val="ListParagraph"/>
        <w:numPr>
          <w:ilvl w:val="1"/>
          <w:numId w:val="15"/>
        </w:numPr>
        <w:tabs>
          <w:tab w:val="left" w:pos="2914"/>
        </w:tabs>
        <w:spacing w:before="0" w:after="0" w:line="394" w:lineRule="exact"/>
        <w:ind w:left="2913" w:right="0" w:hanging="473"/>
        <w:jc w:val="left"/>
        <w:rPr>
          <w:rFonts w:ascii="Arial" w:eastAsia="Arial"/>
          <w:b/>
          <w:sz w:val="31"/>
        </w:rPr>
      </w:pPr>
      <w:bookmarkStart w:id="11" w:name="_TOC_250013"/>
      <w:bookmarkEnd w:id="11"/>
      <w:r>
        <w:rPr>
          <w:b/>
          <w:sz w:val="31"/>
        </w:rPr>
        <w:t>外墙抹灰</w:t>
      </w:r>
    </w:p>
    <w:p>
      <w:pPr>
        <w:pStyle w:val="ListParagraph"/>
        <w:numPr>
          <w:ilvl w:val="0"/>
          <w:numId w:val="7"/>
        </w:numPr>
        <w:tabs>
          <w:tab w:val="left" w:pos="3393"/>
        </w:tabs>
        <w:spacing w:before="230" w:after="0" w:line="381" w:lineRule="auto"/>
        <w:ind w:left="2441" w:right="2427" w:firstLine="158"/>
        <w:jc w:val="left"/>
        <w:rPr>
          <w:sz w:val="31"/>
        </w:rPr>
      </w:pPr>
      <w:r>
        <w:rPr>
          <w:spacing w:val="-1"/>
          <w:sz w:val="31"/>
        </w:rPr>
        <w:t>墙体抹灰应严格按以下工艺流程进行：基层表面处理→修正补平勾缝→必要部位挂网处</w:t>
      </w:r>
      <w:r>
        <w:rPr>
          <w:sz w:val="31"/>
        </w:rPr>
        <w:t>理→做灰饼（普通抹灰）、冲筋→基层界面剂处理→分层抹灰→清理养护。</w:t>
      </w:r>
    </w:p>
    <w:p>
      <w:pPr>
        <w:pStyle w:val="ListParagraph"/>
        <w:numPr>
          <w:ilvl w:val="0"/>
          <w:numId w:val="7"/>
        </w:numPr>
        <w:tabs>
          <w:tab w:val="left" w:pos="3547"/>
        </w:tabs>
        <w:spacing w:before="0" w:after="0" w:line="394" w:lineRule="exact"/>
        <w:ind w:left="3546" w:right="0" w:hanging="947"/>
        <w:jc w:val="left"/>
        <w:rPr>
          <w:sz w:val="31"/>
        </w:rPr>
      </w:pPr>
      <w:r>
        <w:rPr>
          <w:sz w:val="31"/>
        </w:rPr>
        <w:t>外墙抹灰前，应先填塞门窗框与墙体之间的缝隙。</w:t>
      </w:r>
    </w:p>
    <w:p>
      <w:pPr>
        <w:pStyle w:val="ListParagraph"/>
        <w:numPr>
          <w:ilvl w:val="0"/>
          <w:numId w:val="7"/>
        </w:numPr>
        <w:tabs>
          <w:tab w:val="left" w:pos="3393"/>
        </w:tabs>
        <w:spacing w:before="232" w:after="0" w:line="240" w:lineRule="auto"/>
        <w:ind w:left="3392" w:right="0" w:hanging="793"/>
        <w:jc w:val="left"/>
        <w:rPr>
          <w:sz w:val="31"/>
        </w:rPr>
      </w:pPr>
      <w:r>
        <w:rPr>
          <w:sz w:val="31"/>
        </w:rPr>
        <w:t>外墙抹灰应分以下两种情形进行：</w:t>
      </w:r>
    </w:p>
    <w:p>
      <w:pPr>
        <w:pStyle w:val="ListParagraph"/>
        <w:numPr>
          <w:ilvl w:val="1"/>
          <w:numId w:val="7"/>
        </w:numPr>
        <w:tabs>
          <w:tab w:val="left" w:pos="3389"/>
        </w:tabs>
        <w:spacing w:before="234" w:after="0" w:line="381" w:lineRule="auto"/>
        <w:ind w:left="2441" w:right="2390" w:firstLine="633"/>
        <w:jc w:val="left"/>
        <w:rPr>
          <w:sz w:val="31"/>
        </w:rPr>
      </w:pPr>
      <w:r>
        <w:rPr>
          <w:spacing w:val="1"/>
          <w:sz w:val="31"/>
        </w:rPr>
        <w:t>普通抹灰时，应先在墙体基层表面粉刷防水型界面剂，厚度不宜大于</w:t>
      </w:r>
      <w:r>
        <w:rPr>
          <w:rFonts w:ascii="Arial" w:eastAsia="Arial"/>
          <w:sz w:val="31"/>
        </w:rPr>
        <w:t>3mm</w:t>
      </w:r>
      <w:r>
        <w:rPr>
          <w:spacing w:val="-3"/>
          <w:sz w:val="31"/>
        </w:rPr>
        <w:t>；待界面剂干</w:t>
      </w:r>
      <w:r>
        <w:rPr>
          <w:spacing w:val="-1"/>
          <w:sz w:val="31"/>
        </w:rPr>
        <w:t xml:space="preserve">固后，再粉刷过渡层砂浆，厚度宜为 </w:t>
      </w:r>
      <w:r>
        <w:rPr>
          <w:rFonts w:ascii="Arial" w:eastAsia="Arial"/>
          <w:spacing w:val="-3"/>
          <w:sz w:val="31"/>
        </w:rPr>
        <w:t>5mm</w:t>
      </w:r>
      <w:r>
        <w:rPr>
          <w:spacing w:val="-3"/>
          <w:sz w:val="31"/>
        </w:rPr>
        <w:t>～</w:t>
      </w:r>
      <w:r>
        <w:rPr>
          <w:rFonts w:ascii="Arial" w:eastAsia="Arial"/>
          <w:spacing w:val="-3"/>
          <w:sz w:val="31"/>
        </w:rPr>
        <w:t>8mm</w:t>
      </w:r>
      <w:r>
        <w:rPr>
          <w:sz w:val="31"/>
        </w:rPr>
        <w:t xml:space="preserve">；再用约 </w:t>
      </w:r>
      <w:r>
        <w:rPr>
          <w:rFonts w:ascii="Arial" w:eastAsia="Arial"/>
          <w:sz w:val="31"/>
        </w:rPr>
        <w:t>10mm</w:t>
      </w:r>
      <w:r>
        <w:rPr>
          <w:rFonts w:ascii="Arial" w:eastAsia="Arial"/>
          <w:spacing w:val="68"/>
          <w:sz w:val="31"/>
        </w:rPr>
        <w:t xml:space="preserve"> </w:t>
      </w:r>
      <w:r>
        <w:rPr>
          <w:sz w:val="31"/>
        </w:rPr>
        <w:t>厚抹灰砂浆找平。</w:t>
      </w:r>
    </w:p>
    <w:p>
      <w:pPr>
        <w:pStyle w:val="ListParagraph"/>
        <w:numPr>
          <w:ilvl w:val="1"/>
          <w:numId w:val="7"/>
        </w:numPr>
        <w:tabs>
          <w:tab w:val="left" w:pos="3389"/>
        </w:tabs>
        <w:spacing w:before="0" w:after="0" w:line="381" w:lineRule="auto"/>
        <w:ind w:left="2441" w:right="2260" w:firstLine="633"/>
        <w:jc w:val="left"/>
        <w:rPr>
          <w:sz w:val="31"/>
        </w:rPr>
      </w:pPr>
      <w:r>
        <w:rPr>
          <w:spacing w:val="-15"/>
          <w:sz w:val="31"/>
        </w:rPr>
        <w:t xml:space="preserve">薄层抹灰时，在墙体基层表面粉刷防水型界面剂，厚度不宜大于 </w:t>
      </w:r>
      <w:r>
        <w:rPr>
          <w:rFonts w:ascii="Arial" w:eastAsia="Arial"/>
          <w:spacing w:val="-25"/>
          <w:sz w:val="31"/>
        </w:rPr>
        <w:t>3mm</w:t>
      </w:r>
      <w:r>
        <w:rPr>
          <w:spacing w:val="-7"/>
          <w:sz w:val="31"/>
        </w:rPr>
        <w:t xml:space="preserve">；待界面剂干固后， </w:t>
      </w:r>
      <w:r>
        <w:rPr>
          <w:spacing w:val="-2"/>
          <w:sz w:val="31"/>
        </w:rPr>
        <w:t xml:space="preserve">再粉刷专用抹灰砂浆，厚度不宜大于 </w:t>
      </w:r>
      <w:r>
        <w:rPr>
          <w:rFonts w:ascii="Arial" w:eastAsia="Arial"/>
          <w:spacing w:val="-4"/>
          <w:sz w:val="31"/>
        </w:rPr>
        <w:t>5mm</w:t>
      </w:r>
      <w:r>
        <w:rPr>
          <w:sz w:val="31"/>
        </w:rPr>
        <w:t>。</w:t>
      </w:r>
    </w:p>
    <w:p>
      <w:pPr>
        <w:pStyle w:val="ListParagraph"/>
        <w:numPr>
          <w:ilvl w:val="0"/>
          <w:numId w:val="7"/>
        </w:numPr>
        <w:tabs>
          <w:tab w:val="left" w:pos="3393"/>
        </w:tabs>
        <w:spacing w:before="0" w:after="0" w:line="394" w:lineRule="exact"/>
        <w:ind w:left="3392" w:right="0" w:hanging="793"/>
        <w:jc w:val="left"/>
        <w:rPr>
          <w:sz w:val="31"/>
        </w:rPr>
      </w:pPr>
      <w:r>
        <w:rPr>
          <w:sz w:val="31"/>
        </w:rPr>
        <w:t>用于外墙的抹灰砂浆宜掺加纤维等抗裂材料。</w:t>
      </w:r>
    </w:p>
    <w:p>
      <w:pPr>
        <w:pStyle w:val="ListParagraph"/>
        <w:numPr>
          <w:ilvl w:val="0"/>
          <w:numId w:val="7"/>
        </w:numPr>
        <w:tabs>
          <w:tab w:val="left" w:pos="3393"/>
        </w:tabs>
        <w:spacing w:before="230" w:after="0" w:line="240" w:lineRule="auto"/>
        <w:ind w:left="3392" w:right="0" w:hanging="793"/>
        <w:jc w:val="left"/>
        <w:rPr>
          <w:sz w:val="31"/>
        </w:rPr>
      </w:pPr>
      <w:r>
        <w:rPr>
          <w:sz w:val="31"/>
        </w:rPr>
        <w:t>当要求抹灰层具有防水、防潮功能时，应采用防水砂浆。</w:t>
      </w:r>
    </w:p>
    <w:p>
      <w:pPr>
        <w:pStyle w:val="ListParagraph"/>
        <w:numPr>
          <w:ilvl w:val="0"/>
          <w:numId w:val="7"/>
        </w:numPr>
        <w:tabs>
          <w:tab w:val="left" w:pos="3393"/>
        </w:tabs>
        <w:spacing w:before="233" w:after="0" w:line="240" w:lineRule="auto"/>
        <w:ind w:left="3392" w:right="0" w:hanging="793"/>
        <w:jc w:val="left"/>
        <w:rPr>
          <w:sz w:val="31"/>
        </w:rPr>
      </w:pPr>
      <w:r>
        <w:rPr>
          <w:spacing w:val="-2"/>
          <w:sz w:val="31"/>
        </w:rPr>
        <w:t xml:space="preserve">有排水要求的部位应做滴水或泛水。滴水槽的宽度和深度均不应小于 </w:t>
      </w:r>
      <w:r>
        <w:rPr>
          <w:rFonts w:ascii="Arial" w:eastAsia="Arial"/>
          <w:sz w:val="31"/>
        </w:rPr>
        <w:t>10mm</w:t>
      </w:r>
      <w:r>
        <w:rPr>
          <w:sz w:val="31"/>
        </w:rPr>
        <w:t>。</w:t>
      </w:r>
    </w:p>
    <w:p>
      <w:pPr>
        <w:spacing w:after="0" w:line="240" w:lineRule="auto"/>
        <w:jc w:val="left"/>
        <w:rPr>
          <w:sz w:val="31"/>
        </w:rPr>
      </w:pPr>
      <w:r>
        <w:rPr>
          <w:sz w:val="31"/>
        </w:rPr>
        <w:br/>
      </w:r>
      <w:r>
        <w:rPr>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4" w:history="1">
        <w:r>
          <w:rPr>
            <w:rFonts w:ascii="SimSun" w:eastAsia="SimSun" w:hAnsi="SimSun" w:cs="SimSun"/>
            <w:b/>
            <w:bCs/>
            <w:color w:val="0000EE"/>
            <w:sz w:val="30"/>
            <w:szCs w:val="30"/>
            <w:u w:val="single" w:color="0000EE"/>
          </w:rPr>
          <w:t>https://d.book118.com/696135140125010033</w:t>
        </w:r>
      </w:hyperlink>
    </w:p>
    <w:p>
      <w:pPr>
        <w:spacing w:after="0" w:line="240" w:lineRule="auto"/>
        <w:jc w:val="left"/>
        <w:rPr>
          <w:sz w:val="31"/>
        </w:rPr>
      </w:pPr>
    </w:p>
    <w:sectPr>
      <w:headerReference w:type="default" r:id="rId25"/>
      <w:footerReference w:type="default" r:id="rId26"/>
      <w:pgSz w:w="17860" w:h="25260"/>
      <w:pgMar w:top="1360" w:right="0" w:bottom="2060" w:left="0" w:header="1084" w:footer="1838"/>
      <w:pgNumType w:start="1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Bookman Old Style">
    <w:altName w:val="Bookman Old Style"/>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120.1pt;height:18.25pt;margin-top:1158.66pt;margin-left:388.05pt;mso-position-horizontal-relative:page;mso-position-vertical-relative:page;position:absolute;z-index:-251658240"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2</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120.1pt;height:18.25pt;margin-top:1158.66pt;margin-left:388.05pt;mso-position-horizontal-relative:page;mso-position-vertical-relative:page;position:absolute;z-index:-251657216"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3</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120.1pt;height:18.25pt;margin-top:1158.66pt;margin-left:388.05pt;mso-position-horizontal-relative:page;mso-position-vertical-relative:page;position:absolute;z-index:-251656192"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4</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0" type="#_x0000_t202" style="width:120.1pt;height:18.25pt;margin-top:1158.66pt;margin-left:388.05pt;mso-position-horizontal-relative:page;mso-position-vertical-relative:page;position:absolute;z-index:-251655168"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5</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3" type="#_x0000_t202" style="width:120.1pt;height:18.25pt;margin-top:1158.66pt;margin-left:388.05pt;mso-position-horizontal-relative:page;mso-position-vertical-relative:page;position:absolute;z-index:-251654144"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6</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6" type="#_x0000_t202" style="width:120.1pt;height:18.25pt;margin-top:1158.66pt;margin-left:388.05pt;mso-position-horizontal-relative:page;mso-position-vertical-relative:page;position:absolute;z-index:-251653120"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7</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9" type="#_x0000_t202" style="width:120.1pt;height:18.25pt;margin-top:1158.66pt;margin-left:388.05pt;mso-position-horizontal-relative:page;mso-position-vertical-relative:page;position:absolute;z-index:-251652096"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8</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2" type="#_x0000_t202" style="width:120.1pt;height:18.25pt;margin-top:1158.66pt;margin-left:388.05pt;mso-position-horizontal-relative:page;mso-position-vertical-relative:page;position:absolute;z-index:-251651072"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9</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5" type="#_x0000_t202" style="width:120.1pt;height:18.25pt;margin-top:1158.66pt;margin-left:388.05pt;mso-position-horizontal-relative:page;mso-position-vertical-relative:page;position:absolute;z-index:-251650048" filled="f" stroked="f">
          <v:textbox inset="0,0,0,0">
            <w:txbxContent>
              <w:p>
                <w:pPr>
                  <w:spacing w:before="15"/>
                  <w:ind w:left="20" w:right="0" w:firstLine="0"/>
                  <w:jc w:val="left"/>
                  <w:rPr>
                    <w:sz w:val="27"/>
                  </w:rPr>
                </w:pPr>
                <w:r>
                  <w:rPr>
                    <w:sz w:val="27"/>
                  </w:rPr>
                  <w:t xml:space="preserve">第 </w:t>
                </w:r>
                <w:r>
                  <w:fldChar w:fldCharType="begin"/>
                </w:r>
                <w:r>
                  <w:rPr>
                    <w:rFonts w:ascii="Arial" w:eastAsia="Arial"/>
                    <w:sz w:val="27"/>
                  </w:rPr>
                  <w:instrText xml:space="preserve"> PAGE </w:instrText>
                </w:r>
                <w:r>
                  <w:fldChar w:fldCharType="separate"/>
                </w:r>
                <w:r>
                  <w:rPr>
                    <w:rFonts w:ascii="Arial" w:eastAsia="Arial"/>
                    <w:sz w:val="27"/>
                  </w:rPr>
                  <w:t>11</w:t>
                </w:r>
                <w:r>
                  <w:fldChar w:fldCharType="end"/>
                </w:r>
                <w:r>
                  <w:rPr>
                    <w:rFonts w:ascii="Arial" w:eastAsia="Arial"/>
                    <w:sz w:val="27"/>
                  </w:rPr>
                  <w:t xml:space="preserve"> </w:t>
                </w:r>
                <w:r>
                  <w:rPr>
                    <w:sz w:val="27"/>
                  </w:rPr>
                  <w:t xml:space="preserve">页 共 </w:t>
                </w:r>
                <w:r>
                  <w:rPr>
                    <w:rFonts w:ascii="Arial" w:eastAsia="Arial"/>
                    <w:sz w:val="27"/>
                  </w:rPr>
                  <w:t xml:space="preserve">20 </w:t>
                </w:r>
                <w:r>
                  <w:rPr>
                    <w:sz w:val="27"/>
                  </w:rPr>
                  <w:t>页</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58240"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83pt;height:15.5pt;margin-top:53.2pt;margin-left:121.08pt;mso-position-horizontal-relative:page;mso-position-vertical-relative:page;position:absolute;z-index:-251657216"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50" type="#_x0000_t202" style="width:191pt;height:15.5pt;margin-top:53.2pt;margin-left:553.51pt;mso-position-horizontal-relative:page;mso-position-vertical-relative:page;position:absolute;z-index:-251656192"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61312"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17790204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20449"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2" type="#_x0000_t202" style="width:83pt;height:15.5pt;margin-top:53.2pt;margin-left:121.08pt;mso-position-horizontal-relative:page;mso-position-vertical-relative:page;position:absolute;z-index:-251654144"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53" type="#_x0000_t202" style="width:191pt;height:15.5pt;margin-top:53.2pt;margin-left:553.51pt;mso-position-horizontal-relative:page;mso-position-vertical-relative:page;position:absolute;z-index:-251653120"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64384"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9635091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09143"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83pt;height:15.5pt;margin-top:53.2pt;margin-left:121.08pt;mso-position-horizontal-relative:page;mso-position-vertical-relative:page;position:absolute;z-index:-251651072"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56" type="#_x0000_t202" style="width:191pt;height:15.5pt;margin-top:53.2pt;margin-left:553.51pt;mso-position-horizontal-relative:page;mso-position-vertical-relative:page;position:absolute;z-index:-251650048"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67456"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5011134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13454"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8" type="#_x0000_t202" style="width:83pt;height:15.5pt;margin-top:53.2pt;margin-left:121.08pt;mso-position-horizontal-relative:page;mso-position-vertical-relative:page;position:absolute;z-index:-251648000"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59" type="#_x0000_t202" style="width:191pt;height:15.5pt;margin-top:53.2pt;margin-left:553.51pt;mso-position-horizontal-relative:page;mso-position-vertical-relative:page;position:absolute;z-index:-251646976"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70528"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10984413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41350"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83pt;height:15.5pt;margin-top:53.2pt;margin-left:121.08pt;mso-position-horizontal-relative:page;mso-position-vertical-relative:page;position:absolute;z-index:-251644928"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62" type="#_x0000_t202" style="width:191pt;height:15.5pt;margin-top:53.2pt;margin-left:553.51pt;mso-position-horizontal-relative:page;mso-position-vertical-relative:page;position:absolute;z-index:-251643904"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73600"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16314433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43308"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83pt;height:15.5pt;margin-top:53.2pt;margin-left:121.08pt;mso-position-horizontal-relative:page;mso-position-vertical-relative:page;position:absolute;z-index:-251641856"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65" type="#_x0000_t202" style="width:191pt;height:15.5pt;margin-top:53.2pt;margin-left:553.51pt;mso-position-horizontal-relative:page;mso-position-vertical-relative:page;position:absolute;z-index:-251640832"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76672"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7399139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13946"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83pt;height:15.5pt;margin-top:53.2pt;margin-left:121.08pt;mso-position-horizontal-relative:page;mso-position-vertical-relative:page;position:absolute;z-index:-251638784"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68" type="#_x0000_t202" style="width:191pt;height:15.5pt;margin-top:53.2pt;margin-left:553.51pt;mso-position-horizontal-relative:page;mso-position-vertical-relative:page;position:absolute;z-index:-251637760"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79744"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15799393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39328"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width:83pt;height:15.5pt;margin-top:53.2pt;margin-left:121.08pt;mso-position-horizontal-relative:page;mso-position-vertical-relative:page;position:absolute;z-index:-251635712"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71" type="#_x0000_t202" style="width:191pt;height:15.5pt;margin-top:53.2pt;margin-left:553.51pt;mso-position-horizontal-relative:page;mso-position-vertical-relative:page;position:absolute;z-index:-251634688"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drawing>
        <wp:anchor distT="0" distB="0" distL="0" distR="0" simplePos="0" relativeHeight="251682816" behindDoc="1" locked="0" layoutInCell="1" allowOverlap="1">
          <wp:simplePos x="0" y="0"/>
          <wp:positionH relativeFrom="page">
            <wp:posOffset>1549400</wp:posOffset>
          </wp:positionH>
          <wp:positionV relativeFrom="page">
            <wp:posOffset>831088</wp:posOffset>
          </wp:positionV>
          <wp:extent cx="7912100" cy="38100"/>
          <wp:effectExtent l="0" t="0" r="0" b="0"/>
          <wp:wrapNone/>
          <wp:docPr id="18879269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26944" name="image1.png"/>
                  <pic:cNvPicPr/>
                </pic:nvPicPr>
                <pic:blipFill>
                  <a:blip xmlns:r="http://schemas.openxmlformats.org/officeDocument/2006/relationships" r:embed="rId1" cstate="print"/>
                  <a:stretch>
                    <a:fillRect/>
                  </a:stretch>
                </pic:blipFill>
                <pic:spPr>
                  <a:xfrm>
                    <a:off x="0" y="0"/>
                    <a:ext cx="79121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83pt;height:15.5pt;margin-top:53.2pt;margin-left:121.08pt;mso-position-horizontal-relative:page;mso-position-vertical-relative:page;position:absolute;z-index:-251632640" filled="f" stroked="f">
          <v:textbox inset="0,0,0,0">
            <w:txbxContent>
              <w:p>
                <w:pPr>
                  <w:spacing w:before="0" w:line="310" w:lineRule="exact"/>
                  <w:ind w:left="20" w:right="0" w:firstLine="0"/>
                  <w:jc w:val="left"/>
                  <w:rPr>
                    <w:sz w:val="27"/>
                  </w:rPr>
                </w:pPr>
                <w:r>
                  <w:rPr>
                    <w:sz w:val="27"/>
                  </w:rPr>
                  <w:t>国贸商务中心</w:t>
                </w:r>
              </w:p>
            </w:txbxContent>
          </v:textbox>
        </v:shape>
      </w:pict>
    </w:r>
    <w:r>
      <w:pict>
        <v:shape id="_x0000_s2074" type="#_x0000_t202" style="width:191pt;height:15.5pt;margin-top:53.2pt;margin-left:553.51pt;mso-position-horizontal-relative:page;mso-position-vertical-relative:page;position:absolute;z-index:-251631616" filled="f" stroked="f">
          <v:textbox inset="0,0,0,0">
            <w:txbxContent>
              <w:p>
                <w:pPr>
                  <w:spacing w:before="0" w:line="310" w:lineRule="exact"/>
                  <w:ind w:left="20" w:right="0" w:firstLine="0"/>
                  <w:jc w:val="left"/>
                  <w:rPr>
                    <w:sz w:val="27"/>
                  </w:rPr>
                </w:pPr>
                <w:r>
                  <w:rPr>
                    <w:sz w:val="27"/>
                  </w:rPr>
                  <w:t>加气混凝土砌体与抹灰专项方案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85369"/>
    <w:multiLevelType w:val="hybridMultilevel"/>
    <w:tmpl w:val="00000000"/>
    <w:lvl w:ilvl="0">
      <w:start w:val="1"/>
      <w:numFmt w:val="decimal"/>
      <w:lvlText w:val="%1"/>
      <w:lvlJc w:val="left"/>
      <w:pPr>
        <w:ind w:left="3625" w:hanging="238"/>
        <w:jc w:val="left"/>
      </w:pPr>
      <w:rPr>
        <w:rFonts w:ascii="Arial" w:eastAsia="Arial" w:hAnsi="Arial" w:cs="Arial" w:hint="default"/>
        <w:w w:val="91"/>
        <w:sz w:val="31"/>
        <w:szCs w:val="31"/>
      </w:rPr>
    </w:lvl>
    <w:lvl w:ilvl="1">
      <w:start w:val="0"/>
      <w:numFmt w:val="bullet"/>
      <w:lvlText w:val="•"/>
      <w:lvlJc w:val="left"/>
      <w:pPr>
        <w:ind w:left="5043" w:hanging="238"/>
      </w:pPr>
      <w:rPr>
        <w:rFonts w:hint="default"/>
      </w:rPr>
    </w:lvl>
    <w:lvl w:ilvl="2">
      <w:start w:val="0"/>
      <w:numFmt w:val="bullet"/>
      <w:lvlText w:val="•"/>
      <w:lvlJc w:val="left"/>
      <w:pPr>
        <w:ind w:left="6467" w:hanging="238"/>
      </w:pPr>
      <w:rPr>
        <w:rFonts w:hint="default"/>
      </w:rPr>
    </w:lvl>
    <w:lvl w:ilvl="3">
      <w:start w:val="0"/>
      <w:numFmt w:val="bullet"/>
      <w:lvlText w:val="•"/>
      <w:lvlJc w:val="left"/>
      <w:pPr>
        <w:ind w:left="7891" w:hanging="238"/>
      </w:pPr>
      <w:rPr>
        <w:rFonts w:hint="default"/>
      </w:rPr>
    </w:lvl>
    <w:lvl w:ilvl="4">
      <w:start w:val="0"/>
      <w:numFmt w:val="bullet"/>
      <w:lvlText w:val="•"/>
      <w:lvlJc w:val="left"/>
      <w:pPr>
        <w:ind w:left="9315" w:hanging="238"/>
      </w:pPr>
      <w:rPr>
        <w:rFonts w:hint="default"/>
      </w:rPr>
    </w:lvl>
    <w:lvl w:ilvl="5">
      <w:start w:val="0"/>
      <w:numFmt w:val="bullet"/>
      <w:lvlText w:val="•"/>
      <w:lvlJc w:val="left"/>
      <w:pPr>
        <w:ind w:left="10739" w:hanging="238"/>
      </w:pPr>
      <w:rPr>
        <w:rFonts w:hint="default"/>
      </w:rPr>
    </w:lvl>
    <w:lvl w:ilvl="6">
      <w:start w:val="0"/>
      <w:numFmt w:val="bullet"/>
      <w:lvlText w:val="•"/>
      <w:lvlJc w:val="left"/>
      <w:pPr>
        <w:ind w:left="12163" w:hanging="238"/>
      </w:pPr>
      <w:rPr>
        <w:rFonts w:hint="default"/>
      </w:rPr>
    </w:lvl>
    <w:lvl w:ilvl="7">
      <w:start w:val="0"/>
      <w:numFmt w:val="bullet"/>
      <w:lvlText w:val="•"/>
      <w:lvlJc w:val="left"/>
      <w:pPr>
        <w:ind w:left="13587" w:hanging="238"/>
      </w:pPr>
      <w:rPr>
        <w:rFonts w:hint="default"/>
      </w:rPr>
    </w:lvl>
    <w:lvl w:ilvl="8">
      <w:start w:val="0"/>
      <w:numFmt w:val="bullet"/>
      <w:lvlText w:val="•"/>
      <w:lvlJc w:val="left"/>
      <w:pPr>
        <w:ind w:left="15011" w:hanging="238"/>
      </w:pPr>
      <w:rPr>
        <w:rFonts w:hint="default"/>
      </w:rPr>
    </w:lvl>
  </w:abstractNum>
  <w:abstractNum w:abstractNumId="1">
    <w:nsid w:val="09502B5D"/>
    <w:multiLevelType w:val="hybridMultilevel"/>
    <w:tmpl w:val="00000000"/>
    <w:lvl w:ilvl="0">
      <w:start w:val="1"/>
      <w:numFmt w:val="decimal"/>
      <w:lvlText w:val="%1"/>
      <w:lvlJc w:val="left"/>
      <w:pPr>
        <w:ind w:left="3388" w:hanging="314"/>
        <w:jc w:val="left"/>
      </w:pPr>
      <w:rPr>
        <w:rFonts w:ascii="Arial" w:eastAsia="Arial" w:hAnsi="Arial" w:cs="Arial" w:hint="default"/>
        <w:w w:val="91"/>
        <w:sz w:val="31"/>
        <w:szCs w:val="31"/>
      </w:rPr>
    </w:lvl>
    <w:lvl w:ilvl="1">
      <w:start w:val="0"/>
      <w:numFmt w:val="bullet"/>
      <w:lvlText w:val="•"/>
      <w:lvlJc w:val="left"/>
      <w:pPr>
        <w:ind w:left="4827" w:hanging="314"/>
      </w:pPr>
      <w:rPr>
        <w:rFonts w:hint="default"/>
      </w:rPr>
    </w:lvl>
    <w:lvl w:ilvl="2">
      <w:start w:val="0"/>
      <w:numFmt w:val="bullet"/>
      <w:lvlText w:val="•"/>
      <w:lvlJc w:val="left"/>
      <w:pPr>
        <w:ind w:left="6275" w:hanging="314"/>
      </w:pPr>
      <w:rPr>
        <w:rFonts w:hint="default"/>
      </w:rPr>
    </w:lvl>
    <w:lvl w:ilvl="3">
      <w:start w:val="0"/>
      <w:numFmt w:val="bullet"/>
      <w:lvlText w:val="•"/>
      <w:lvlJc w:val="left"/>
      <w:pPr>
        <w:ind w:left="7723" w:hanging="314"/>
      </w:pPr>
      <w:rPr>
        <w:rFonts w:hint="default"/>
      </w:rPr>
    </w:lvl>
    <w:lvl w:ilvl="4">
      <w:start w:val="0"/>
      <w:numFmt w:val="bullet"/>
      <w:lvlText w:val="•"/>
      <w:lvlJc w:val="left"/>
      <w:pPr>
        <w:ind w:left="9171" w:hanging="314"/>
      </w:pPr>
      <w:rPr>
        <w:rFonts w:hint="default"/>
      </w:rPr>
    </w:lvl>
    <w:lvl w:ilvl="5">
      <w:start w:val="0"/>
      <w:numFmt w:val="bullet"/>
      <w:lvlText w:val="•"/>
      <w:lvlJc w:val="left"/>
      <w:pPr>
        <w:ind w:left="10619" w:hanging="314"/>
      </w:pPr>
      <w:rPr>
        <w:rFonts w:hint="default"/>
      </w:rPr>
    </w:lvl>
    <w:lvl w:ilvl="6">
      <w:start w:val="0"/>
      <w:numFmt w:val="bullet"/>
      <w:lvlText w:val="•"/>
      <w:lvlJc w:val="left"/>
      <w:pPr>
        <w:ind w:left="12067" w:hanging="314"/>
      </w:pPr>
      <w:rPr>
        <w:rFonts w:hint="default"/>
      </w:rPr>
    </w:lvl>
    <w:lvl w:ilvl="7">
      <w:start w:val="0"/>
      <w:numFmt w:val="bullet"/>
      <w:lvlText w:val="•"/>
      <w:lvlJc w:val="left"/>
      <w:pPr>
        <w:ind w:left="13515" w:hanging="314"/>
      </w:pPr>
      <w:rPr>
        <w:rFonts w:hint="default"/>
      </w:rPr>
    </w:lvl>
    <w:lvl w:ilvl="8">
      <w:start w:val="0"/>
      <w:numFmt w:val="bullet"/>
      <w:lvlText w:val="•"/>
      <w:lvlJc w:val="left"/>
      <w:pPr>
        <w:ind w:left="14963" w:hanging="314"/>
      </w:pPr>
      <w:rPr>
        <w:rFonts w:hint="default"/>
      </w:rPr>
    </w:lvl>
  </w:abstractNum>
  <w:abstractNum w:abstractNumId="2">
    <w:nsid w:val="1796D7B0"/>
    <w:multiLevelType w:val="hybridMultilevel"/>
    <w:tmpl w:val="00000000"/>
    <w:lvl w:ilvl="0">
      <w:start w:val="1"/>
      <w:numFmt w:val="decimal"/>
      <w:lvlText w:val="%1"/>
      <w:lvlJc w:val="left"/>
      <w:pPr>
        <w:ind w:left="3705" w:hanging="317"/>
        <w:jc w:val="left"/>
      </w:pPr>
      <w:rPr>
        <w:rFonts w:ascii="Arial" w:eastAsia="Arial" w:hAnsi="Arial" w:cs="Arial" w:hint="default"/>
        <w:w w:val="91"/>
        <w:sz w:val="31"/>
        <w:szCs w:val="31"/>
      </w:rPr>
    </w:lvl>
    <w:lvl w:ilvl="1">
      <w:start w:val="0"/>
      <w:numFmt w:val="bullet"/>
      <w:lvlText w:val="•"/>
      <w:lvlJc w:val="left"/>
      <w:pPr>
        <w:ind w:left="5115" w:hanging="317"/>
      </w:pPr>
      <w:rPr>
        <w:rFonts w:hint="default"/>
      </w:rPr>
    </w:lvl>
    <w:lvl w:ilvl="2">
      <w:start w:val="0"/>
      <w:numFmt w:val="bullet"/>
      <w:lvlText w:val="•"/>
      <w:lvlJc w:val="left"/>
      <w:pPr>
        <w:ind w:left="6531" w:hanging="317"/>
      </w:pPr>
      <w:rPr>
        <w:rFonts w:hint="default"/>
      </w:rPr>
    </w:lvl>
    <w:lvl w:ilvl="3">
      <w:start w:val="0"/>
      <w:numFmt w:val="bullet"/>
      <w:lvlText w:val="•"/>
      <w:lvlJc w:val="left"/>
      <w:pPr>
        <w:ind w:left="7947" w:hanging="317"/>
      </w:pPr>
      <w:rPr>
        <w:rFonts w:hint="default"/>
      </w:rPr>
    </w:lvl>
    <w:lvl w:ilvl="4">
      <w:start w:val="0"/>
      <w:numFmt w:val="bullet"/>
      <w:lvlText w:val="•"/>
      <w:lvlJc w:val="left"/>
      <w:pPr>
        <w:ind w:left="9363" w:hanging="317"/>
      </w:pPr>
      <w:rPr>
        <w:rFonts w:hint="default"/>
      </w:rPr>
    </w:lvl>
    <w:lvl w:ilvl="5">
      <w:start w:val="0"/>
      <w:numFmt w:val="bullet"/>
      <w:lvlText w:val="•"/>
      <w:lvlJc w:val="left"/>
      <w:pPr>
        <w:ind w:left="10779" w:hanging="317"/>
      </w:pPr>
      <w:rPr>
        <w:rFonts w:hint="default"/>
      </w:rPr>
    </w:lvl>
    <w:lvl w:ilvl="6">
      <w:start w:val="0"/>
      <w:numFmt w:val="bullet"/>
      <w:lvlText w:val="•"/>
      <w:lvlJc w:val="left"/>
      <w:pPr>
        <w:ind w:left="12195" w:hanging="317"/>
      </w:pPr>
      <w:rPr>
        <w:rFonts w:hint="default"/>
      </w:rPr>
    </w:lvl>
    <w:lvl w:ilvl="7">
      <w:start w:val="0"/>
      <w:numFmt w:val="bullet"/>
      <w:lvlText w:val="•"/>
      <w:lvlJc w:val="left"/>
      <w:pPr>
        <w:ind w:left="13611" w:hanging="317"/>
      </w:pPr>
      <w:rPr>
        <w:rFonts w:hint="default"/>
      </w:rPr>
    </w:lvl>
    <w:lvl w:ilvl="8">
      <w:start w:val="0"/>
      <w:numFmt w:val="bullet"/>
      <w:lvlText w:val="•"/>
      <w:lvlJc w:val="left"/>
      <w:pPr>
        <w:ind w:left="15027" w:hanging="317"/>
      </w:pPr>
      <w:rPr>
        <w:rFonts w:hint="default"/>
      </w:rPr>
    </w:lvl>
  </w:abstractNum>
  <w:abstractNum w:abstractNumId="3">
    <w:nsid w:val="1AA220E9"/>
    <w:multiLevelType w:val="hybridMultilevel"/>
    <w:tmpl w:val="00000000"/>
    <w:lvl w:ilvl="0">
      <w:start w:val="1"/>
      <w:numFmt w:val="decimal"/>
      <w:lvlText w:val="%1."/>
      <w:lvlJc w:val="left"/>
      <w:pPr>
        <w:ind w:left="3165" w:hanging="724"/>
        <w:jc w:val="right"/>
      </w:pPr>
      <w:rPr>
        <w:rFonts w:hint="default"/>
        <w:b/>
        <w:bCs/>
        <w:w w:val="89"/>
      </w:rPr>
    </w:lvl>
    <w:lvl w:ilvl="1">
      <w:start w:val="1"/>
      <w:numFmt w:val="decimal"/>
      <w:lvlText w:val="%1.%2"/>
      <w:lvlJc w:val="left"/>
      <w:pPr>
        <w:ind w:left="3280" w:hanging="540"/>
        <w:jc w:val="left"/>
      </w:pPr>
      <w:rPr>
        <w:rFonts w:hint="default"/>
        <w:b/>
        <w:bCs/>
        <w:w w:val="89"/>
      </w:rPr>
    </w:lvl>
    <w:lvl w:ilvl="2">
      <w:start w:val="1"/>
      <w:numFmt w:val="decimal"/>
      <w:lvlText w:val="%1.%2.%3"/>
      <w:lvlJc w:val="left"/>
      <w:pPr>
        <w:ind w:left="3641" w:hanging="540"/>
        <w:jc w:val="left"/>
      </w:pPr>
      <w:rPr>
        <w:rFonts w:hint="default"/>
        <w:b/>
        <w:bCs/>
        <w:spacing w:val="-91"/>
        <w:w w:val="99"/>
      </w:rPr>
    </w:lvl>
    <w:lvl w:ilvl="3">
      <w:start w:val="1"/>
      <w:numFmt w:val="decimal"/>
      <w:lvlText w:val="(%4)"/>
      <w:lvlJc w:val="left"/>
      <w:pPr>
        <w:ind w:left="2441" w:hanging="540"/>
        <w:jc w:val="left"/>
      </w:pPr>
      <w:rPr>
        <w:rFonts w:ascii="Arial" w:eastAsia="Arial" w:hAnsi="Arial" w:cs="Arial" w:hint="default"/>
        <w:spacing w:val="-3"/>
        <w:w w:val="97"/>
        <w:sz w:val="29"/>
        <w:szCs w:val="29"/>
      </w:rPr>
    </w:lvl>
    <w:lvl w:ilvl="4">
      <w:start w:val="1"/>
      <w:numFmt w:val="decimal"/>
      <w:lvlText w:val="%5"/>
      <w:lvlJc w:val="left"/>
      <w:pPr>
        <w:ind w:left="3939" w:hanging="540"/>
        <w:jc w:val="left"/>
      </w:pPr>
      <w:rPr>
        <w:rFonts w:ascii="Arial" w:eastAsia="Arial" w:hAnsi="Arial" w:cs="Arial" w:hint="default"/>
        <w:w w:val="91"/>
        <w:sz w:val="31"/>
        <w:szCs w:val="31"/>
      </w:rPr>
    </w:lvl>
    <w:lvl w:ilvl="5">
      <w:start w:val="0"/>
      <w:numFmt w:val="bullet"/>
      <w:lvlText w:val="•"/>
      <w:lvlJc w:val="left"/>
      <w:pPr>
        <w:ind w:left="3260" w:hanging="540"/>
      </w:pPr>
      <w:rPr>
        <w:rFonts w:hint="default"/>
      </w:rPr>
    </w:lvl>
    <w:lvl w:ilvl="6">
      <w:start w:val="0"/>
      <w:numFmt w:val="bullet"/>
      <w:lvlText w:val="•"/>
      <w:lvlJc w:val="left"/>
      <w:pPr>
        <w:ind w:left="3280" w:hanging="540"/>
      </w:pPr>
      <w:rPr>
        <w:rFonts w:hint="default"/>
      </w:rPr>
    </w:lvl>
    <w:lvl w:ilvl="7">
      <w:start w:val="0"/>
      <w:numFmt w:val="bullet"/>
      <w:lvlText w:val="•"/>
      <w:lvlJc w:val="left"/>
      <w:pPr>
        <w:ind w:left="3560" w:hanging="540"/>
      </w:pPr>
      <w:rPr>
        <w:rFonts w:hint="default"/>
      </w:rPr>
    </w:lvl>
    <w:lvl w:ilvl="8">
      <w:start w:val="0"/>
      <w:numFmt w:val="bullet"/>
      <w:lvlText w:val="•"/>
      <w:lvlJc w:val="left"/>
      <w:pPr>
        <w:ind w:left="3640" w:hanging="540"/>
      </w:pPr>
      <w:rPr>
        <w:rFonts w:hint="default"/>
      </w:rPr>
    </w:lvl>
  </w:abstractNum>
  <w:abstractNum w:abstractNumId="4">
    <w:nsid w:val="26354E44"/>
    <w:multiLevelType w:val="hybridMultilevel"/>
    <w:tmpl w:val="00000000"/>
    <w:lvl w:ilvl="0">
      <w:start w:val="7"/>
      <w:numFmt w:val="decimal"/>
      <w:lvlText w:val="%1"/>
      <w:lvlJc w:val="left"/>
      <w:pPr>
        <w:ind w:left="3691" w:hanging="952"/>
        <w:jc w:val="left"/>
      </w:pPr>
      <w:rPr>
        <w:rFonts w:hint="default"/>
      </w:rPr>
    </w:lvl>
    <w:lvl w:ilvl="1">
      <w:start w:val="3"/>
      <w:numFmt w:val="decimal"/>
      <w:lvlText w:val="%1.%2"/>
      <w:lvlJc w:val="left"/>
      <w:pPr>
        <w:ind w:left="3691" w:hanging="952"/>
        <w:jc w:val="left"/>
      </w:pPr>
      <w:rPr>
        <w:rFonts w:hint="default"/>
      </w:rPr>
    </w:lvl>
    <w:lvl w:ilvl="2">
      <w:start w:val="1"/>
      <w:numFmt w:val="decimal"/>
      <w:lvlText w:val="%1.%2.%3."/>
      <w:lvlJc w:val="left"/>
      <w:pPr>
        <w:ind w:left="3691" w:hanging="952"/>
        <w:jc w:val="left"/>
      </w:pPr>
      <w:rPr>
        <w:rFonts w:ascii="幼圆" w:eastAsia="幼圆" w:hAnsi="幼圆" w:cs="幼圆" w:hint="default"/>
        <w:spacing w:val="-4"/>
        <w:w w:val="102"/>
        <w:sz w:val="29"/>
        <w:szCs w:val="29"/>
      </w:rPr>
    </w:lvl>
    <w:lvl w:ilvl="3">
      <w:start w:val="0"/>
      <w:numFmt w:val="bullet"/>
      <w:lvlText w:val="•"/>
      <w:lvlJc w:val="left"/>
      <w:pPr>
        <w:ind w:left="7947" w:hanging="952"/>
      </w:pPr>
      <w:rPr>
        <w:rFonts w:hint="default"/>
      </w:rPr>
    </w:lvl>
    <w:lvl w:ilvl="4">
      <w:start w:val="0"/>
      <w:numFmt w:val="bullet"/>
      <w:lvlText w:val="•"/>
      <w:lvlJc w:val="left"/>
      <w:pPr>
        <w:ind w:left="9363" w:hanging="952"/>
      </w:pPr>
      <w:rPr>
        <w:rFonts w:hint="default"/>
      </w:rPr>
    </w:lvl>
    <w:lvl w:ilvl="5">
      <w:start w:val="0"/>
      <w:numFmt w:val="bullet"/>
      <w:lvlText w:val="•"/>
      <w:lvlJc w:val="left"/>
      <w:pPr>
        <w:ind w:left="10779" w:hanging="952"/>
      </w:pPr>
      <w:rPr>
        <w:rFonts w:hint="default"/>
      </w:rPr>
    </w:lvl>
    <w:lvl w:ilvl="6">
      <w:start w:val="0"/>
      <w:numFmt w:val="bullet"/>
      <w:lvlText w:val="•"/>
      <w:lvlJc w:val="left"/>
      <w:pPr>
        <w:ind w:left="12195" w:hanging="952"/>
      </w:pPr>
      <w:rPr>
        <w:rFonts w:hint="default"/>
      </w:rPr>
    </w:lvl>
    <w:lvl w:ilvl="7">
      <w:start w:val="0"/>
      <w:numFmt w:val="bullet"/>
      <w:lvlText w:val="•"/>
      <w:lvlJc w:val="left"/>
      <w:pPr>
        <w:ind w:left="13611" w:hanging="952"/>
      </w:pPr>
      <w:rPr>
        <w:rFonts w:hint="default"/>
      </w:rPr>
    </w:lvl>
    <w:lvl w:ilvl="8">
      <w:start w:val="0"/>
      <w:numFmt w:val="bullet"/>
      <w:lvlText w:val="•"/>
      <w:lvlJc w:val="left"/>
      <w:pPr>
        <w:ind w:left="15027" w:hanging="952"/>
      </w:pPr>
      <w:rPr>
        <w:rFonts w:hint="default"/>
      </w:rPr>
    </w:lvl>
  </w:abstractNum>
  <w:abstractNum w:abstractNumId="5">
    <w:nsid w:val="30204EA4"/>
    <w:multiLevelType w:val="hybridMultilevel"/>
    <w:tmpl w:val="00000000"/>
    <w:lvl w:ilvl="0">
      <w:start w:val="1"/>
      <w:numFmt w:val="decimal"/>
      <w:lvlText w:val="（%1）"/>
      <w:lvlJc w:val="left"/>
      <w:pPr>
        <w:ind w:left="3875" w:hanging="804"/>
        <w:jc w:val="left"/>
      </w:pPr>
      <w:rPr>
        <w:rFonts w:ascii="宋体" w:eastAsia="宋体" w:hAnsi="宋体" w:cs="宋体" w:hint="default"/>
        <w:spacing w:val="0"/>
        <w:w w:val="91"/>
        <w:sz w:val="29"/>
        <w:szCs w:val="29"/>
      </w:rPr>
    </w:lvl>
    <w:lvl w:ilvl="1">
      <w:start w:val="0"/>
      <w:numFmt w:val="bullet"/>
      <w:lvlText w:val="•"/>
      <w:lvlJc w:val="left"/>
      <w:pPr>
        <w:ind w:left="5277" w:hanging="804"/>
      </w:pPr>
      <w:rPr>
        <w:rFonts w:hint="default"/>
      </w:rPr>
    </w:lvl>
    <w:lvl w:ilvl="2">
      <w:start w:val="0"/>
      <w:numFmt w:val="bullet"/>
      <w:lvlText w:val="•"/>
      <w:lvlJc w:val="left"/>
      <w:pPr>
        <w:ind w:left="6675" w:hanging="804"/>
      </w:pPr>
      <w:rPr>
        <w:rFonts w:hint="default"/>
      </w:rPr>
    </w:lvl>
    <w:lvl w:ilvl="3">
      <w:start w:val="0"/>
      <w:numFmt w:val="bullet"/>
      <w:lvlText w:val="•"/>
      <w:lvlJc w:val="left"/>
      <w:pPr>
        <w:ind w:left="8073" w:hanging="804"/>
      </w:pPr>
      <w:rPr>
        <w:rFonts w:hint="default"/>
      </w:rPr>
    </w:lvl>
    <w:lvl w:ilvl="4">
      <w:start w:val="0"/>
      <w:numFmt w:val="bullet"/>
      <w:lvlText w:val="•"/>
      <w:lvlJc w:val="left"/>
      <w:pPr>
        <w:ind w:left="9471" w:hanging="804"/>
      </w:pPr>
      <w:rPr>
        <w:rFonts w:hint="default"/>
      </w:rPr>
    </w:lvl>
    <w:lvl w:ilvl="5">
      <w:start w:val="0"/>
      <w:numFmt w:val="bullet"/>
      <w:lvlText w:val="•"/>
      <w:lvlJc w:val="left"/>
      <w:pPr>
        <w:ind w:left="10869" w:hanging="804"/>
      </w:pPr>
      <w:rPr>
        <w:rFonts w:hint="default"/>
      </w:rPr>
    </w:lvl>
    <w:lvl w:ilvl="6">
      <w:start w:val="0"/>
      <w:numFmt w:val="bullet"/>
      <w:lvlText w:val="•"/>
      <w:lvlJc w:val="left"/>
      <w:pPr>
        <w:ind w:left="12267" w:hanging="804"/>
      </w:pPr>
      <w:rPr>
        <w:rFonts w:hint="default"/>
      </w:rPr>
    </w:lvl>
    <w:lvl w:ilvl="7">
      <w:start w:val="0"/>
      <w:numFmt w:val="bullet"/>
      <w:lvlText w:val="•"/>
      <w:lvlJc w:val="left"/>
      <w:pPr>
        <w:ind w:left="13665" w:hanging="804"/>
      </w:pPr>
      <w:rPr>
        <w:rFonts w:hint="default"/>
      </w:rPr>
    </w:lvl>
    <w:lvl w:ilvl="8">
      <w:start w:val="0"/>
      <w:numFmt w:val="bullet"/>
      <w:lvlText w:val="•"/>
      <w:lvlJc w:val="left"/>
      <w:pPr>
        <w:ind w:left="15063" w:hanging="804"/>
      </w:pPr>
      <w:rPr>
        <w:rFonts w:hint="default"/>
      </w:rPr>
    </w:lvl>
  </w:abstractNum>
  <w:abstractNum w:abstractNumId="6">
    <w:nsid w:val="44DCB1DF"/>
    <w:multiLevelType w:val="hybridMultilevel"/>
    <w:tmpl w:val="00000000"/>
    <w:lvl w:ilvl="0">
      <w:start w:val="1"/>
      <w:numFmt w:val="decimal"/>
      <w:lvlText w:val="（%1）"/>
      <w:lvlJc w:val="left"/>
      <w:pPr>
        <w:ind w:left="2441" w:hanging="793"/>
        <w:jc w:val="left"/>
      </w:pPr>
      <w:rPr>
        <w:rFonts w:ascii="宋体" w:eastAsia="宋体" w:hAnsi="宋体" w:cs="宋体" w:hint="default"/>
        <w:spacing w:val="-1"/>
        <w:w w:val="91"/>
        <w:sz w:val="29"/>
        <w:szCs w:val="29"/>
      </w:rPr>
    </w:lvl>
    <w:lvl w:ilvl="1">
      <w:start w:val="1"/>
      <w:numFmt w:val="decimal"/>
      <w:lvlText w:val="%2"/>
      <w:lvlJc w:val="left"/>
      <w:pPr>
        <w:ind w:left="2441" w:hanging="314"/>
        <w:jc w:val="left"/>
      </w:pPr>
      <w:rPr>
        <w:rFonts w:ascii="Arial" w:eastAsia="Arial" w:hAnsi="Arial" w:cs="Arial" w:hint="default"/>
        <w:w w:val="91"/>
        <w:sz w:val="31"/>
        <w:szCs w:val="31"/>
      </w:rPr>
    </w:lvl>
    <w:lvl w:ilvl="2">
      <w:start w:val="0"/>
      <w:numFmt w:val="bullet"/>
      <w:lvlText w:val="•"/>
      <w:lvlJc w:val="left"/>
      <w:pPr>
        <w:ind w:left="5523" w:hanging="314"/>
      </w:pPr>
      <w:rPr>
        <w:rFonts w:hint="default"/>
      </w:rPr>
    </w:lvl>
    <w:lvl w:ilvl="3">
      <w:start w:val="0"/>
      <w:numFmt w:val="bullet"/>
      <w:lvlText w:val="•"/>
      <w:lvlJc w:val="left"/>
      <w:pPr>
        <w:ind w:left="7065" w:hanging="314"/>
      </w:pPr>
      <w:rPr>
        <w:rFonts w:hint="default"/>
      </w:rPr>
    </w:lvl>
    <w:lvl w:ilvl="4">
      <w:start w:val="0"/>
      <w:numFmt w:val="bullet"/>
      <w:lvlText w:val="•"/>
      <w:lvlJc w:val="left"/>
      <w:pPr>
        <w:ind w:left="8607" w:hanging="314"/>
      </w:pPr>
      <w:rPr>
        <w:rFonts w:hint="default"/>
      </w:rPr>
    </w:lvl>
    <w:lvl w:ilvl="5">
      <w:start w:val="0"/>
      <w:numFmt w:val="bullet"/>
      <w:lvlText w:val="•"/>
      <w:lvlJc w:val="left"/>
      <w:pPr>
        <w:ind w:left="10149" w:hanging="314"/>
      </w:pPr>
      <w:rPr>
        <w:rFonts w:hint="default"/>
      </w:rPr>
    </w:lvl>
    <w:lvl w:ilvl="6">
      <w:start w:val="0"/>
      <w:numFmt w:val="bullet"/>
      <w:lvlText w:val="•"/>
      <w:lvlJc w:val="left"/>
      <w:pPr>
        <w:ind w:left="11691" w:hanging="314"/>
      </w:pPr>
      <w:rPr>
        <w:rFonts w:hint="default"/>
      </w:rPr>
    </w:lvl>
    <w:lvl w:ilvl="7">
      <w:start w:val="0"/>
      <w:numFmt w:val="bullet"/>
      <w:lvlText w:val="•"/>
      <w:lvlJc w:val="left"/>
      <w:pPr>
        <w:ind w:left="13233" w:hanging="314"/>
      </w:pPr>
      <w:rPr>
        <w:rFonts w:hint="default"/>
      </w:rPr>
    </w:lvl>
    <w:lvl w:ilvl="8">
      <w:start w:val="0"/>
      <w:numFmt w:val="bullet"/>
      <w:lvlText w:val="•"/>
      <w:lvlJc w:val="left"/>
      <w:pPr>
        <w:ind w:left="14775" w:hanging="314"/>
      </w:pPr>
      <w:rPr>
        <w:rFonts w:hint="default"/>
      </w:rPr>
    </w:lvl>
  </w:abstractNum>
  <w:abstractNum w:abstractNumId="7">
    <w:nsid w:val="49B48664"/>
    <w:multiLevelType w:val="hybridMultilevel"/>
    <w:tmpl w:val="00000000"/>
    <w:lvl w:ilvl="0">
      <w:start w:val="7"/>
      <w:numFmt w:val="decimal"/>
      <w:lvlText w:val="%1"/>
      <w:lvlJc w:val="left"/>
      <w:pPr>
        <w:ind w:left="3691" w:hanging="952"/>
        <w:jc w:val="left"/>
      </w:pPr>
      <w:rPr>
        <w:rFonts w:hint="default"/>
      </w:rPr>
    </w:lvl>
    <w:lvl w:ilvl="1">
      <w:start w:val="3"/>
      <w:numFmt w:val="decimal"/>
      <w:lvlText w:val="%1.%2"/>
      <w:lvlJc w:val="left"/>
      <w:pPr>
        <w:ind w:left="3691" w:hanging="952"/>
        <w:jc w:val="left"/>
      </w:pPr>
      <w:rPr>
        <w:rFonts w:hint="default"/>
      </w:rPr>
    </w:lvl>
    <w:lvl w:ilvl="2">
      <w:start w:val="2"/>
      <w:numFmt w:val="decimal"/>
      <w:lvlText w:val="%1.%2.%3."/>
      <w:lvlJc w:val="left"/>
      <w:pPr>
        <w:ind w:left="3691" w:hanging="952"/>
        <w:jc w:val="left"/>
      </w:pPr>
      <w:rPr>
        <w:rFonts w:ascii="幼圆" w:eastAsia="幼圆" w:hAnsi="幼圆" w:cs="幼圆" w:hint="default"/>
        <w:spacing w:val="-4"/>
        <w:w w:val="102"/>
        <w:sz w:val="29"/>
        <w:szCs w:val="29"/>
      </w:rPr>
    </w:lvl>
    <w:lvl w:ilvl="3">
      <w:start w:val="3"/>
      <w:numFmt w:val="decimal"/>
      <w:lvlText w:val="%1.%2.%3.%4"/>
      <w:lvlJc w:val="left"/>
      <w:pPr>
        <w:ind w:left="3687" w:hanging="947"/>
        <w:jc w:val="left"/>
      </w:pPr>
      <w:rPr>
        <w:rFonts w:ascii="Arial" w:eastAsia="Arial" w:hAnsi="Arial" w:cs="Arial" w:hint="default"/>
        <w:w w:val="91"/>
        <w:sz w:val="31"/>
        <w:szCs w:val="31"/>
      </w:rPr>
    </w:lvl>
    <w:lvl w:ilvl="4">
      <w:start w:val="1"/>
      <w:numFmt w:val="decimal"/>
      <w:lvlText w:val="（%5）"/>
      <w:lvlJc w:val="left"/>
      <w:pPr>
        <w:ind w:left="2441" w:hanging="793"/>
        <w:jc w:val="left"/>
      </w:pPr>
      <w:rPr>
        <w:rFonts w:ascii="宋体" w:eastAsia="宋体" w:hAnsi="宋体" w:cs="宋体" w:hint="default"/>
        <w:w w:val="91"/>
        <w:sz w:val="29"/>
        <w:szCs w:val="29"/>
      </w:rPr>
    </w:lvl>
    <w:lvl w:ilvl="5">
      <w:start w:val="0"/>
      <w:numFmt w:val="bullet"/>
      <w:lvlText w:val="•"/>
      <w:lvlJc w:val="left"/>
      <w:pPr>
        <w:ind w:left="9009" w:hanging="793"/>
      </w:pPr>
      <w:rPr>
        <w:rFonts w:hint="default"/>
      </w:rPr>
    </w:lvl>
    <w:lvl w:ilvl="6">
      <w:start w:val="0"/>
      <w:numFmt w:val="bullet"/>
      <w:lvlText w:val="•"/>
      <w:lvlJc w:val="left"/>
      <w:pPr>
        <w:ind w:left="10779" w:hanging="793"/>
      </w:pPr>
      <w:rPr>
        <w:rFonts w:hint="default"/>
      </w:rPr>
    </w:lvl>
    <w:lvl w:ilvl="7">
      <w:start w:val="0"/>
      <w:numFmt w:val="bullet"/>
      <w:lvlText w:val="•"/>
      <w:lvlJc w:val="left"/>
      <w:pPr>
        <w:ind w:left="12549" w:hanging="793"/>
      </w:pPr>
      <w:rPr>
        <w:rFonts w:hint="default"/>
      </w:rPr>
    </w:lvl>
    <w:lvl w:ilvl="8">
      <w:start w:val="0"/>
      <w:numFmt w:val="bullet"/>
      <w:lvlText w:val="•"/>
      <w:lvlJc w:val="left"/>
      <w:pPr>
        <w:ind w:left="14319" w:hanging="793"/>
      </w:pPr>
      <w:rPr>
        <w:rFonts w:hint="default"/>
      </w:rPr>
    </w:lvl>
  </w:abstractNum>
  <w:abstractNum w:abstractNumId="8">
    <w:nsid w:val="4AA5AEA8"/>
    <w:multiLevelType w:val="hybridMultilevel"/>
    <w:tmpl w:val="00000000"/>
    <w:lvl w:ilvl="0">
      <w:start w:val="1"/>
      <w:numFmt w:val="decimal"/>
      <w:lvlText w:val="（%1）"/>
      <w:lvlJc w:val="left"/>
      <w:pPr>
        <w:ind w:left="2441" w:hanging="793"/>
        <w:jc w:val="left"/>
      </w:pPr>
      <w:rPr>
        <w:rFonts w:ascii="宋体" w:eastAsia="宋体" w:hAnsi="宋体" w:cs="宋体" w:hint="default"/>
        <w:w w:val="91"/>
        <w:sz w:val="29"/>
        <w:szCs w:val="29"/>
      </w:rPr>
    </w:lvl>
    <w:lvl w:ilvl="1">
      <w:start w:val="0"/>
      <w:numFmt w:val="bullet"/>
      <w:lvlText w:val="•"/>
      <w:lvlJc w:val="left"/>
      <w:pPr>
        <w:ind w:left="3981" w:hanging="793"/>
      </w:pPr>
      <w:rPr>
        <w:rFonts w:hint="default"/>
      </w:rPr>
    </w:lvl>
    <w:lvl w:ilvl="2">
      <w:start w:val="0"/>
      <w:numFmt w:val="bullet"/>
      <w:lvlText w:val="•"/>
      <w:lvlJc w:val="left"/>
      <w:pPr>
        <w:ind w:left="5523" w:hanging="793"/>
      </w:pPr>
      <w:rPr>
        <w:rFonts w:hint="default"/>
      </w:rPr>
    </w:lvl>
    <w:lvl w:ilvl="3">
      <w:start w:val="0"/>
      <w:numFmt w:val="bullet"/>
      <w:lvlText w:val="•"/>
      <w:lvlJc w:val="left"/>
      <w:pPr>
        <w:ind w:left="7065" w:hanging="793"/>
      </w:pPr>
      <w:rPr>
        <w:rFonts w:hint="default"/>
      </w:rPr>
    </w:lvl>
    <w:lvl w:ilvl="4">
      <w:start w:val="0"/>
      <w:numFmt w:val="bullet"/>
      <w:lvlText w:val="•"/>
      <w:lvlJc w:val="left"/>
      <w:pPr>
        <w:ind w:left="8607" w:hanging="793"/>
      </w:pPr>
      <w:rPr>
        <w:rFonts w:hint="default"/>
      </w:rPr>
    </w:lvl>
    <w:lvl w:ilvl="5">
      <w:start w:val="0"/>
      <w:numFmt w:val="bullet"/>
      <w:lvlText w:val="•"/>
      <w:lvlJc w:val="left"/>
      <w:pPr>
        <w:ind w:left="10149" w:hanging="793"/>
      </w:pPr>
      <w:rPr>
        <w:rFonts w:hint="default"/>
      </w:rPr>
    </w:lvl>
    <w:lvl w:ilvl="6">
      <w:start w:val="0"/>
      <w:numFmt w:val="bullet"/>
      <w:lvlText w:val="•"/>
      <w:lvlJc w:val="left"/>
      <w:pPr>
        <w:ind w:left="11691" w:hanging="793"/>
      </w:pPr>
      <w:rPr>
        <w:rFonts w:hint="default"/>
      </w:rPr>
    </w:lvl>
    <w:lvl w:ilvl="7">
      <w:start w:val="0"/>
      <w:numFmt w:val="bullet"/>
      <w:lvlText w:val="•"/>
      <w:lvlJc w:val="left"/>
      <w:pPr>
        <w:ind w:left="13233" w:hanging="793"/>
      </w:pPr>
      <w:rPr>
        <w:rFonts w:hint="default"/>
      </w:rPr>
    </w:lvl>
    <w:lvl w:ilvl="8">
      <w:start w:val="0"/>
      <w:numFmt w:val="bullet"/>
      <w:lvlText w:val="•"/>
      <w:lvlJc w:val="left"/>
      <w:pPr>
        <w:ind w:left="14775" w:hanging="793"/>
      </w:pPr>
      <w:rPr>
        <w:rFonts w:hint="default"/>
      </w:rPr>
    </w:lvl>
  </w:abstractNum>
  <w:abstractNum w:abstractNumId="9">
    <w:nsid w:val="5716F618"/>
    <w:multiLevelType w:val="hybridMultilevel"/>
    <w:tmpl w:val="00000000"/>
    <w:lvl w:ilvl="0">
      <w:start w:val="7"/>
      <w:numFmt w:val="decimal"/>
      <w:lvlText w:val="%1"/>
      <w:lvlJc w:val="left"/>
      <w:pPr>
        <w:ind w:left="3687" w:hanging="947"/>
        <w:jc w:val="left"/>
      </w:pPr>
      <w:rPr>
        <w:rFonts w:hint="default"/>
      </w:rPr>
    </w:lvl>
    <w:lvl w:ilvl="1">
      <w:start w:val="3"/>
      <w:numFmt w:val="decimal"/>
      <w:lvlText w:val="%1.%2"/>
      <w:lvlJc w:val="left"/>
      <w:pPr>
        <w:ind w:left="3687" w:hanging="947"/>
        <w:jc w:val="left"/>
      </w:pPr>
      <w:rPr>
        <w:rFonts w:hint="default"/>
      </w:rPr>
    </w:lvl>
    <w:lvl w:ilvl="2">
      <w:start w:val="3"/>
      <w:numFmt w:val="decimal"/>
      <w:lvlText w:val="%1.%2.%3"/>
      <w:lvlJc w:val="left"/>
      <w:pPr>
        <w:ind w:left="3687" w:hanging="947"/>
        <w:jc w:val="left"/>
      </w:pPr>
      <w:rPr>
        <w:rFonts w:hint="default"/>
      </w:rPr>
    </w:lvl>
    <w:lvl w:ilvl="3">
      <w:start w:val="1"/>
      <w:numFmt w:val="decimal"/>
      <w:lvlText w:val="%1.%2.%3.%4"/>
      <w:lvlJc w:val="left"/>
      <w:pPr>
        <w:ind w:left="3687" w:hanging="947"/>
        <w:jc w:val="left"/>
      </w:pPr>
      <w:rPr>
        <w:rFonts w:hint="default"/>
        <w:w w:val="91"/>
      </w:rPr>
    </w:lvl>
    <w:lvl w:ilvl="4">
      <w:start w:val="1"/>
      <w:numFmt w:val="decimal"/>
      <w:lvlText w:val="（%5）"/>
      <w:lvlJc w:val="left"/>
      <w:pPr>
        <w:ind w:left="3864" w:hanging="793"/>
        <w:jc w:val="left"/>
      </w:pPr>
      <w:rPr>
        <w:rFonts w:ascii="宋体" w:eastAsia="宋体" w:hAnsi="宋体" w:cs="宋体" w:hint="default"/>
        <w:w w:val="91"/>
        <w:sz w:val="29"/>
        <w:szCs w:val="29"/>
      </w:rPr>
    </w:lvl>
    <w:lvl w:ilvl="5">
      <w:start w:val="0"/>
      <w:numFmt w:val="bullet"/>
      <w:lvlText w:val="•"/>
      <w:lvlJc w:val="left"/>
      <w:pPr>
        <w:ind w:left="10082" w:hanging="793"/>
      </w:pPr>
      <w:rPr>
        <w:rFonts w:hint="default"/>
      </w:rPr>
    </w:lvl>
    <w:lvl w:ilvl="6">
      <w:start w:val="0"/>
      <w:numFmt w:val="bullet"/>
      <w:lvlText w:val="•"/>
      <w:lvlJc w:val="left"/>
      <w:pPr>
        <w:ind w:left="11637" w:hanging="793"/>
      </w:pPr>
      <w:rPr>
        <w:rFonts w:hint="default"/>
      </w:rPr>
    </w:lvl>
    <w:lvl w:ilvl="7">
      <w:start w:val="0"/>
      <w:numFmt w:val="bullet"/>
      <w:lvlText w:val="•"/>
      <w:lvlJc w:val="left"/>
      <w:pPr>
        <w:ind w:left="13193" w:hanging="793"/>
      </w:pPr>
      <w:rPr>
        <w:rFonts w:hint="default"/>
      </w:rPr>
    </w:lvl>
    <w:lvl w:ilvl="8">
      <w:start w:val="0"/>
      <w:numFmt w:val="bullet"/>
      <w:lvlText w:val="•"/>
      <w:lvlJc w:val="left"/>
      <w:pPr>
        <w:ind w:left="14748" w:hanging="793"/>
      </w:pPr>
      <w:rPr>
        <w:rFonts w:hint="default"/>
      </w:rPr>
    </w:lvl>
  </w:abstractNum>
  <w:abstractNum w:abstractNumId="10">
    <w:nsid w:val="58700317"/>
    <w:multiLevelType w:val="hybridMultilevel"/>
    <w:tmpl w:val="00000000"/>
    <w:lvl w:ilvl="0">
      <w:start w:val="1"/>
      <w:numFmt w:val="decimal"/>
      <w:lvlText w:val="%1."/>
      <w:lvlJc w:val="left"/>
      <w:pPr>
        <w:ind w:left="3162" w:hanging="423"/>
        <w:jc w:val="left"/>
      </w:pPr>
      <w:rPr>
        <w:rFonts w:ascii="宋体" w:eastAsia="宋体" w:hAnsi="宋体" w:cs="宋体" w:hint="default"/>
        <w:spacing w:val="-1"/>
        <w:w w:val="100"/>
        <w:sz w:val="40"/>
        <w:szCs w:val="40"/>
      </w:rPr>
    </w:lvl>
    <w:lvl w:ilvl="1">
      <w:start w:val="1"/>
      <w:numFmt w:val="decimal"/>
      <w:lvlText w:val="%1.%2"/>
      <w:lvlJc w:val="left"/>
      <w:pPr>
        <w:ind w:left="3582" w:hanging="843"/>
        <w:jc w:val="left"/>
      </w:pPr>
      <w:rPr>
        <w:rFonts w:ascii="宋体" w:eastAsia="宋体" w:hAnsi="宋体" w:cs="宋体" w:hint="default"/>
        <w:w w:val="100"/>
        <w:sz w:val="42"/>
        <w:szCs w:val="42"/>
      </w:rPr>
    </w:lvl>
    <w:lvl w:ilvl="2">
      <w:start w:val="0"/>
      <w:numFmt w:val="bullet"/>
      <w:lvlText w:val="•"/>
      <w:lvlJc w:val="left"/>
      <w:pPr>
        <w:ind w:left="5166" w:hanging="843"/>
      </w:pPr>
      <w:rPr>
        <w:rFonts w:hint="default"/>
      </w:rPr>
    </w:lvl>
    <w:lvl w:ilvl="3">
      <w:start w:val="0"/>
      <w:numFmt w:val="bullet"/>
      <w:lvlText w:val="•"/>
      <w:lvlJc w:val="left"/>
      <w:pPr>
        <w:ind w:left="6753" w:hanging="843"/>
      </w:pPr>
      <w:rPr>
        <w:rFonts w:hint="default"/>
      </w:rPr>
    </w:lvl>
    <w:lvl w:ilvl="4">
      <w:start w:val="0"/>
      <w:numFmt w:val="bullet"/>
      <w:lvlText w:val="•"/>
      <w:lvlJc w:val="left"/>
      <w:pPr>
        <w:ind w:left="8339" w:hanging="843"/>
      </w:pPr>
      <w:rPr>
        <w:rFonts w:hint="default"/>
      </w:rPr>
    </w:lvl>
    <w:lvl w:ilvl="5">
      <w:start w:val="0"/>
      <w:numFmt w:val="bullet"/>
      <w:lvlText w:val="•"/>
      <w:lvlJc w:val="left"/>
      <w:pPr>
        <w:ind w:left="9926" w:hanging="843"/>
      </w:pPr>
      <w:rPr>
        <w:rFonts w:hint="default"/>
      </w:rPr>
    </w:lvl>
    <w:lvl w:ilvl="6">
      <w:start w:val="0"/>
      <w:numFmt w:val="bullet"/>
      <w:lvlText w:val="•"/>
      <w:lvlJc w:val="left"/>
      <w:pPr>
        <w:ind w:left="11513" w:hanging="843"/>
      </w:pPr>
      <w:rPr>
        <w:rFonts w:hint="default"/>
      </w:rPr>
    </w:lvl>
    <w:lvl w:ilvl="7">
      <w:start w:val="0"/>
      <w:numFmt w:val="bullet"/>
      <w:lvlText w:val="•"/>
      <w:lvlJc w:val="left"/>
      <w:pPr>
        <w:ind w:left="13099" w:hanging="843"/>
      </w:pPr>
      <w:rPr>
        <w:rFonts w:hint="default"/>
      </w:rPr>
    </w:lvl>
    <w:lvl w:ilvl="8">
      <w:start w:val="0"/>
      <w:numFmt w:val="bullet"/>
      <w:lvlText w:val="•"/>
      <w:lvlJc w:val="left"/>
      <w:pPr>
        <w:ind w:left="14686" w:hanging="843"/>
      </w:pPr>
      <w:rPr>
        <w:rFonts w:hint="default"/>
      </w:rPr>
    </w:lvl>
  </w:abstractNum>
  <w:abstractNum w:abstractNumId="11">
    <w:nsid w:val="621BDDAC"/>
    <w:multiLevelType w:val="hybridMultilevel"/>
    <w:tmpl w:val="00000000"/>
    <w:lvl w:ilvl="0">
      <w:start w:val="1"/>
      <w:numFmt w:val="decimal"/>
      <w:lvlText w:val="%1"/>
      <w:lvlJc w:val="left"/>
      <w:pPr>
        <w:ind w:left="2441" w:hanging="317"/>
        <w:jc w:val="left"/>
      </w:pPr>
      <w:rPr>
        <w:rFonts w:hint="default"/>
        <w:w w:val="82"/>
      </w:rPr>
    </w:lvl>
    <w:lvl w:ilvl="1">
      <w:start w:val="0"/>
      <w:numFmt w:val="bullet"/>
      <w:lvlText w:val="•"/>
      <w:lvlJc w:val="left"/>
      <w:pPr>
        <w:ind w:left="3981" w:hanging="317"/>
      </w:pPr>
      <w:rPr>
        <w:rFonts w:hint="default"/>
      </w:rPr>
    </w:lvl>
    <w:lvl w:ilvl="2">
      <w:start w:val="0"/>
      <w:numFmt w:val="bullet"/>
      <w:lvlText w:val="•"/>
      <w:lvlJc w:val="left"/>
      <w:pPr>
        <w:ind w:left="5523" w:hanging="317"/>
      </w:pPr>
      <w:rPr>
        <w:rFonts w:hint="default"/>
      </w:rPr>
    </w:lvl>
    <w:lvl w:ilvl="3">
      <w:start w:val="0"/>
      <w:numFmt w:val="bullet"/>
      <w:lvlText w:val="•"/>
      <w:lvlJc w:val="left"/>
      <w:pPr>
        <w:ind w:left="7065" w:hanging="317"/>
      </w:pPr>
      <w:rPr>
        <w:rFonts w:hint="default"/>
      </w:rPr>
    </w:lvl>
    <w:lvl w:ilvl="4">
      <w:start w:val="0"/>
      <w:numFmt w:val="bullet"/>
      <w:lvlText w:val="•"/>
      <w:lvlJc w:val="left"/>
      <w:pPr>
        <w:ind w:left="8607" w:hanging="317"/>
      </w:pPr>
      <w:rPr>
        <w:rFonts w:hint="default"/>
      </w:rPr>
    </w:lvl>
    <w:lvl w:ilvl="5">
      <w:start w:val="0"/>
      <w:numFmt w:val="bullet"/>
      <w:lvlText w:val="•"/>
      <w:lvlJc w:val="left"/>
      <w:pPr>
        <w:ind w:left="10149" w:hanging="317"/>
      </w:pPr>
      <w:rPr>
        <w:rFonts w:hint="default"/>
      </w:rPr>
    </w:lvl>
    <w:lvl w:ilvl="6">
      <w:start w:val="0"/>
      <w:numFmt w:val="bullet"/>
      <w:lvlText w:val="•"/>
      <w:lvlJc w:val="left"/>
      <w:pPr>
        <w:ind w:left="11691" w:hanging="317"/>
      </w:pPr>
      <w:rPr>
        <w:rFonts w:hint="default"/>
      </w:rPr>
    </w:lvl>
    <w:lvl w:ilvl="7">
      <w:start w:val="0"/>
      <w:numFmt w:val="bullet"/>
      <w:lvlText w:val="•"/>
      <w:lvlJc w:val="left"/>
      <w:pPr>
        <w:ind w:left="13233" w:hanging="317"/>
      </w:pPr>
      <w:rPr>
        <w:rFonts w:hint="default"/>
      </w:rPr>
    </w:lvl>
    <w:lvl w:ilvl="8">
      <w:start w:val="0"/>
      <w:numFmt w:val="bullet"/>
      <w:lvlText w:val="•"/>
      <w:lvlJc w:val="left"/>
      <w:pPr>
        <w:ind w:left="14775" w:hanging="317"/>
      </w:pPr>
      <w:rPr>
        <w:rFonts w:hint="default"/>
      </w:rPr>
    </w:lvl>
  </w:abstractNum>
  <w:abstractNum w:abstractNumId="12">
    <w:nsid w:val="6794785C"/>
    <w:multiLevelType w:val="hybridMultilevel"/>
    <w:tmpl w:val="00000000"/>
    <w:lvl w:ilvl="0">
      <w:start w:val="1"/>
      <w:numFmt w:val="decimal"/>
      <w:lvlText w:val="（%1）"/>
      <w:lvlJc w:val="left"/>
      <w:pPr>
        <w:ind w:left="2441" w:hanging="793"/>
        <w:jc w:val="left"/>
      </w:pPr>
      <w:rPr>
        <w:rFonts w:ascii="宋体" w:eastAsia="宋体" w:hAnsi="宋体" w:cs="宋体" w:hint="default"/>
        <w:w w:val="91"/>
        <w:sz w:val="29"/>
        <w:szCs w:val="29"/>
      </w:rPr>
    </w:lvl>
    <w:lvl w:ilvl="1">
      <w:start w:val="0"/>
      <w:numFmt w:val="bullet"/>
      <w:lvlText w:val="•"/>
      <w:lvlJc w:val="left"/>
      <w:pPr>
        <w:ind w:left="3981" w:hanging="793"/>
      </w:pPr>
      <w:rPr>
        <w:rFonts w:hint="default"/>
      </w:rPr>
    </w:lvl>
    <w:lvl w:ilvl="2">
      <w:start w:val="0"/>
      <w:numFmt w:val="bullet"/>
      <w:lvlText w:val="•"/>
      <w:lvlJc w:val="left"/>
      <w:pPr>
        <w:ind w:left="5523" w:hanging="793"/>
      </w:pPr>
      <w:rPr>
        <w:rFonts w:hint="default"/>
      </w:rPr>
    </w:lvl>
    <w:lvl w:ilvl="3">
      <w:start w:val="0"/>
      <w:numFmt w:val="bullet"/>
      <w:lvlText w:val="•"/>
      <w:lvlJc w:val="left"/>
      <w:pPr>
        <w:ind w:left="7065" w:hanging="793"/>
      </w:pPr>
      <w:rPr>
        <w:rFonts w:hint="default"/>
      </w:rPr>
    </w:lvl>
    <w:lvl w:ilvl="4">
      <w:start w:val="0"/>
      <w:numFmt w:val="bullet"/>
      <w:lvlText w:val="•"/>
      <w:lvlJc w:val="left"/>
      <w:pPr>
        <w:ind w:left="8607" w:hanging="793"/>
      </w:pPr>
      <w:rPr>
        <w:rFonts w:hint="default"/>
      </w:rPr>
    </w:lvl>
    <w:lvl w:ilvl="5">
      <w:start w:val="0"/>
      <w:numFmt w:val="bullet"/>
      <w:lvlText w:val="•"/>
      <w:lvlJc w:val="left"/>
      <w:pPr>
        <w:ind w:left="10149" w:hanging="793"/>
      </w:pPr>
      <w:rPr>
        <w:rFonts w:hint="default"/>
      </w:rPr>
    </w:lvl>
    <w:lvl w:ilvl="6">
      <w:start w:val="0"/>
      <w:numFmt w:val="bullet"/>
      <w:lvlText w:val="•"/>
      <w:lvlJc w:val="left"/>
      <w:pPr>
        <w:ind w:left="11691" w:hanging="793"/>
      </w:pPr>
      <w:rPr>
        <w:rFonts w:hint="default"/>
      </w:rPr>
    </w:lvl>
    <w:lvl w:ilvl="7">
      <w:start w:val="0"/>
      <w:numFmt w:val="bullet"/>
      <w:lvlText w:val="•"/>
      <w:lvlJc w:val="left"/>
      <w:pPr>
        <w:ind w:left="13233" w:hanging="793"/>
      </w:pPr>
      <w:rPr>
        <w:rFonts w:hint="default"/>
      </w:rPr>
    </w:lvl>
    <w:lvl w:ilvl="8">
      <w:start w:val="0"/>
      <w:numFmt w:val="bullet"/>
      <w:lvlText w:val="•"/>
      <w:lvlJc w:val="left"/>
      <w:pPr>
        <w:ind w:left="14775" w:hanging="793"/>
      </w:pPr>
      <w:rPr>
        <w:rFonts w:hint="default"/>
      </w:rPr>
    </w:lvl>
  </w:abstractNum>
  <w:abstractNum w:abstractNumId="13">
    <w:nsid w:val="67FFF87D"/>
    <w:multiLevelType w:val="hybridMultilevel"/>
    <w:tmpl w:val="00000000"/>
    <w:lvl w:ilvl="0">
      <w:start w:val="1"/>
      <w:numFmt w:val="decimal"/>
      <w:lvlText w:val="（%1）"/>
      <w:lvlJc w:val="left"/>
      <w:pPr>
        <w:ind w:left="2441" w:hanging="793"/>
        <w:jc w:val="left"/>
      </w:pPr>
      <w:rPr>
        <w:rFonts w:ascii="宋体" w:eastAsia="宋体" w:hAnsi="宋体" w:cs="宋体" w:hint="default"/>
        <w:spacing w:val="-1"/>
        <w:w w:val="91"/>
        <w:sz w:val="29"/>
        <w:szCs w:val="29"/>
      </w:rPr>
    </w:lvl>
    <w:lvl w:ilvl="1">
      <w:start w:val="0"/>
      <w:numFmt w:val="bullet"/>
      <w:lvlText w:val="•"/>
      <w:lvlJc w:val="left"/>
      <w:pPr>
        <w:ind w:left="3981" w:hanging="793"/>
      </w:pPr>
      <w:rPr>
        <w:rFonts w:hint="default"/>
      </w:rPr>
    </w:lvl>
    <w:lvl w:ilvl="2">
      <w:start w:val="0"/>
      <w:numFmt w:val="bullet"/>
      <w:lvlText w:val="•"/>
      <w:lvlJc w:val="left"/>
      <w:pPr>
        <w:ind w:left="5523" w:hanging="793"/>
      </w:pPr>
      <w:rPr>
        <w:rFonts w:hint="default"/>
      </w:rPr>
    </w:lvl>
    <w:lvl w:ilvl="3">
      <w:start w:val="0"/>
      <w:numFmt w:val="bullet"/>
      <w:lvlText w:val="•"/>
      <w:lvlJc w:val="left"/>
      <w:pPr>
        <w:ind w:left="7065" w:hanging="793"/>
      </w:pPr>
      <w:rPr>
        <w:rFonts w:hint="default"/>
      </w:rPr>
    </w:lvl>
    <w:lvl w:ilvl="4">
      <w:start w:val="0"/>
      <w:numFmt w:val="bullet"/>
      <w:lvlText w:val="•"/>
      <w:lvlJc w:val="left"/>
      <w:pPr>
        <w:ind w:left="8607" w:hanging="793"/>
      </w:pPr>
      <w:rPr>
        <w:rFonts w:hint="default"/>
      </w:rPr>
    </w:lvl>
    <w:lvl w:ilvl="5">
      <w:start w:val="0"/>
      <w:numFmt w:val="bullet"/>
      <w:lvlText w:val="•"/>
      <w:lvlJc w:val="left"/>
      <w:pPr>
        <w:ind w:left="10149" w:hanging="793"/>
      </w:pPr>
      <w:rPr>
        <w:rFonts w:hint="default"/>
      </w:rPr>
    </w:lvl>
    <w:lvl w:ilvl="6">
      <w:start w:val="0"/>
      <w:numFmt w:val="bullet"/>
      <w:lvlText w:val="•"/>
      <w:lvlJc w:val="left"/>
      <w:pPr>
        <w:ind w:left="11691" w:hanging="793"/>
      </w:pPr>
      <w:rPr>
        <w:rFonts w:hint="default"/>
      </w:rPr>
    </w:lvl>
    <w:lvl w:ilvl="7">
      <w:start w:val="0"/>
      <w:numFmt w:val="bullet"/>
      <w:lvlText w:val="•"/>
      <w:lvlJc w:val="left"/>
      <w:pPr>
        <w:ind w:left="13233" w:hanging="793"/>
      </w:pPr>
      <w:rPr>
        <w:rFonts w:hint="default"/>
      </w:rPr>
    </w:lvl>
    <w:lvl w:ilvl="8">
      <w:start w:val="0"/>
      <w:numFmt w:val="bullet"/>
      <w:lvlText w:val="•"/>
      <w:lvlJc w:val="left"/>
      <w:pPr>
        <w:ind w:left="14775" w:hanging="793"/>
      </w:pPr>
      <w:rPr>
        <w:rFonts w:hint="default"/>
      </w:rPr>
    </w:lvl>
  </w:abstractNum>
  <w:abstractNum w:abstractNumId="14">
    <w:nsid w:val="6A84A0FE"/>
    <w:multiLevelType w:val="hybridMultilevel"/>
    <w:tmpl w:val="00000000"/>
    <w:lvl w:ilvl="0">
      <w:start w:val="7"/>
      <w:numFmt w:val="decimal"/>
      <w:lvlText w:val="%1"/>
      <w:lvlJc w:val="left"/>
      <w:pPr>
        <w:ind w:left="3028" w:hanging="317"/>
        <w:jc w:val="left"/>
      </w:pPr>
      <w:rPr>
        <w:rFonts w:ascii="宋体" w:eastAsia="宋体" w:hAnsi="宋体" w:cs="宋体" w:hint="default"/>
        <w:w w:val="100"/>
        <w:sz w:val="42"/>
        <w:szCs w:val="42"/>
      </w:rPr>
    </w:lvl>
    <w:lvl w:ilvl="1">
      <w:start w:val="1"/>
      <w:numFmt w:val="decimal"/>
      <w:lvlText w:val="%1.%2"/>
      <w:lvlJc w:val="left"/>
      <w:pPr>
        <w:ind w:left="3478" w:hanging="738"/>
        <w:jc w:val="left"/>
      </w:pPr>
      <w:rPr>
        <w:rFonts w:ascii="宋体" w:eastAsia="宋体" w:hAnsi="宋体" w:cs="宋体" w:hint="default"/>
        <w:w w:val="100"/>
        <w:sz w:val="42"/>
        <w:szCs w:val="42"/>
      </w:rPr>
    </w:lvl>
    <w:lvl w:ilvl="2">
      <w:start w:val="0"/>
      <w:numFmt w:val="bullet"/>
      <w:lvlText w:val="•"/>
      <w:lvlJc w:val="left"/>
      <w:pPr>
        <w:ind w:left="5077" w:hanging="738"/>
      </w:pPr>
      <w:rPr>
        <w:rFonts w:hint="default"/>
      </w:rPr>
    </w:lvl>
    <w:lvl w:ilvl="3">
      <w:start w:val="0"/>
      <w:numFmt w:val="bullet"/>
      <w:lvlText w:val="•"/>
      <w:lvlJc w:val="left"/>
      <w:pPr>
        <w:ind w:left="6675" w:hanging="738"/>
      </w:pPr>
      <w:rPr>
        <w:rFonts w:hint="default"/>
      </w:rPr>
    </w:lvl>
    <w:lvl w:ilvl="4">
      <w:start w:val="0"/>
      <w:numFmt w:val="bullet"/>
      <w:lvlText w:val="•"/>
      <w:lvlJc w:val="left"/>
      <w:pPr>
        <w:ind w:left="8273" w:hanging="738"/>
      </w:pPr>
      <w:rPr>
        <w:rFonts w:hint="default"/>
      </w:rPr>
    </w:lvl>
    <w:lvl w:ilvl="5">
      <w:start w:val="0"/>
      <w:numFmt w:val="bullet"/>
      <w:lvlText w:val="•"/>
      <w:lvlJc w:val="left"/>
      <w:pPr>
        <w:ind w:left="9870" w:hanging="738"/>
      </w:pPr>
      <w:rPr>
        <w:rFonts w:hint="default"/>
      </w:rPr>
    </w:lvl>
    <w:lvl w:ilvl="6">
      <w:start w:val="0"/>
      <w:numFmt w:val="bullet"/>
      <w:lvlText w:val="•"/>
      <w:lvlJc w:val="left"/>
      <w:pPr>
        <w:ind w:left="11468" w:hanging="738"/>
      </w:pPr>
      <w:rPr>
        <w:rFonts w:hint="default"/>
      </w:rPr>
    </w:lvl>
    <w:lvl w:ilvl="7">
      <w:start w:val="0"/>
      <w:numFmt w:val="bullet"/>
      <w:lvlText w:val="•"/>
      <w:lvlJc w:val="left"/>
      <w:pPr>
        <w:ind w:left="13066" w:hanging="738"/>
      </w:pPr>
      <w:rPr>
        <w:rFonts w:hint="default"/>
      </w:rPr>
    </w:lvl>
    <w:lvl w:ilvl="8">
      <w:start w:val="0"/>
      <w:numFmt w:val="bullet"/>
      <w:lvlText w:val="•"/>
      <w:lvlJc w:val="left"/>
      <w:pPr>
        <w:ind w:left="14664" w:hanging="738"/>
      </w:pPr>
      <w:rPr>
        <w:rFonts w:hint="default"/>
      </w:rPr>
    </w:lvl>
  </w:abstractNum>
  <w:abstractNum w:abstractNumId="15">
    <w:nsid w:val="71A162FF"/>
    <w:multiLevelType w:val="hybridMultilevel"/>
    <w:tmpl w:val="00000000"/>
    <w:lvl w:ilvl="0">
      <w:start w:val="6"/>
      <w:numFmt w:val="decimal"/>
      <w:lvlText w:val="%1"/>
      <w:lvlJc w:val="left"/>
      <w:pPr>
        <w:ind w:left="2441" w:hanging="785"/>
        <w:jc w:val="left"/>
      </w:pPr>
      <w:rPr>
        <w:rFonts w:hint="default"/>
      </w:rPr>
    </w:lvl>
    <w:lvl w:ilvl="1">
      <w:start w:val="3"/>
      <w:numFmt w:val="decimal"/>
      <w:lvlText w:val="%1.%2"/>
      <w:lvlJc w:val="left"/>
      <w:pPr>
        <w:ind w:left="2441" w:hanging="785"/>
        <w:jc w:val="left"/>
      </w:pPr>
      <w:rPr>
        <w:rFonts w:hint="default"/>
      </w:rPr>
    </w:lvl>
    <w:lvl w:ilvl="2">
      <w:start w:val="1"/>
      <w:numFmt w:val="decimal"/>
      <w:lvlText w:val="%1.%2.%3"/>
      <w:lvlJc w:val="left"/>
      <w:pPr>
        <w:ind w:left="2441" w:hanging="785"/>
        <w:jc w:val="left"/>
      </w:pPr>
      <w:rPr>
        <w:rFonts w:ascii="Times New Roman" w:eastAsia="Times New Roman" w:hAnsi="Times New Roman" w:cs="Times New Roman" w:hint="default"/>
        <w:w w:val="102"/>
        <w:sz w:val="31"/>
        <w:szCs w:val="31"/>
      </w:rPr>
    </w:lvl>
    <w:lvl w:ilvl="3">
      <w:start w:val="0"/>
      <w:numFmt w:val="bullet"/>
      <w:lvlText w:val="•"/>
      <w:lvlJc w:val="left"/>
      <w:pPr>
        <w:ind w:left="7065" w:hanging="785"/>
      </w:pPr>
      <w:rPr>
        <w:rFonts w:hint="default"/>
      </w:rPr>
    </w:lvl>
    <w:lvl w:ilvl="4">
      <w:start w:val="0"/>
      <w:numFmt w:val="bullet"/>
      <w:lvlText w:val="•"/>
      <w:lvlJc w:val="left"/>
      <w:pPr>
        <w:ind w:left="8607" w:hanging="785"/>
      </w:pPr>
      <w:rPr>
        <w:rFonts w:hint="default"/>
      </w:rPr>
    </w:lvl>
    <w:lvl w:ilvl="5">
      <w:start w:val="0"/>
      <w:numFmt w:val="bullet"/>
      <w:lvlText w:val="•"/>
      <w:lvlJc w:val="left"/>
      <w:pPr>
        <w:ind w:left="10149" w:hanging="785"/>
      </w:pPr>
      <w:rPr>
        <w:rFonts w:hint="default"/>
      </w:rPr>
    </w:lvl>
    <w:lvl w:ilvl="6">
      <w:start w:val="0"/>
      <w:numFmt w:val="bullet"/>
      <w:lvlText w:val="•"/>
      <w:lvlJc w:val="left"/>
      <w:pPr>
        <w:ind w:left="11691" w:hanging="785"/>
      </w:pPr>
      <w:rPr>
        <w:rFonts w:hint="default"/>
      </w:rPr>
    </w:lvl>
    <w:lvl w:ilvl="7">
      <w:start w:val="0"/>
      <w:numFmt w:val="bullet"/>
      <w:lvlText w:val="•"/>
      <w:lvlJc w:val="left"/>
      <w:pPr>
        <w:ind w:left="13233" w:hanging="785"/>
      </w:pPr>
      <w:rPr>
        <w:rFonts w:hint="default"/>
      </w:rPr>
    </w:lvl>
    <w:lvl w:ilvl="8">
      <w:start w:val="0"/>
      <w:numFmt w:val="bullet"/>
      <w:lvlText w:val="•"/>
      <w:lvlJc w:val="left"/>
      <w:pPr>
        <w:ind w:left="14775" w:hanging="785"/>
      </w:pPr>
      <w:rPr>
        <w:rFonts w:hint="default"/>
      </w:rPr>
    </w:lvl>
  </w:abstractNum>
  <w:abstractNum w:abstractNumId="16">
    <w:nsid w:val="7478E08F"/>
    <w:multiLevelType w:val="hybridMultilevel"/>
    <w:tmpl w:val="00000000"/>
    <w:lvl w:ilvl="0">
      <w:start w:val="1"/>
      <w:numFmt w:val="decimal"/>
      <w:lvlText w:val="%1"/>
      <w:lvlJc w:val="left"/>
      <w:pPr>
        <w:ind w:left="2441" w:hanging="317"/>
        <w:jc w:val="left"/>
      </w:pPr>
      <w:rPr>
        <w:rFonts w:hint="default"/>
        <w:w w:val="82"/>
      </w:rPr>
    </w:lvl>
    <w:lvl w:ilvl="1">
      <w:start w:val="0"/>
      <w:numFmt w:val="bullet"/>
      <w:lvlText w:val="•"/>
      <w:lvlJc w:val="left"/>
      <w:pPr>
        <w:ind w:left="3981" w:hanging="317"/>
      </w:pPr>
      <w:rPr>
        <w:rFonts w:hint="default"/>
      </w:rPr>
    </w:lvl>
    <w:lvl w:ilvl="2">
      <w:start w:val="0"/>
      <w:numFmt w:val="bullet"/>
      <w:lvlText w:val="•"/>
      <w:lvlJc w:val="left"/>
      <w:pPr>
        <w:ind w:left="5523" w:hanging="317"/>
      </w:pPr>
      <w:rPr>
        <w:rFonts w:hint="default"/>
      </w:rPr>
    </w:lvl>
    <w:lvl w:ilvl="3">
      <w:start w:val="0"/>
      <w:numFmt w:val="bullet"/>
      <w:lvlText w:val="•"/>
      <w:lvlJc w:val="left"/>
      <w:pPr>
        <w:ind w:left="7065" w:hanging="317"/>
      </w:pPr>
      <w:rPr>
        <w:rFonts w:hint="default"/>
      </w:rPr>
    </w:lvl>
    <w:lvl w:ilvl="4">
      <w:start w:val="0"/>
      <w:numFmt w:val="bullet"/>
      <w:lvlText w:val="•"/>
      <w:lvlJc w:val="left"/>
      <w:pPr>
        <w:ind w:left="8607" w:hanging="317"/>
      </w:pPr>
      <w:rPr>
        <w:rFonts w:hint="default"/>
      </w:rPr>
    </w:lvl>
    <w:lvl w:ilvl="5">
      <w:start w:val="0"/>
      <w:numFmt w:val="bullet"/>
      <w:lvlText w:val="•"/>
      <w:lvlJc w:val="left"/>
      <w:pPr>
        <w:ind w:left="10149" w:hanging="317"/>
      </w:pPr>
      <w:rPr>
        <w:rFonts w:hint="default"/>
      </w:rPr>
    </w:lvl>
    <w:lvl w:ilvl="6">
      <w:start w:val="0"/>
      <w:numFmt w:val="bullet"/>
      <w:lvlText w:val="•"/>
      <w:lvlJc w:val="left"/>
      <w:pPr>
        <w:ind w:left="11691" w:hanging="317"/>
      </w:pPr>
      <w:rPr>
        <w:rFonts w:hint="default"/>
      </w:rPr>
    </w:lvl>
    <w:lvl w:ilvl="7">
      <w:start w:val="0"/>
      <w:numFmt w:val="bullet"/>
      <w:lvlText w:val="•"/>
      <w:lvlJc w:val="left"/>
      <w:pPr>
        <w:ind w:left="13233" w:hanging="317"/>
      </w:pPr>
      <w:rPr>
        <w:rFonts w:hint="default"/>
      </w:rPr>
    </w:lvl>
    <w:lvl w:ilvl="8">
      <w:start w:val="0"/>
      <w:numFmt w:val="bullet"/>
      <w:lvlText w:val="•"/>
      <w:lvlJc w:val="left"/>
      <w:pPr>
        <w:ind w:left="14775" w:hanging="317"/>
      </w:pPr>
      <w:rPr>
        <w:rFonts w:hint="default"/>
      </w:rPr>
    </w:lvl>
  </w:abstractNum>
  <w:abstractNum w:abstractNumId="17">
    <w:nsid w:val="77575D77"/>
    <w:multiLevelType w:val="hybridMultilevel"/>
    <w:tmpl w:val="00000000"/>
    <w:lvl w:ilvl="0">
      <w:start w:val="1"/>
      <w:numFmt w:val="decimal"/>
      <w:lvlText w:val="%1"/>
      <w:lvlJc w:val="left"/>
      <w:pPr>
        <w:ind w:left="2441" w:hanging="234"/>
        <w:jc w:val="left"/>
      </w:pPr>
      <w:rPr>
        <w:rFonts w:ascii="Arial" w:eastAsia="Arial" w:hAnsi="Arial" w:cs="Arial" w:hint="default"/>
        <w:w w:val="91"/>
        <w:sz w:val="31"/>
        <w:szCs w:val="31"/>
      </w:rPr>
    </w:lvl>
    <w:lvl w:ilvl="1">
      <w:start w:val="0"/>
      <w:numFmt w:val="bullet"/>
      <w:lvlText w:val="•"/>
      <w:lvlJc w:val="left"/>
      <w:pPr>
        <w:ind w:left="3981" w:hanging="234"/>
      </w:pPr>
      <w:rPr>
        <w:rFonts w:hint="default"/>
      </w:rPr>
    </w:lvl>
    <w:lvl w:ilvl="2">
      <w:start w:val="0"/>
      <w:numFmt w:val="bullet"/>
      <w:lvlText w:val="•"/>
      <w:lvlJc w:val="left"/>
      <w:pPr>
        <w:ind w:left="5523" w:hanging="234"/>
      </w:pPr>
      <w:rPr>
        <w:rFonts w:hint="default"/>
      </w:rPr>
    </w:lvl>
    <w:lvl w:ilvl="3">
      <w:start w:val="0"/>
      <w:numFmt w:val="bullet"/>
      <w:lvlText w:val="•"/>
      <w:lvlJc w:val="left"/>
      <w:pPr>
        <w:ind w:left="7065" w:hanging="234"/>
      </w:pPr>
      <w:rPr>
        <w:rFonts w:hint="default"/>
      </w:rPr>
    </w:lvl>
    <w:lvl w:ilvl="4">
      <w:start w:val="0"/>
      <w:numFmt w:val="bullet"/>
      <w:lvlText w:val="•"/>
      <w:lvlJc w:val="left"/>
      <w:pPr>
        <w:ind w:left="8607" w:hanging="234"/>
      </w:pPr>
      <w:rPr>
        <w:rFonts w:hint="default"/>
      </w:rPr>
    </w:lvl>
    <w:lvl w:ilvl="5">
      <w:start w:val="0"/>
      <w:numFmt w:val="bullet"/>
      <w:lvlText w:val="•"/>
      <w:lvlJc w:val="left"/>
      <w:pPr>
        <w:ind w:left="10149" w:hanging="234"/>
      </w:pPr>
      <w:rPr>
        <w:rFonts w:hint="default"/>
      </w:rPr>
    </w:lvl>
    <w:lvl w:ilvl="6">
      <w:start w:val="0"/>
      <w:numFmt w:val="bullet"/>
      <w:lvlText w:val="•"/>
      <w:lvlJc w:val="left"/>
      <w:pPr>
        <w:ind w:left="11691" w:hanging="234"/>
      </w:pPr>
      <w:rPr>
        <w:rFonts w:hint="default"/>
      </w:rPr>
    </w:lvl>
    <w:lvl w:ilvl="7">
      <w:start w:val="0"/>
      <w:numFmt w:val="bullet"/>
      <w:lvlText w:val="•"/>
      <w:lvlJc w:val="left"/>
      <w:pPr>
        <w:ind w:left="13233" w:hanging="234"/>
      </w:pPr>
      <w:rPr>
        <w:rFonts w:hint="default"/>
      </w:rPr>
    </w:lvl>
    <w:lvl w:ilvl="8">
      <w:start w:val="0"/>
      <w:numFmt w:val="bullet"/>
      <w:lvlText w:val="•"/>
      <w:lvlJc w:val="left"/>
      <w:pPr>
        <w:ind w:left="14775" w:hanging="234"/>
      </w:pPr>
      <w:rPr>
        <w:rFonts w:hint="default"/>
      </w:rPr>
    </w:lvl>
  </w:abstractNum>
  <w:abstractNum w:abstractNumId="18">
    <w:nsid w:val="7AB9AAAE"/>
    <w:multiLevelType w:val="hybridMultilevel"/>
    <w:tmpl w:val="00000000"/>
    <w:lvl w:ilvl="0">
      <w:start w:val="1"/>
      <w:numFmt w:val="decimal"/>
      <w:lvlText w:val="%1"/>
      <w:lvlJc w:val="left"/>
      <w:pPr>
        <w:ind w:left="3625" w:hanging="238"/>
        <w:jc w:val="left"/>
      </w:pPr>
      <w:rPr>
        <w:rFonts w:ascii="Arial" w:eastAsia="Arial" w:hAnsi="Arial" w:cs="Arial" w:hint="default"/>
        <w:w w:val="91"/>
        <w:sz w:val="31"/>
        <w:szCs w:val="31"/>
      </w:rPr>
    </w:lvl>
    <w:lvl w:ilvl="1">
      <w:start w:val="0"/>
      <w:numFmt w:val="bullet"/>
      <w:lvlText w:val="•"/>
      <w:lvlJc w:val="left"/>
      <w:pPr>
        <w:ind w:left="5043" w:hanging="238"/>
      </w:pPr>
      <w:rPr>
        <w:rFonts w:hint="default"/>
      </w:rPr>
    </w:lvl>
    <w:lvl w:ilvl="2">
      <w:start w:val="0"/>
      <w:numFmt w:val="bullet"/>
      <w:lvlText w:val="•"/>
      <w:lvlJc w:val="left"/>
      <w:pPr>
        <w:ind w:left="6467" w:hanging="238"/>
      </w:pPr>
      <w:rPr>
        <w:rFonts w:hint="default"/>
      </w:rPr>
    </w:lvl>
    <w:lvl w:ilvl="3">
      <w:start w:val="0"/>
      <w:numFmt w:val="bullet"/>
      <w:lvlText w:val="•"/>
      <w:lvlJc w:val="left"/>
      <w:pPr>
        <w:ind w:left="7891" w:hanging="238"/>
      </w:pPr>
      <w:rPr>
        <w:rFonts w:hint="default"/>
      </w:rPr>
    </w:lvl>
    <w:lvl w:ilvl="4">
      <w:start w:val="0"/>
      <w:numFmt w:val="bullet"/>
      <w:lvlText w:val="•"/>
      <w:lvlJc w:val="left"/>
      <w:pPr>
        <w:ind w:left="9315" w:hanging="238"/>
      </w:pPr>
      <w:rPr>
        <w:rFonts w:hint="default"/>
      </w:rPr>
    </w:lvl>
    <w:lvl w:ilvl="5">
      <w:start w:val="0"/>
      <w:numFmt w:val="bullet"/>
      <w:lvlText w:val="•"/>
      <w:lvlJc w:val="left"/>
      <w:pPr>
        <w:ind w:left="10739" w:hanging="238"/>
      </w:pPr>
      <w:rPr>
        <w:rFonts w:hint="default"/>
      </w:rPr>
    </w:lvl>
    <w:lvl w:ilvl="6">
      <w:start w:val="0"/>
      <w:numFmt w:val="bullet"/>
      <w:lvlText w:val="•"/>
      <w:lvlJc w:val="left"/>
      <w:pPr>
        <w:ind w:left="12163" w:hanging="238"/>
      </w:pPr>
      <w:rPr>
        <w:rFonts w:hint="default"/>
      </w:rPr>
    </w:lvl>
    <w:lvl w:ilvl="7">
      <w:start w:val="0"/>
      <w:numFmt w:val="bullet"/>
      <w:lvlText w:val="•"/>
      <w:lvlJc w:val="left"/>
      <w:pPr>
        <w:ind w:left="13587" w:hanging="238"/>
      </w:pPr>
      <w:rPr>
        <w:rFonts w:hint="default"/>
      </w:rPr>
    </w:lvl>
    <w:lvl w:ilvl="8">
      <w:start w:val="0"/>
      <w:numFmt w:val="bullet"/>
      <w:lvlText w:val="•"/>
      <w:lvlJc w:val="left"/>
      <w:pPr>
        <w:ind w:left="15011" w:hanging="238"/>
      </w:pPr>
      <w:rPr>
        <w:rFonts w:hint="default"/>
      </w:rPr>
    </w:lvl>
  </w:abstractNum>
  <w:num w:numId="1">
    <w:abstractNumId w:val="9"/>
  </w:num>
  <w:num w:numId="2">
    <w:abstractNumId w:val="7"/>
  </w:num>
  <w:num w:numId="3">
    <w:abstractNumId w:val="4"/>
  </w:num>
  <w:num w:numId="4">
    <w:abstractNumId w:val="15"/>
  </w:num>
  <w:num w:numId="5">
    <w:abstractNumId w:val="5"/>
  </w:num>
  <w:num w:numId="6">
    <w:abstractNumId w:val="13"/>
  </w:num>
  <w:num w:numId="7">
    <w:abstractNumId w:val="6"/>
  </w:num>
  <w:num w:numId="8">
    <w:abstractNumId w:val="2"/>
  </w:num>
  <w:num w:numId="9">
    <w:abstractNumId w:val="18"/>
  </w:num>
  <w:num w:numId="10">
    <w:abstractNumId w:val="0"/>
  </w:num>
  <w:num w:numId="11">
    <w:abstractNumId w:val="17"/>
  </w:num>
  <w:num w:numId="12">
    <w:abstractNumId w:val="1"/>
  </w:num>
  <w:num w:numId="13">
    <w:abstractNumId w:val="16"/>
  </w:num>
  <w:num w:numId="14">
    <w:abstractNumId w:val="8"/>
  </w:num>
  <w:num w:numId="15">
    <w:abstractNumId w:val="3"/>
  </w:num>
  <w:num w:numId="16">
    <w:abstractNumId w:val="14"/>
  </w:num>
  <w:num w:numId="17">
    <w:abstractNumId w:val="10"/>
  </w:num>
  <w:num w:numId="18">
    <w:abstractNumId w:val="12"/>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3280" w:hanging="541"/>
      <w:outlineLvl w:val="0"/>
    </w:pPr>
    <w:rPr>
      <w:rFonts w:ascii="黑体" w:eastAsia="黑体" w:hAnsi="黑体" w:cs="黑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line="509" w:lineRule="exact"/>
      <w:ind w:left="3478" w:hanging="739"/>
    </w:pPr>
    <w:rPr>
      <w:rFonts w:ascii="宋体" w:eastAsia="宋体" w:hAnsi="宋体" w:cs="宋体"/>
      <w:sz w:val="42"/>
      <w:szCs w:val="42"/>
    </w:rPr>
  </w:style>
  <w:style w:type="paragraph" w:styleId="BodyText">
    <w:name w:val="Body Text"/>
    <w:basedOn w:val="Normal"/>
    <w:uiPriority w:val="1"/>
    <w:qFormat/>
    <w:pPr>
      <w:ind w:left="2441"/>
    </w:pPr>
    <w:rPr>
      <w:rFonts w:ascii="宋体" w:eastAsia="宋体" w:hAnsi="宋体" w:cs="宋体"/>
      <w:sz w:val="31"/>
      <w:szCs w:val="31"/>
    </w:rPr>
  </w:style>
  <w:style w:type="paragraph" w:styleId="ListParagraph">
    <w:name w:val="List Paragraph"/>
    <w:basedOn w:val="Normal"/>
    <w:uiPriority w:val="1"/>
    <w:qFormat/>
    <w:pPr>
      <w:ind w:left="2441" w:firstLine="629"/>
    </w:pPr>
    <w:rPr>
      <w:rFonts w:ascii="宋体" w:eastAsia="宋体" w:hAnsi="宋体" w:cs="宋体"/>
    </w:rPr>
  </w:style>
  <w:style w:type="paragraph" w:customStyle="1" w:styleId="TableParagraph">
    <w:name w:val="Table Paragraph"/>
    <w:basedOn w:val="Normal"/>
    <w:uiPriority w:val="1"/>
    <w:qFormat/>
    <w:pPr>
      <w:spacing w:before="165"/>
      <w:ind w:left="385"/>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7.xml" /><Relationship Id="rId22" Type="http://schemas.openxmlformats.org/officeDocument/2006/relationships/header" Target="header8.xml" /><Relationship Id="rId23" Type="http://schemas.openxmlformats.org/officeDocument/2006/relationships/footer" Target="footer8.xml" /><Relationship Id="rId24" Type="http://schemas.openxmlformats.org/officeDocument/2006/relationships/hyperlink" Target="https://d.book118.com/696135140125010033" TargetMode="Externa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2.png"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2023-12-20T03:18:06Z</dcterms:created>
  <dcterms:modified xsi:type="dcterms:W3CDTF">2023-12-20T03:18:06Z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2022-10-23T00:00:00Z</vt:filetime>
  </property>
  <property fmtid="{D5CDD505-2E9C-101B-9397-08002B2CF9AE}" pid="3" name="LastSaved">
    <vt:filetime>2023-12-20T00:00:00Z</vt:filetime>
  </property>
</Properties>
</file>