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0" w:lineRule="auto"/>
        <w:rPr>
          <w:rFonts w:ascii="Arial"/>
          <w:sz w:val="21"/>
        </w:rPr>
      </w:pPr>
      <w:r>
        <w:drawing>
          <wp:anchor distT="0" distB="0" distL="0" distR="0" simplePos="0" relativeHeight="251658240" behindDoc="0" locked="0" layoutInCell="0" allowOverlap="1">
            <wp:simplePos x="0" y="0"/>
            <wp:positionH relativeFrom="page">
              <wp:posOffset>3187665</wp:posOffset>
            </wp:positionH>
            <wp:positionV relativeFrom="page">
              <wp:posOffset>7499388</wp:posOffset>
            </wp:positionV>
            <wp:extent cx="1225559" cy="31107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225559" cy="311070"/>
                    </a:xfrm>
                    <a:prstGeom prst="rect">
                      <a:avLst/>
                    </a:prstGeom>
                  </pic:spPr>
                </pic:pic>
              </a:graphicData>
            </a:graphic>
          </wp:anchor>
        </w:drawing>
      </w:r>
    </w:p>
    <w:p>
      <w:pPr>
        <w:spacing w:line="261" w:lineRule="auto"/>
        <w:rPr>
          <w:rFonts w:ascii="Arial"/>
          <w:sz w:val="21"/>
        </w:rPr>
      </w:pPr>
    </w:p>
    <w:p>
      <w:pPr>
        <w:spacing w:before="94" w:line="220" w:lineRule="auto"/>
        <w:ind w:left="3239"/>
        <w:outlineLvl w:val="0"/>
        <w:rPr>
          <w:rFonts w:ascii="SimHei" w:eastAsia="SimHei" w:hAnsi="SimHei" w:cs="SimHei"/>
          <w:sz w:val="29"/>
          <w:szCs w:val="29"/>
        </w:rPr>
      </w:pPr>
      <w:r>
        <w:rPr>
          <w:rFonts w:ascii="SimHei" w:eastAsia="SimHei" w:hAnsi="SimHei" w:cs="SimHei"/>
          <w:spacing w:val="20"/>
          <w:sz w:val="29"/>
          <w:szCs w:val="29"/>
        </w:rPr>
        <w:t>粉尘采样器检定规程</w:t>
      </w:r>
    </w:p>
    <w:p>
      <w:pPr>
        <w:spacing w:line="478" w:lineRule="auto"/>
        <w:rPr>
          <w:rFonts w:ascii="Arial"/>
          <w:sz w:val="21"/>
        </w:rPr>
      </w:pPr>
    </w:p>
    <w:p>
      <w:pPr>
        <w:spacing w:before="74" w:line="223" w:lineRule="auto"/>
        <w:ind w:left="20"/>
        <w:rPr>
          <w:rFonts w:ascii="SimHei" w:eastAsia="SimHei" w:hAnsi="SimHei" w:cs="SimHei"/>
          <w:sz w:val="23"/>
          <w:szCs w:val="23"/>
        </w:rPr>
      </w:pPr>
      <w:r>
        <w:rPr>
          <w:rFonts w:ascii="SimHei" w:eastAsia="SimHei" w:hAnsi="SimHei" w:cs="SimHei"/>
          <w:spacing w:val="-10"/>
          <w:sz w:val="23"/>
          <w:szCs w:val="23"/>
        </w:rPr>
        <w:t>1</w:t>
      </w:r>
      <w:r>
        <w:rPr>
          <w:rFonts w:ascii="SimHei" w:eastAsia="SimHei" w:hAnsi="SimHei" w:cs="SimHei"/>
          <w:spacing w:val="13"/>
          <w:sz w:val="23"/>
          <w:szCs w:val="23"/>
        </w:rPr>
        <w:t xml:space="preserve">  </w:t>
      </w:r>
      <w:r>
        <w:rPr>
          <w:rFonts w:ascii="SimHei" w:eastAsia="SimHei" w:hAnsi="SimHei" w:cs="SimHei"/>
          <w:spacing w:val="-10"/>
          <w:sz w:val="23"/>
          <w:szCs w:val="23"/>
        </w:rPr>
        <w:t>范围</w:t>
      </w:r>
    </w:p>
    <w:p>
      <w:pPr>
        <w:pStyle w:val="BodyText"/>
        <w:spacing w:before="280" w:line="511" w:lineRule="exact"/>
        <w:ind w:right="15"/>
        <w:jc w:val="right"/>
      </w:pPr>
      <w:r>
        <w:rPr>
          <w:spacing w:val="16"/>
          <w:position w:val="21"/>
        </w:rPr>
        <w:t>本规程适用于粉尘采样器(含飘尘采样器)的首次检定、后续检定及使用中</w:t>
      </w:r>
      <w:r>
        <w:rPr>
          <w:spacing w:val="15"/>
          <w:position w:val="21"/>
        </w:rPr>
        <w:t>检验。</w:t>
      </w:r>
    </w:p>
    <w:p>
      <w:pPr>
        <w:spacing w:line="222" w:lineRule="auto"/>
        <w:ind w:left="50"/>
        <w:rPr>
          <w:rFonts w:ascii="SimHei" w:eastAsia="SimHei" w:hAnsi="SimHei" w:cs="SimHei"/>
          <w:sz w:val="23"/>
          <w:szCs w:val="23"/>
        </w:rPr>
      </w:pPr>
      <w:r>
        <w:rPr>
          <w:rFonts w:ascii="SimHei" w:eastAsia="SimHei" w:hAnsi="SimHei" w:cs="SimHei"/>
          <w:spacing w:val="-2"/>
          <w:sz w:val="23"/>
          <w:szCs w:val="23"/>
        </w:rPr>
        <w:t>2</w:t>
      </w:r>
      <w:r>
        <w:rPr>
          <w:rFonts w:ascii="SimHei" w:eastAsia="SimHei" w:hAnsi="SimHei" w:cs="SimHei"/>
          <w:spacing w:val="-2"/>
          <w:sz w:val="23"/>
          <w:szCs w:val="23"/>
        </w:rPr>
        <w:t xml:space="preserve">  </w:t>
      </w:r>
      <w:r>
        <w:rPr>
          <w:rFonts w:ascii="SimHei" w:eastAsia="SimHei" w:hAnsi="SimHei" w:cs="SimHei"/>
          <w:spacing w:val="-2"/>
          <w:sz w:val="23"/>
          <w:szCs w:val="23"/>
        </w:rPr>
        <w:t>术语</w:t>
      </w:r>
    </w:p>
    <w:p>
      <w:pPr>
        <w:pStyle w:val="BodyText"/>
        <w:spacing w:before="251" w:line="219" w:lineRule="auto"/>
        <w:ind w:left="50"/>
      </w:pPr>
      <w:r>
        <w:rPr>
          <w:spacing w:val="6"/>
        </w:rPr>
        <w:t>2.1</w:t>
      </w:r>
      <w:r>
        <w:rPr>
          <w:spacing w:val="101"/>
        </w:rPr>
        <w:t xml:space="preserve"> </w:t>
      </w:r>
      <w:r>
        <w:rPr>
          <w:spacing w:val="6"/>
        </w:rPr>
        <w:t>粉尘采样器</w:t>
      </w:r>
    </w:p>
    <w:p>
      <w:pPr>
        <w:pStyle w:val="BodyText"/>
        <w:spacing w:before="108" w:line="219" w:lineRule="auto"/>
        <w:ind w:left="540"/>
      </w:pPr>
      <w:r>
        <w:rPr>
          <w:spacing w:val="8"/>
        </w:rPr>
        <w:t>用于定量采集悬浮在空气中固体颗粒的仪器。</w:t>
      </w:r>
    </w:p>
    <w:p>
      <w:pPr>
        <w:pStyle w:val="BodyText"/>
        <w:spacing w:before="77" w:line="219" w:lineRule="auto"/>
        <w:ind w:left="50"/>
      </w:pPr>
      <w:r>
        <w:rPr>
          <w:spacing w:val="7"/>
        </w:rPr>
        <w:t>2.2</w:t>
      </w:r>
      <w:r>
        <w:rPr>
          <w:spacing w:val="111"/>
        </w:rPr>
        <w:t xml:space="preserve"> </w:t>
      </w:r>
      <w:r>
        <w:rPr>
          <w:spacing w:val="7"/>
        </w:rPr>
        <w:t>呼吸性粉尘采样器</w:t>
      </w:r>
    </w:p>
    <w:p>
      <w:pPr>
        <w:pStyle w:val="BodyText"/>
        <w:spacing w:before="88" w:line="250" w:lineRule="auto"/>
        <w:ind w:left="60" w:right="20" w:firstLine="479"/>
      </w:pPr>
      <w:r>
        <w:rPr>
          <w:spacing w:val="9"/>
        </w:rPr>
        <w:t>具有前级分离器，能够定量采集悬浮于空气中并可进入人体呼吸系统的细微固体颗</w:t>
      </w:r>
      <w:r>
        <w:rPr>
          <w:spacing w:val="14"/>
        </w:rPr>
        <w:t xml:space="preserve"> </w:t>
      </w:r>
      <w:r>
        <w:t>粒的仪器。</w:t>
      </w:r>
    </w:p>
    <w:p>
      <w:pPr>
        <w:pStyle w:val="BodyText"/>
        <w:spacing w:before="66" w:line="219" w:lineRule="auto"/>
        <w:ind w:left="60"/>
      </w:pPr>
      <w:r>
        <w:rPr>
          <w:spacing w:val="7"/>
        </w:rPr>
        <w:t>2.3</w:t>
      </w:r>
      <w:r>
        <w:rPr>
          <w:spacing w:val="82"/>
        </w:rPr>
        <w:t xml:space="preserve"> </w:t>
      </w:r>
      <w:r>
        <w:rPr>
          <w:spacing w:val="7"/>
        </w:rPr>
        <w:t>飘尘采样器</w:t>
      </w:r>
    </w:p>
    <w:p>
      <w:pPr>
        <w:pStyle w:val="BodyText"/>
        <w:spacing w:before="107" w:line="242" w:lineRule="auto"/>
        <w:ind w:left="50" w:right="1735" w:firstLine="479"/>
      </w:pPr>
      <w:r>
        <w:rPr>
          <w:spacing w:val="8"/>
        </w:rPr>
        <w:t>用于定量采集悬浮在大气中的粒径小于10μm 的固体颗</w:t>
      </w:r>
      <w:r>
        <w:rPr>
          <w:spacing w:val="7"/>
        </w:rPr>
        <w:t>粒的仪器。</w:t>
      </w:r>
      <w:r>
        <w:t xml:space="preserve"> </w:t>
      </w:r>
      <w:r>
        <w:rPr>
          <w:spacing w:val="7"/>
        </w:rPr>
        <w:t>2.4</w:t>
      </w:r>
      <w:r>
        <w:rPr>
          <w:spacing w:val="108"/>
        </w:rPr>
        <w:t xml:space="preserve"> </w:t>
      </w:r>
      <w:r>
        <w:rPr>
          <w:spacing w:val="7"/>
        </w:rPr>
        <w:t>连续粉尘采样器</w:t>
      </w:r>
    </w:p>
    <w:p>
      <w:pPr>
        <w:pStyle w:val="BodyText"/>
        <w:spacing w:before="97" w:line="219" w:lineRule="auto"/>
        <w:ind w:left="540"/>
      </w:pPr>
      <w:r>
        <w:rPr>
          <w:spacing w:val="9"/>
        </w:rPr>
        <w:t>在一个工作班或更长时间内连续采集空气中粉尘的仪</w:t>
      </w:r>
      <w:r>
        <w:rPr>
          <w:spacing w:val="8"/>
        </w:rPr>
        <w:t>器。</w:t>
      </w:r>
    </w:p>
    <w:p>
      <w:pPr>
        <w:pStyle w:val="BodyText"/>
        <w:spacing w:before="77" w:line="219" w:lineRule="auto"/>
        <w:ind w:left="20"/>
      </w:pPr>
      <w:r>
        <w:rPr>
          <w:spacing w:val="7"/>
        </w:rPr>
        <w:t>2.5  短时粉尘采样器</w:t>
      </w:r>
    </w:p>
    <w:p>
      <w:pPr>
        <w:pStyle w:val="BodyText"/>
        <w:spacing w:before="99" w:line="250" w:lineRule="auto"/>
        <w:ind w:left="50" w:right="805" w:firstLine="479"/>
      </w:pPr>
      <w:r>
        <w:rPr>
          <w:spacing w:val="11"/>
        </w:rPr>
        <w:t>定点、定时采集空气中粉尘的仪器，通常单个样品的采集时间在1</w:t>
      </w:r>
      <w:r>
        <w:rPr>
          <w:spacing w:val="-69"/>
        </w:rPr>
        <w:t xml:space="preserve"> </w:t>
      </w:r>
      <w:r>
        <w:rPr>
          <w:rFonts w:ascii="Times New Roman" w:eastAsia="Times New Roman" w:hAnsi="Times New Roman" w:cs="Times New Roman"/>
          <w:spacing w:val="11"/>
        </w:rPr>
        <w:t>h</w:t>
      </w:r>
      <w:r>
        <w:rPr>
          <w:rFonts w:ascii="Times New Roman" w:eastAsia="Times New Roman" w:hAnsi="Times New Roman" w:cs="Times New Roman"/>
          <w:spacing w:val="19"/>
        </w:rPr>
        <w:t xml:space="preserve"> </w:t>
      </w:r>
      <w:r>
        <w:rPr>
          <w:spacing w:val="11"/>
        </w:rPr>
        <w:t>以</w:t>
      </w:r>
      <w:r>
        <w:rPr>
          <w:spacing w:val="10"/>
        </w:rPr>
        <w:t>内。</w:t>
      </w:r>
      <w:r>
        <w:t xml:space="preserve"> </w:t>
      </w:r>
      <w:r>
        <w:rPr>
          <w:spacing w:val="5"/>
        </w:rPr>
        <w:t>2.6</w:t>
      </w:r>
      <w:r>
        <w:rPr>
          <w:spacing w:val="103"/>
        </w:rPr>
        <w:t xml:space="preserve"> </w:t>
      </w:r>
      <w:r>
        <w:rPr>
          <w:spacing w:val="5"/>
        </w:rPr>
        <w:t>负载能力</w:t>
      </w:r>
    </w:p>
    <w:p>
      <w:pPr>
        <w:pStyle w:val="BodyText"/>
        <w:spacing w:before="86" w:line="219" w:lineRule="auto"/>
        <w:ind w:left="550"/>
      </w:pPr>
      <w:r>
        <w:rPr>
          <w:spacing w:val="9"/>
        </w:rPr>
        <w:t>在规定的采样流量下，采样器克服气路、滤膜和粉尘的阻力大小。</w:t>
      </w:r>
    </w:p>
    <w:p>
      <w:pPr>
        <w:pStyle w:val="BodyText"/>
        <w:spacing w:before="67" w:line="219" w:lineRule="auto"/>
        <w:ind w:left="40"/>
      </w:pPr>
      <w:r>
        <w:rPr>
          <w:spacing w:val="5"/>
        </w:rPr>
        <w:t>2.7</w:t>
      </w:r>
      <w:r>
        <w:rPr>
          <w:spacing w:val="3"/>
        </w:rPr>
        <w:t xml:space="preserve">  </w:t>
      </w:r>
      <w:r>
        <w:rPr>
          <w:spacing w:val="5"/>
        </w:rPr>
        <w:t>采样流量</w:t>
      </w:r>
    </w:p>
    <w:p>
      <w:pPr>
        <w:pStyle w:val="BodyText"/>
        <w:spacing w:before="97" w:line="519" w:lineRule="exact"/>
        <w:ind w:left="509"/>
      </w:pPr>
      <w:r>
        <w:rPr>
          <w:spacing w:val="9"/>
          <w:position w:val="22"/>
        </w:rPr>
        <w:t>采样时，单位时间内通过粉尘采样器采样口的空气体积。</w:t>
      </w:r>
    </w:p>
    <w:p>
      <w:pPr>
        <w:spacing w:before="2" w:line="220" w:lineRule="auto"/>
        <w:ind w:left="20"/>
        <w:rPr>
          <w:rFonts w:ascii="SimHei" w:eastAsia="SimHei" w:hAnsi="SimHei" w:cs="SimHei"/>
          <w:sz w:val="23"/>
          <w:szCs w:val="23"/>
        </w:rPr>
      </w:pPr>
      <w:r>
        <w:rPr>
          <w:rFonts w:ascii="SimHei" w:eastAsia="SimHei" w:hAnsi="SimHei" w:cs="SimHei"/>
          <w:spacing w:val="3"/>
          <w:sz w:val="23"/>
          <w:szCs w:val="23"/>
        </w:rPr>
        <w:t>3</w:t>
      </w:r>
      <w:r>
        <w:rPr>
          <w:rFonts w:ascii="SimHei" w:eastAsia="SimHei" w:hAnsi="SimHei" w:cs="SimHei"/>
          <w:spacing w:val="7"/>
          <w:sz w:val="23"/>
          <w:szCs w:val="23"/>
        </w:rPr>
        <w:t xml:space="preserve">  </w:t>
      </w:r>
      <w:r>
        <w:rPr>
          <w:rFonts w:ascii="SimHei" w:eastAsia="SimHei" w:hAnsi="SimHei" w:cs="SimHei"/>
          <w:spacing w:val="3"/>
          <w:sz w:val="23"/>
          <w:szCs w:val="23"/>
        </w:rPr>
        <w:t>概述</w:t>
      </w:r>
    </w:p>
    <w:p>
      <w:pPr>
        <w:pStyle w:val="BodyText"/>
        <w:spacing w:before="275" w:line="258" w:lineRule="auto"/>
        <w:ind w:left="50" w:right="27" w:firstLine="489"/>
        <w:jc w:val="both"/>
      </w:pPr>
      <w:r>
        <w:rPr>
          <w:spacing w:val="9"/>
        </w:rPr>
        <w:t>我国目前测量空气中粉尘质量浓度的方法主要是计重法，其原理是用粉尘采样器抽</w:t>
      </w:r>
      <w:r>
        <w:rPr>
          <w:spacing w:val="2"/>
        </w:rPr>
        <w:t xml:space="preserve"> </w:t>
      </w:r>
      <w:r>
        <w:rPr>
          <w:spacing w:val="10"/>
        </w:rPr>
        <w:t>取一定体积的含尘空气，粉尘被捕集在质量</w:t>
      </w:r>
      <w:r>
        <w:rPr>
          <w:spacing w:val="9"/>
        </w:rPr>
        <w:t>已知的滤膜上，然后在实验室称量出含尘滤</w:t>
      </w:r>
      <w:r>
        <w:t xml:space="preserve"> </w:t>
      </w:r>
      <w:r>
        <w:rPr>
          <w:spacing w:val="16"/>
        </w:rPr>
        <w:t>膜的质量，并根据公式(1)计算出粉尘的质量浓度：</w:t>
      </w:r>
    </w:p>
    <w:p>
      <w:pPr>
        <w:pStyle w:val="BodyText"/>
        <w:spacing w:before="281" w:line="222" w:lineRule="auto"/>
        <w:ind w:left="8819"/>
      </w:pPr>
      <w:r>
        <w:rPr>
          <w:spacing w:val="-11"/>
        </w:rPr>
        <w:t>(1)</w:t>
      </w:r>
    </w:p>
    <w:p>
      <w:pPr>
        <w:pStyle w:val="BodyText"/>
        <w:spacing w:before="193" w:line="212" w:lineRule="auto"/>
        <w:ind w:left="40"/>
        <w:rPr>
          <w:rFonts w:ascii="Times New Roman" w:eastAsia="Times New Roman" w:hAnsi="Times New Roman" w:cs="Times New Roman"/>
        </w:rPr>
      </w:pPr>
      <w:r>
        <w:rPr>
          <w:spacing w:val="-3"/>
        </w:rPr>
        <w:t>式中：</w:t>
      </w:r>
      <w:r>
        <w:rPr>
          <w:spacing w:val="50"/>
        </w:rPr>
        <w:t xml:space="preserve"> </w:t>
      </w:r>
      <w:r>
        <w:rPr>
          <w:rFonts w:ascii="Times New Roman" w:eastAsia="Times New Roman" w:hAnsi="Times New Roman" w:cs="Times New Roman"/>
          <w:spacing w:val="-3"/>
        </w:rPr>
        <w:t>p——</w:t>
      </w:r>
      <w:r>
        <w:rPr>
          <w:rFonts w:ascii="Times New Roman" w:eastAsia="Times New Roman" w:hAnsi="Times New Roman" w:cs="Times New Roman"/>
          <w:spacing w:val="15"/>
          <w:w w:val="101"/>
        </w:rPr>
        <w:t xml:space="preserve"> </w:t>
      </w:r>
      <w:r>
        <w:rPr>
          <w:spacing w:val="-3"/>
        </w:rPr>
        <w:t>粉尘质量浓度，</w:t>
      </w:r>
      <w:r>
        <w:rPr>
          <w:rFonts w:ascii="Times New Roman" w:eastAsia="Times New Roman" w:hAnsi="Times New Roman" w:cs="Times New Roman"/>
          <w:spacing w:val="-3"/>
        </w:rPr>
        <w:t>mg/m³;</w:t>
      </w:r>
    </w:p>
    <w:p>
      <w:pPr>
        <w:pStyle w:val="BodyText"/>
        <w:spacing w:before="135" w:line="380" w:lineRule="exact"/>
        <w:ind w:left="640"/>
      </w:pPr>
      <w:r>
        <w:rPr>
          <w:spacing w:val="5"/>
          <w:position w:val="11"/>
        </w:rPr>
        <w:t>m</w:t>
      </w:r>
      <w:r>
        <w:rPr>
          <w:rFonts w:ascii="Calibri" w:eastAsia="Calibri" w:hAnsi="Calibri" w:cs="Calibri"/>
          <w:spacing w:val="5"/>
          <w:position w:val="11"/>
        </w:rPr>
        <w:t>₁</w:t>
      </w:r>
      <w:r>
        <w:rPr>
          <w:spacing w:val="5"/>
          <w:position w:val="11"/>
        </w:rPr>
        <w:t>—— 滤膜采集粉尘前的质量，</w:t>
      </w:r>
      <w:r>
        <w:rPr>
          <w:position w:val="11"/>
        </w:rPr>
        <w:t>mg</w:t>
      </w:r>
      <w:r>
        <w:rPr>
          <w:spacing w:val="5"/>
          <w:position w:val="11"/>
        </w:rPr>
        <w:t>;</w:t>
      </w:r>
    </w:p>
    <w:p>
      <w:pPr>
        <w:pStyle w:val="BodyText"/>
        <w:spacing w:before="1" w:line="213" w:lineRule="auto"/>
        <w:ind w:left="640"/>
        <w:sectPr>
          <w:headerReference w:type="default" r:id="rId5"/>
          <w:footerReference w:type="default" r:id="rId6"/>
          <w:pgSz w:w="11910" w:h="16840"/>
          <w:pgMar w:top="1499" w:right="1370" w:bottom="1309" w:left="1360" w:header="1256" w:footer="1140" w:gutter="0"/>
          <w:cols w:space="708"/>
        </w:sectPr>
      </w:pPr>
      <w:r>
        <w:rPr>
          <w:spacing w:val="5"/>
        </w:rPr>
        <w:t>m</w:t>
      </w:r>
      <w:r>
        <w:rPr>
          <w:rFonts w:ascii="Calibri" w:eastAsia="Calibri" w:hAnsi="Calibri" w:cs="Calibri"/>
          <w:spacing w:val="5"/>
        </w:rPr>
        <w:t>₂</w:t>
      </w:r>
      <w:r>
        <w:rPr>
          <w:spacing w:val="5"/>
        </w:rPr>
        <w:t>——</w:t>
      </w:r>
      <w:r>
        <w:rPr>
          <w:spacing w:val="-11"/>
        </w:rPr>
        <w:t xml:space="preserve"> </w:t>
      </w:r>
      <w:r>
        <w:rPr>
          <w:spacing w:val="5"/>
        </w:rPr>
        <w:t>滤膜采集粉尘后的质量，</w:t>
      </w:r>
      <w:r>
        <w:t>mg</w:t>
      </w:r>
      <w:r>
        <w:rPr>
          <w:spacing w:val="5"/>
        </w:rPr>
        <w:t>;</w:t>
      </w:r>
    </w:p>
    <w:p>
      <w:pPr>
        <w:pStyle w:val="BodyText"/>
        <w:spacing w:before="55" w:line="212" w:lineRule="auto"/>
        <w:ind w:left="660"/>
        <w:rPr>
          <w:rFonts w:ascii="Times New Roman" w:eastAsia="Times New Roman" w:hAnsi="Times New Roman" w:cs="Times New Roman"/>
        </w:rPr>
      </w:pPr>
      <w:r>
        <w:rPr>
          <w:rFonts w:ascii="Times New Roman" w:eastAsia="Times New Roman" w:hAnsi="Times New Roman" w:cs="Times New Roman"/>
          <w:spacing w:val="-3"/>
        </w:rPr>
        <w:t>qv——</w:t>
      </w:r>
      <w:r>
        <w:rPr>
          <w:rFonts w:ascii="Times New Roman" w:eastAsia="Times New Roman" w:hAnsi="Times New Roman" w:cs="Times New Roman"/>
          <w:spacing w:val="-9"/>
        </w:rPr>
        <w:t xml:space="preserve"> </w:t>
      </w:r>
      <w:r>
        <w:rPr>
          <w:spacing w:val="-3"/>
        </w:rPr>
        <w:t>采样流量，</w:t>
      </w:r>
      <w:r>
        <w:rPr>
          <w:spacing w:val="-45"/>
        </w:rPr>
        <w:t xml:space="preserve"> </w:t>
      </w:r>
      <w:r>
        <w:rPr>
          <w:rFonts w:ascii="Times New Roman" w:eastAsia="Times New Roman" w:hAnsi="Times New Roman" w:cs="Times New Roman"/>
          <w:spacing w:val="-3"/>
        </w:rPr>
        <w:t>L/min;</w:t>
      </w:r>
    </w:p>
    <w:p>
      <w:pPr>
        <w:pStyle w:val="BodyText"/>
        <w:spacing w:before="140" w:line="219" w:lineRule="auto"/>
        <w:ind w:left="799"/>
      </w:pPr>
      <w:r>
        <w:rPr>
          <w:rFonts w:ascii="Times New Roman" w:eastAsia="Times New Roman" w:hAnsi="Times New Roman" w:cs="Times New Roman"/>
          <w:spacing w:val="-6"/>
        </w:rPr>
        <w:t>t——</w:t>
      </w:r>
      <w:r>
        <w:rPr>
          <w:rFonts w:ascii="Times New Roman" w:eastAsia="Times New Roman" w:hAnsi="Times New Roman" w:cs="Times New Roman"/>
          <w:spacing w:val="25"/>
        </w:rPr>
        <w:t xml:space="preserve"> </w:t>
      </w:r>
      <w:r>
        <w:rPr>
          <w:spacing w:val="-6"/>
        </w:rPr>
        <w:t>采样时间，</w:t>
      </w:r>
      <w:r>
        <w:rPr>
          <w:spacing w:val="-35"/>
        </w:rPr>
        <w:t xml:space="preserve"> </w:t>
      </w:r>
      <w:r>
        <w:rPr>
          <w:rFonts w:ascii="Times New Roman" w:eastAsia="Times New Roman" w:hAnsi="Times New Roman" w:cs="Times New Roman"/>
          <w:spacing w:val="-6"/>
        </w:rPr>
        <w:t>min</w:t>
      </w:r>
      <w:r>
        <w:rPr>
          <w:spacing w:val="-6"/>
        </w:rPr>
        <w:t>。</w:t>
      </w:r>
    </w:p>
    <w:p>
      <w:pPr>
        <w:pStyle w:val="BodyText"/>
        <w:spacing w:before="107" w:line="250" w:lineRule="auto"/>
        <w:ind w:left="60" w:right="58" w:firstLine="439"/>
      </w:pPr>
      <w:r>
        <w:rPr>
          <w:spacing w:val="9"/>
        </w:rPr>
        <w:t>粉尘采样器主要由采样头、抽气泵、流量计、电源等部分组成。某些采样器还具有</w:t>
      </w:r>
      <w:r>
        <w:rPr>
          <w:spacing w:val="16"/>
        </w:rPr>
        <w:t xml:space="preserve"> </w:t>
      </w:r>
      <w:r>
        <w:rPr>
          <w:spacing w:val="7"/>
        </w:rPr>
        <w:t>采样时间显示、采样体积显示装置。</w:t>
      </w:r>
    </w:p>
    <w:p>
      <w:pPr>
        <w:pStyle w:val="BodyText"/>
        <w:spacing w:before="98" w:line="219" w:lineRule="auto"/>
        <w:ind w:right="20"/>
        <w:jc w:val="right"/>
      </w:pPr>
      <w:r>
        <w:rPr>
          <w:spacing w:val="10"/>
        </w:rPr>
        <w:t>粉尘采样器按其工作时间分为短时和连续粉尘采样器；</w:t>
      </w:r>
      <w:r>
        <w:rPr>
          <w:spacing w:val="9"/>
        </w:rPr>
        <w:t>按其采尘粒径范围可分为总</w:t>
      </w:r>
    </w:p>
    <w:p>
      <w:pPr>
        <w:spacing w:line="219" w:lineRule="auto"/>
        <w:sectPr>
          <w:headerReference w:type="default" r:id="rId7"/>
          <w:footerReference w:type="default" r:id="rId8"/>
          <w:type w:val="nextPage"/>
          <w:pgSz w:w="11910" w:h="16840"/>
          <w:pgMar w:top="1499" w:right="1370" w:bottom="1309" w:left="1360" w:header="1256" w:footer="1140" w:gutter="0"/>
          <w:pgNumType w:start="2"/>
          <w:cols w:space="708"/>
          <w:titlePg w:val="0"/>
        </w:sectPr>
      </w:pPr>
    </w:p>
    <w:p>
      <w:pPr>
        <w:spacing w:line="241" w:lineRule="auto"/>
        <w:rPr>
          <w:rFonts w:ascii="Arial"/>
          <w:sz w:val="21"/>
        </w:rPr>
      </w:pPr>
    </w:p>
    <w:p>
      <w:pPr>
        <w:pStyle w:val="BodyText"/>
        <w:spacing w:before="75" w:line="219" w:lineRule="auto"/>
        <w:ind w:left="30"/>
      </w:pPr>
      <w:r>
        <w:rPr>
          <w:spacing w:val="2"/>
        </w:rPr>
        <w:t>粉尘和呼吸性粉尘采样器。</w:t>
      </w:r>
    </w:p>
    <w:p>
      <w:pPr>
        <w:pStyle w:val="BodyText"/>
        <w:spacing w:before="78" w:line="254" w:lineRule="auto"/>
        <w:ind w:left="30" w:right="175" w:firstLine="469"/>
      </w:pPr>
      <w:r>
        <w:rPr>
          <w:spacing w:val="6"/>
        </w:rPr>
        <w:t>呼吸性粉尘采样器前级预捕集器主要有水平淘析器、惯性冲击器、旋风分离器和向</w:t>
      </w:r>
      <w:r>
        <w:rPr>
          <w:spacing w:val="7"/>
        </w:rPr>
        <w:t xml:space="preserve"> </w:t>
      </w:r>
      <w:r>
        <w:rPr>
          <w:spacing w:val="-2"/>
        </w:rPr>
        <w:t>心分离器等类型。</w:t>
      </w:r>
    </w:p>
    <w:p>
      <w:pPr>
        <w:pStyle w:val="BodyText"/>
        <w:spacing w:before="66" w:line="317" w:lineRule="auto"/>
        <w:ind w:left="30" w:right="119" w:firstLine="469"/>
        <w:jc w:val="both"/>
      </w:pPr>
      <w:r>
        <w:rPr>
          <w:spacing w:val="5"/>
        </w:rPr>
        <w:t>飘尘采样器与粉尘采样器所不同的是其采样头带有10μ</w:t>
      </w:r>
      <w:r>
        <w:rPr>
          <w:rFonts w:ascii="Times New Roman" w:eastAsia="Times New Roman" w:hAnsi="Times New Roman" w:cs="Times New Roman"/>
          <w:spacing w:val="5"/>
        </w:rPr>
        <w:t>m</w:t>
      </w:r>
      <w:r>
        <w:rPr>
          <w:spacing w:val="5"/>
        </w:rPr>
        <w:t>的切割器，</w:t>
      </w:r>
      <w:r>
        <w:rPr>
          <w:spacing w:val="4"/>
        </w:rPr>
        <w:t>对大于10</w:t>
      </w:r>
      <w:r>
        <w:rPr>
          <w:spacing w:val="84"/>
        </w:rPr>
        <w:t xml:space="preserve"> </w:t>
      </w:r>
      <w:r>
        <w:rPr>
          <w:spacing w:val="4"/>
        </w:rPr>
        <w:t>μ</w:t>
      </w:r>
      <w:r>
        <w:rPr>
          <w:rFonts w:ascii="Times New Roman" w:eastAsia="Times New Roman" w:hAnsi="Times New Roman" w:cs="Times New Roman"/>
          <w:spacing w:val="4"/>
        </w:rPr>
        <w:t>m</w:t>
      </w:r>
      <w:r>
        <w:rPr>
          <w:rFonts w:ascii="Times New Roman" w:eastAsia="Times New Roman" w:hAnsi="Times New Roman" w:cs="Times New Roman"/>
        </w:rPr>
        <w:t xml:space="preserve"> </w:t>
      </w:r>
      <w:r>
        <w:rPr>
          <w:spacing w:val="13"/>
        </w:rPr>
        <w:t>的尘粒进行分离，小于10μm 的尘粒随着气</w:t>
      </w:r>
      <w:r>
        <w:rPr>
          <w:spacing w:val="12"/>
        </w:rPr>
        <w:t>流经切割器出口被捕集在已知质量的滤膜</w:t>
      </w:r>
    </w:p>
    <w:p>
      <w:pPr>
        <w:pStyle w:val="BodyText"/>
        <w:spacing w:line="232" w:lineRule="auto"/>
        <w:ind w:left="30"/>
        <w:rPr>
          <w:sz w:val="17"/>
          <w:szCs w:val="17"/>
        </w:rPr>
      </w:pPr>
      <w:r>
        <w:rPr>
          <w:spacing w:val="-4"/>
          <w:sz w:val="17"/>
          <w:szCs w:val="17"/>
        </w:rPr>
        <w:t>上</w:t>
      </w:r>
      <w:r>
        <w:rPr>
          <w:spacing w:val="2"/>
          <w:sz w:val="17"/>
          <w:szCs w:val="17"/>
        </w:rPr>
        <w:t xml:space="preserve"> </w:t>
      </w:r>
      <w:r>
        <w:rPr>
          <w:spacing w:val="-4"/>
          <w:sz w:val="17"/>
          <w:szCs w:val="17"/>
        </w:rPr>
        <w:t>。</w:t>
      </w:r>
    </w:p>
    <w:p>
      <w:pPr>
        <w:spacing w:before="243" w:line="222" w:lineRule="auto"/>
        <w:ind w:left="32"/>
        <w:rPr>
          <w:rFonts w:ascii="SimHei" w:eastAsia="SimHei" w:hAnsi="SimHei" w:cs="SimHei"/>
          <w:sz w:val="23"/>
          <w:szCs w:val="23"/>
        </w:rPr>
      </w:pPr>
      <w:r>
        <w:rPr>
          <w:rFonts w:ascii="SimHei" w:eastAsia="SimHei" w:hAnsi="SimHei" w:cs="SimHei"/>
          <w:b/>
          <w:bCs/>
          <w:spacing w:val="-8"/>
          <w:sz w:val="23"/>
          <w:szCs w:val="23"/>
        </w:rPr>
        <w:t>4</w:t>
      </w:r>
      <w:r>
        <w:rPr>
          <w:rFonts w:ascii="SimHei" w:eastAsia="SimHei" w:hAnsi="SimHei" w:cs="SimHei"/>
          <w:spacing w:val="7"/>
          <w:sz w:val="23"/>
          <w:szCs w:val="23"/>
        </w:rPr>
        <w:t xml:space="preserve">  </w:t>
      </w:r>
      <w:r>
        <w:rPr>
          <w:rFonts w:ascii="SimHei" w:eastAsia="SimHei" w:hAnsi="SimHei" w:cs="SimHei"/>
          <w:b/>
          <w:bCs/>
          <w:spacing w:val="-8"/>
          <w:sz w:val="23"/>
          <w:szCs w:val="23"/>
        </w:rPr>
        <w:t>计量性能要求</w:t>
      </w:r>
    </w:p>
    <w:p>
      <w:pPr>
        <w:pStyle w:val="BodyText"/>
        <w:spacing w:before="255" w:line="219" w:lineRule="auto"/>
        <w:ind w:left="30"/>
      </w:pPr>
      <w:r>
        <w:rPr>
          <w:spacing w:val="1"/>
        </w:rPr>
        <w:t>4.1  采样流量误差</w:t>
      </w:r>
    </w:p>
    <w:p>
      <w:pPr>
        <w:pStyle w:val="BodyText"/>
        <w:spacing w:before="55" w:line="270" w:lineRule="auto"/>
        <w:ind w:left="30" w:right="136" w:firstLine="469"/>
        <w:jc w:val="both"/>
      </w:pPr>
      <w:r>
        <w:rPr>
          <w:spacing w:val="19"/>
        </w:rPr>
        <w:t>呼吸性粉尘采样器(含飘尘采样器)的采样流量误差限为±3.0%</w:t>
      </w:r>
      <w:r>
        <w:rPr>
          <w:rFonts w:ascii="Times New Roman" w:eastAsia="Times New Roman" w:hAnsi="Times New Roman" w:cs="Times New Roman"/>
        </w:rPr>
        <w:t>FS</w:t>
      </w:r>
      <w:r>
        <w:rPr>
          <w:rFonts w:ascii="Times New Roman" w:eastAsia="Times New Roman" w:hAnsi="Times New Roman" w:cs="Times New Roman"/>
          <w:spacing w:val="19"/>
        </w:rPr>
        <w:t>;</w:t>
      </w:r>
      <w:r>
        <w:rPr>
          <w:rFonts w:ascii="Times New Roman" w:eastAsia="Times New Roman" w:hAnsi="Times New Roman" w:cs="Times New Roman"/>
          <w:spacing w:val="2"/>
        </w:rPr>
        <w:t xml:space="preserve">   </w:t>
      </w:r>
      <w:r>
        <w:rPr>
          <w:spacing w:val="19"/>
        </w:rPr>
        <w:t>采样流量固</w:t>
      </w:r>
      <w:r>
        <w:t xml:space="preserve"> </w:t>
      </w:r>
      <w:r>
        <w:rPr>
          <w:spacing w:val="13"/>
        </w:rPr>
        <w:t>定的粉尘采样器的采样流量误差限为±3.0</w:t>
      </w:r>
      <w:r>
        <w:rPr>
          <w:spacing w:val="12"/>
        </w:rPr>
        <w:t>%</w:t>
      </w:r>
      <w:r>
        <w:t>FS</w:t>
      </w:r>
      <w:r>
        <w:rPr>
          <w:spacing w:val="12"/>
        </w:rPr>
        <w:t>; 采样流量可调的粉尘采样器的采样流</w:t>
      </w:r>
      <w:r>
        <w:t xml:space="preserve"> </w:t>
      </w:r>
      <w:r>
        <w:rPr>
          <w:spacing w:val="9"/>
        </w:rPr>
        <w:t>量误差限为±5.0%</w:t>
      </w:r>
      <w:r>
        <w:rPr>
          <w:rFonts w:ascii="Times New Roman" w:eastAsia="Times New Roman" w:hAnsi="Times New Roman" w:cs="Times New Roman"/>
        </w:rPr>
        <w:t>FS</w:t>
      </w:r>
      <w:r>
        <w:rPr>
          <w:spacing w:val="9"/>
        </w:rPr>
        <w:t>。</w:t>
      </w:r>
    </w:p>
    <w:p>
      <w:pPr>
        <w:pStyle w:val="BodyText"/>
        <w:spacing w:before="73" w:line="219" w:lineRule="auto"/>
        <w:ind w:left="30"/>
      </w:pPr>
      <w:r>
        <w:rPr>
          <w:spacing w:val="3"/>
        </w:rPr>
        <w:t>4.2</w:t>
      </w:r>
      <w:r>
        <w:rPr>
          <w:spacing w:val="98"/>
        </w:rPr>
        <w:t xml:space="preserve"> </w:t>
      </w:r>
      <w:r>
        <w:rPr>
          <w:spacing w:val="3"/>
        </w:rPr>
        <w:t>采样流量稳定性</w:t>
      </w:r>
    </w:p>
    <w:p>
      <w:pPr>
        <w:pStyle w:val="BodyText"/>
        <w:spacing w:before="64" w:line="364" w:lineRule="exact"/>
        <w:ind w:left="499"/>
        <w:rPr>
          <w:rFonts w:ascii="Times New Roman" w:eastAsia="Times New Roman" w:hAnsi="Times New Roman" w:cs="Times New Roman"/>
        </w:rPr>
      </w:pPr>
      <w:r>
        <w:rPr>
          <w:spacing w:val="13"/>
          <w:position w:val="10"/>
        </w:rPr>
        <w:t xml:space="preserve">短时粉尘采样器的采样流量在60 </w:t>
      </w:r>
      <w:r>
        <w:rPr>
          <w:rFonts w:ascii="Times New Roman" w:eastAsia="Times New Roman" w:hAnsi="Times New Roman" w:cs="Times New Roman"/>
          <w:position w:val="10"/>
        </w:rPr>
        <w:t>min</w:t>
      </w:r>
      <w:r>
        <w:rPr>
          <w:spacing w:val="13"/>
          <w:position w:val="10"/>
        </w:rPr>
        <w:t>内的变化</w:t>
      </w:r>
      <w:r>
        <w:rPr>
          <w:spacing w:val="12"/>
          <w:position w:val="10"/>
        </w:rPr>
        <w:t>不大于3%</w:t>
      </w:r>
      <w:r>
        <w:rPr>
          <w:rFonts w:ascii="Times New Roman" w:eastAsia="Times New Roman" w:hAnsi="Times New Roman" w:cs="Times New Roman"/>
          <w:position w:val="10"/>
        </w:rPr>
        <w:t>FS</w:t>
      </w:r>
      <w:r>
        <w:rPr>
          <w:rFonts w:ascii="Times New Roman" w:eastAsia="Times New Roman" w:hAnsi="Times New Roman" w:cs="Times New Roman"/>
          <w:spacing w:val="12"/>
          <w:position w:val="10"/>
        </w:rPr>
        <w:t>;</w:t>
      </w:r>
    </w:p>
    <w:p>
      <w:pPr>
        <w:pStyle w:val="BodyText"/>
        <w:spacing w:before="1" w:line="218" w:lineRule="auto"/>
        <w:ind w:left="499"/>
      </w:pPr>
      <w:r>
        <w:rPr>
          <w:spacing w:val="14"/>
        </w:rPr>
        <w:t>连续粉尘采样器的采样流量在8</w:t>
      </w:r>
      <w:r>
        <w:rPr>
          <w:spacing w:val="-62"/>
        </w:rPr>
        <w:t xml:space="preserve"> </w:t>
      </w:r>
      <w:r>
        <w:rPr>
          <w:rFonts w:ascii="Times New Roman" w:eastAsia="Times New Roman" w:hAnsi="Times New Roman" w:cs="Times New Roman"/>
          <w:spacing w:val="14"/>
        </w:rPr>
        <w:t xml:space="preserve">h </w:t>
      </w:r>
      <w:r>
        <w:rPr>
          <w:spacing w:val="14"/>
        </w:rPr>
        <w:t>内的变化不大于3%</w:t>
      </w:r>
      <w:r>
        <w:rPr>
          <w:rFonts w:ascii="Times New Roman" w:eastAsia="Times New Roman" w:hAnsi="Times New Roman" w:cs="Times New Roman"/>
        </w:rPr>
        <w:t>FS</w:t>
      </w:r>
      <w:r>
        <w:rPr>
          <w:spacing w:val="14"/>
        </w:rPr>
        <w:t>。</w:t>
      </w:r>
    </w:p>
    <w:p>
      <w:pPr>
        <w:pStyle w:val="BodyText"/>
        <w:spacing w:before="87" w:line="219" w:lineRule="auto"/>
        <w:ind w:left="30"/>
      </w:pPr>
      <w:r>
        <w:rPr>
          <w:spacing w:val="1"/>
        </w:rPr>
        <w:t>4.3</w:t>
      </w:r>
      <w:r>
        <w:rPr>
          <w:spacing w:val="102"/>
        </w:rPr>
        <w:t xml:space="preserve"> </w:t>
      </w:r>
      <w:r>
        <w:rPr>
          <w:spacing w:val="1"/>
        </w:rPr>
        <w:t>采样时间误差</w:t>
      </w:r>
    </w:p>
    <w:p>
      <w:pPr>
        <w:pStyle w:val="BodyText"/>
        <w:spacing w:before="78" w:line="400" w:lineRule="exact"/>
        <w:ind w:left="499"/>
      </w:pPr>
      <w:r>
        <w:rPr>
          <w:spacing w:val="15"/>
          <w:position w:val="12"/>
        </w:rPr>
        <w:t>具有采样时间显示或设定的粉尘采样器，其采样时间允许误差为5</w:t>
      </w:r>
      <w:r>
        <w:rPr>
          <w:spacing w:val="14"/>
          <w:position w:val="12"/>
        </w:rPr>
        <w:t xml:space="preserve"> </w:t>
      </w:r>
      <w:r>
        <w:rPr>
          <w:position w:val="12"/>
        </w:rPr>
        <w:t>min</w:t>
      </w:r>
      <w:r>
        <w:rPr>
          <w:spacing w:val="-27"/>
          <w:position w:val="12"/>
        </w:rPr>
        <w:t xml:space="preserve"> </w:t>
      </w:r>
      <w:r>
        <w:rPr>
          <w:spacing w:val="14"/>
          <w:position w:val="12"/>
        </w:rPr>
        <w:t>内不超过</w:t>
      </w:r>
    </w:p>
    <w:p>
      <w:pPr>
        <w:pStyle w:val="BodyText"/>
        <w:spacing w:line="180" w:lineRule="auto"/>
        <w:ind w:left="120"/>
      </w:pPr>
      <w:r>
        <w:rPr>
          <w:rFonts w:ascii="Times New Roman" w:eastAsia="Times New Roman" w:hAnsi="Times New Roman" w:cs="Times New Roman"/>
          <w:spacing w:val="-3"/>
        </w:rPr>
        <w:t>±1.0</w:t>
      </w:r>
      <w:r>
        <w:rPr>
          <w:rFonts w:ascii="Times New Roman" w:eastAsia="Times New Roman" w:hAnsi="Times New Roman" w:cs="Times New Roman"/>
          <w:spacing w:val="9"/>
        </w:rPr>
        <w:t xml:space="preserve">   </w:t>
      </w:r>
      <w:r>
        <w:rPr>
          <w:rFonts w:ascii="Times New Roman" w:eastAsia="Times New Roman" w:hAnsi="Times New Roman" w:cs="Times New Roman"/>
          <w:spacing w:val="-3"/>
        </w:rPr>
        <w:t>s</w:t>
      </w:r>
      <w:r>
        <w:rPr>
          <w:spacing w:val="-3"/>
        </w:rPr>
        <w:t>。</w:t>
      </w:r>
    </w:p>
    <w:p>
      <w:pPr>
        <w:pStyle w:val="BodyText"/>
        <w:spacing w:before="85" w:line="219" w:lineRule="auto"/>
        <w:ind w:left="30"/>
      </w:pPr>
      <w:r>
        <w:rPr>
          <w:spacing w:val="2"/>
        </w:rPr>
        <w:t>4.4</w:t>
      </w:r>
      <w:r>
        <w:rPr>
          <w:spacing w:val="113"/>
        </w:rPr>
        <w:t xml:space="preserve"> </w:t>
      </w:r>
      <w:r>
        <w:rPr>
          <w:spacing w:val="2"/>
        </w:rPr>
        <w:t>采样体积误差</w:t>
      </w:r>
    </w:p>
    <w:p>
      <w:pPr>
        <w:pStyle w:val="BodyText"/>
        <w:spacing w:before="77" w:line="219" w:lineRule="auto"/>
        <w:ind w:left="499"/>
      </w:pPr>
      <w:r>
        <w:rPr>
          <w:spacing w:val="9"/>
        </w:rPr>
        <w:t>具有采样体积显示或设定的粉尘采样器，其采样体积误差限为±5.0</w:t>
      </w:r>
      <w:r>
        <w:rPr>
          <w:spacing w:val="8"/>
        </w:rPr>
        <w:t>%</w:t>
      </w:r>
      <w:r>
        <w:rPr>
          <w:rFonts w:ascii="Times New Roman" w:eastAsia="Times New Roman" w:hAnsi="Times New Roman" w:cs="Times New Roman"/>
        </w:rPr>
        <w:t>FS</w:t>
      </w:r>
      <w:r>
        <w:rPr>
          <w:spacing w:val="8"/>
        </w:rPr>
        <w:t>。</w:t>
      </w:r>
    </w:p>
    <w:p>
      <w:pPr>
        <w:spacing w:before="245" w:line="222" w:lineRule="auto"/>
        <w:ind w:left="33"/>
        <w:rPr>
          <w:rFonts w:ascii="SimHei" w:eastAsia="SimHei" w:hAnsi="SimHei" w:cs="SimHei"/>
          <w:sz w:val="23"/>
          <w:szCs w:val="23"/>
        </w:rPr>
      </w:pPr>
      <w:r>
        <w:rPr>
          <w:rFonts w:ascii="SimHei" w:eastAsia="SimHei" w:hAnsi="SimHei" w:cs="SimHei"/>
          <w:b/>
          <w:bCs/>
          <w:spacing w:val="-1"/>
          <w:sz w:val="23"/>
          <w:szCs w:val="23"/>
        </w:rPr>
        <w:t>5</w:t>
      </w:r>
      <w:r>
        <w:rPr>
          <w:rFonts w:ascii="SimHei" w:eastAsia="SimHei" w:hAnsi="SimHei" w:cs="SimHei"/>
          <w:spacing w:val="115"/>
          <w:sz w:val="23"/>
          <w:szCs w:val="23"/>
        </w:rPr>
        <w:t xml:space="preserve"> </w:t>
      </w:r>
      <w:r>
        <w:rPr>
          <w:rFonts w:ascii="SimHei" w:eastAsia="SimHei" w:hAnsi="SimHei" w:cs="SimHei"/>
          <w:b/>
          <w:bCs/>
          <w:spacing w:val="-1"/>
          <w:sz w:val="23"/>
          <w:szCs w:val="23"/>
        </w:rPr>
        <w:t>通用技术要求</w:t>
      </w:r>
    </w:p>
    <w:p>
      <w:pPr>
        <w:pStyle w:val="BodyText"/>
        <w:spacing w:before="268" w:line="220" w:lineRule="auto"/>
        <w:ind w:left="30"/>
      </w:pPr>
      <w:r>
        <w:rPr>
          <w:spacing w:val="1"/>
        </w:rPr>
        <w:t>5.1</w:t>
      </w:r>
      <w:r>
        <w:rPr>
          <w:spacing w:val="106"/>
        </w:rPr>
        <w:t xml:space="preserve"> </w:t>
      </w:r>
      <w:r>
        <w:rPr>
          <w:spacing w:val="1"/>
        </w:rPr>
        <w:t>外观及标志</w:t>
      </w:r>
    </w:p>
    <w:p>
      <w:pPr>
        <w:pStyle w:val="BodyText"/>
        <w:spacing w:before="64" w:line="253" w:lineRule="auto"/>
        <w:ind w:left="30" w:right="24" w:firstLine="3"/>
      </w:pPr>
      <w:r>
        <w:rPr>
          <w:b/>
          <w:bCs/>
          <w:spacing w:val="13"/>
        </w:rPr>
        <w:t>5.1.1</w:t>
      </w:r>
      <w:r>
        <w:rPr>
          <w:spacing w:val="91"/>
        </w:rPr>
        <w:t xml:space="preserve"> </w:t>
      </w:r>
      <w:r>
        <w:rPr>
          <w:spacing w:val="13"/>
        </w:rPr>
        <w:t>粉尘采样器的铭牌上应有产品名称、型号、出厂编号、制造日期、制造厂名、</w:t>
      </w:r>
      <w:r>
        <w:t xml:space="preserve"> </w:t>
      </w:r>
      <w:r>
        <w:rPr>
          <w:spacing w:val="6"/>
        </w:rPr>
        <w:t>主要技术指标及制造计量器具许可证标志和编号，防爆型采样器应有防爆标志</w:t>
      </w:r>
      <w:r>
        <w:rPr>
          <w:spacing w:val="5"/>
        </w:rPr>
        <w:t>和编号。</w:t>
      </w:r>
    </w:p>
    <w:p>
      <w:pPr>
        <w:pStyle w:val="BodyText"/>
        <w:spacing w:before="81" w:line="250" w:lineRule="auto"/>
        <w:ind w:left="30" w:right="44" w:firstLine="3"/>
      </w:pPr>
      <w:r>
        <w:rPr>
          <w:b/>
          <w:bCs/>
          <w:spacing w:val="12"/>
        </w:rPr>
        <w:t>5.1.2</w:t>
      </w:r>
      <w:r>
        <w:rPr>
          <w:spacing w:val="104"/>
        </w:rPr>
        <w:t xml:space="preserve"> </w:t>
      </w:r>
      <w:r>
        <w:rPr>
          <w:spacing w:val="12"/>
        </w:rPr>
        <w:t>粉尘采样器表面及采样头(含切割器或分离器)等部件不得有明显</w:t>
      </w:r>
      <w:r>
        <w:rPr>
          <w:spacing w:val="11"/>
        </w:rPr>
        <w:t>凹痕、裂缝、</w:t>
      </w:r>
      <w:r>
        <w:t xml:space="preserve"> </w:t>
      </w:r>
      <w:r>
        <w:rPr>
          <w:spacing w:val="1"/>
        </w:rPr>
        <w:t>变形等影响正常工作的缺陷。</w:t>
      </w:r>
    </w:p>
    <w:p>
      <w:pPr>
        <w:pStyle w:val="BodyText"/>
        <w:spacing w:before="77" w:line="219" w:lineRule="auto"/>
        <w:ind w:left="30"/>
      </w:pPr>
      <w:r>
        <w:rPr>
          <w:spacing w:val="-4"/>
        </w:rPr>
        <w:t>5.2</w:t>
      </w:r>
      <w:r>
        <w:rPr>
          <w:spacing w:val="93"/>
        </w:rPr>
        <w:t xml:space="preserve"> </w:t>
      </w:r>
      <w:r>
        <w:rPr>
          <w:spacing w:val="-4"/>
        </w:rPr>
        <w:t>负载能力</w:t>
      </w:r>
    </w:p>
    <w:p>
      <w:pPr>
        <w:pStyle w:val="BodyText"/>
        <w:spacing w:before="72" w:line="413" w:lineRule="exact"/>
        <w:ind w:left="499"/>
      </w:pPr>
      <w:r>
        <w:rPr>
          <w:spacing w:val="7"/>
          <w:position w:val="14"/>
        </w:rPr>
        <w:t xml:space="preserve">短时粉尘采样器的负载能力不得小于200 </w:t>
      </w:r>
      <w:r>
        <w:rPr>
          <w:rFonts w:ascii="Times New Roman" w:eastAsia="Times New Roman" w:hAnsi="Times New Roman" w:cs="Times New Roman"/>
          <w:position w:val="14"/>
        </w:rPr>
        <w:t>Pa</w:t>
      </w:r>
      <w:r>
        <w:rPr>
          <w:rFonts w:ascii="Times New Roman" w:eastAsia="Times New Roman" w:hAnsi="Times New Roman" w:cs="Times New Roman"/>
          <w:spacing w:val="7"/>
          <w:position w:val="14"/>
        </w:rPr>
        <w:t>;</w:t>
      </w:r>
      <w:r>
        <w:rPr>
          <w:rFonts w:ascii="Times New Roman" w:eastAsia="Times New Roman" w:hAnsi="Times New Roman" w:cs="Times New Roman"/>
          <w:spacing w:val="27"/>
          <w:w w:val="101"/>
          <w:position w:val="14"/>
        </w:rPr>
        <w:t xml:space="preserve">  </w:t>
      </w:r>
      <w:r>
        <w:rPr>
          <w:spacing w:val="7"/>
          <w:position w:val="14"/>
        </w:rPr>
        <w:t>连续粉尘采</w:t>
      </w:r>
      <w:r>
        <w:rPr>
          <w:spacing w:val="6"/>
          <w:position w:val="14"/>
        </w:rPr>
        <w:t>样器的负载能力不得小于</w:t>
      </w:r>
    </w:p>
    <w:p>
      <w:pPr>
        <w:pStyle w:val="BodyText"/>
        <w:spacing w:line="183" w:lineRule="auto"/>
        <w:ind w:left="30"/>
      </w:pPr>
      <w:r>
        <w:rPr>
          <w:spacing w:val="-7"/>
        </w:rPr>
        <w:t>1000</w:t>
      </w:r>
      <w:r>
        <w:rPr>
          <w:spacing w:val="47"/>
        </w:rPr>
        <w:t xml:space="preserve"> </w:t>
      </w:r>
      <w:r>
        <w:rPr>
          <w:spacing w:val="-7"/>
        </w:rPr>
        <w:t>Pa。</w:t>
      </w:r>
    </w:p>
    <w:p>
      <w:pPr>
        <w:pStyle w:val="BodyText"/>
        <w:spacing w:before="75" w:line="221" w:lineRule="auto"/>
        <w:ind w:left="30"/>
        <w:sectPr>
          <w:headerReference w:type="default" r:id="rId9"/>
          <w:footerReference w:type="default" r:id="rId10"/>
          <w:pgSz w:w="11910" w:h="16840"/>
          <w:pgMar w:top="1499" w:right="1370" w:bottom="1335" w:left="1360" w:header="1225" w:footer="1186" w:gutter="0"/>
          <w:pgNumType w:start="3"/>
          <w:cols w:space="708"/>
        </w:sectPr>
      </w:pPr>
      <w:r>
        <w:t>5.3</w:t>
      </w:r>
      <w:r>
        <w:rPr>
          <w:spacing w:val="97"/>
        </w:rPr>
        <w:t xml:space="preserve"> </w:t>
      </w:r>
      <w:r>
        <w:t>气密性</w:t>
      </w:r>
    </w:p>
    <w:p>
      <w:pPr>
        <w:pStyle w:val="BodyText"/>
        <w:spacing w:before="69" w:line="256" w:lineRule="auto"/>
        <w:ind w:left="30" w:right="150" w:firstLine="469"/>
      </w:pPr>
      <w:r>
        <w:rPr>
          <w:spacing w:val="13"/>
        </w:rPr>
        <w:t>粉尘采样器的采样头和流量计在(1000</w:t>
      </w:r>
      <w:r>
        <w:rPr>
          <w:spacing w:val="12"/>
        </w:rPr>
        <w:t>～1100)</w:t>
      </w:r>
      <w:r>
        <w:rPr>
          <w:spacing w:val="-45"/>
        </w:rPr>
        <w:t xml:space="preserve"> </w:t>
      </w:r>
      <w:r>
        <w:rPr>
          <w:rFonts w:ascii="Times New Roman" w:eastAsia="Times New Roman" w:hAnsi="Times New Roman" w:cs="Times New Roman"/>
        </w:rPr>
        <w:t>Pa</w:t>
      </w:r>
      <w:r>
        <w:rPr>
          <w:rFonts w:ascii="Times New Roman" w:eastAsia="Times New Roman" w:hAnsi="Times New Roman" w:cs="Times New Roman"/>
          <w:spacing w:val="12"/>
        </w:rPr>
        <w:t xml:space="preserve"> </w:t>
      </w:r>
      <w:r>
        <w:rPr>
          <w:spacing w:val="12"/>
        </w:rPr>
        <w:t xml:space="preserve">的压力差下保持1 </w:t>
      </w:r>
      <w:r>
        <w:rPr>
          <w:rFonts w:ascii="Times New Roman" w:eastAsia="Times New Roman" w:hAnsi="Times New Roman" w:cs="Times New Roman"/>
        </w:rPr>
        <w:t>min</w:t>
      </w:r>
      <w:r>
        <w:rPr>
          <w:rFonts w:ascii="Times New Roman" w:eastAsia="Times New Roman" w:hAnsi="Times New Roman" w:cs="Times New Roman"/>
          <w:spacing w:val="12"/>
        </w:rPr>
        <w:t xml:space="preserve">,  </w:t>
      </w:r>
      <w:r>
        <w:rPr>
          <w:spacing w:val="12"/>
        </w:rPr>
        <w:t>压力变</w:t>
      </w:r>
      <w:r>
        <w:t xml:space="preserve"> </w:t>
      </w:r>
      <w:r>
        <w:rPr>
          <w:spacing w:val="3"/>
        </w:rPr>
        <w:t xml:space="preserve">化不得超过100 </w:t>
      </w:r>
      <w:r>
        <w:rPr>
          <w:rFonts w:ascii="Times New Roman" w:eastAsia="Times New Roman" w:hAnsi="Times New Roman" w:cs="Times New Roman"/>
        </w:rPr>
        <w:t>Pa</w:t>
      </w:r>
      <w:r>
        <w:rPr>
          <w:spacing w:val="3"/>
        </w:rPr>
        <w:t>。</w:t>
      </w:r>
    </w:p>
    <w:p>
      <w:pPr>
        <w:pStyle w:val="BodyText"/>
        <w:spacing w:before="88" w:line="221" w:lineRule="auto"/>
        <w:ind w:left="30"/>
      </w:pPr>
      <w:r>
        <w:rPr>
          <w:spacing w:val="3"/>
        </w:rPr>
        <w:t>5.4</w:t>
      </w:r>
      <w:r>
        <w:rPr>
          <w:spacing w:val="87"/>
        </w:rPr>
        <w:t xml:space="preserve"> </w:t>
      </w:r>
      <w:r>
        <w:rPr>
          <w:spacing w:val="3"/>
        </w:rPr>
        <w:t>绝缘电阻.</w:t>
      </w:r>
    </w:p>
    <w:p>
      <w:pPr>
        <w:pStyle w:val="BodyText"/>
        <w:spacing w:before="52" w:line="262" w:lineRule="auto"/>
        <w:ind w:left="30" w:right="121" w:firstLine="469"/>
      </w:pPr>
      <w:r>
        <w:rPr>
          <w:spacing w:val="8"/>
        </w:rPr>
        <w:t>对可使用交流电源的粉尘采样器，电源端子与机壳外露金</w:t>
      </w:r>
      <w:r>
        <w:rPr>
          <w:spacing w:val="7"/>
        </w:rPr>
        <w:t>属件之间的绝缘电阻不小</w:t>
      </w:r>
      <w:r>
        <w:t xml:space="preserve"> </w:t>
      </w:r>
      <w:r>
        <w:rPr>
          <w:spacing w:val="-8"/>
        </w:rPr>
        <w:t>于20</w:t>
      </w:r>
      <w:r>
        <w:rPr>
          <w:spacing w:val="20"/>
        </w:rPr>
        <w:t xml:space="preserve"> </w:t>
      </w:r>
      <w:r>
        <w:rPr>
          <w:rFonts w:ascii="Times New Roman" w:eastAsia="Times New Roman" w:hAnsi="Times New Roman" w:cs="Times New Roman"/>
          <w:spacing w:val="-8"/>
        </w:rPr>
        <w:t>MΩ</w:t>
      </w:r>
      <w:r>
        <w:rPr>
          <w:spacing w:val="-8"/>
        </w:rPr>
        <w:t>。</w:t>
      </w:r>
    </w:p>
    <w:p>
      <w:pPr>
        <w:pStyle w:val="BodyText"/>
        <w:spacing w:before="79" w:line="220" w:lineRule="auto"/>
        <w:ind w:left="30"/>
      </w:pPr>
      <w:r>
        <w:rPr>
          <w:spacing w:val="2"/>
        </w:rPr>
        <w:t>5.5</w:t>
      </w:r>
      <w:r>
        <w:rPr>
          <w:spacing w:val="88"/>
        </w:rPr>
        <w:t xml:space="preserve"> </w:t>
      </w:r>
      <w:r>
        <w:rPr>
          <w:spacing w:val="2"/>
        </w:rPr>
        <w:t>绝缘强度</w:t>
      </w:r>
    </w:p>
    <w:p>
      <w:pPr>
        <w:pStyle w:val="BodyText"/>
        <w:spacing w:before="64" w:line="219" w:lineRule="auto"/>
        <w:ind w:left="499"/>
      </w:pPr>
      <w:r>
        <w:rPr>
          <w:spacing w:val="8"/>
        </w:rPr>
        <w:t>对可使用交流电源的粉尘采样器，交流输入端对地线及外壳之间应能承受交流有效</w:t>
      </w:r>
    </w:p>
    <w:p>
      <w:pPr>
        <w:spacing w:line="219" w:lineRule="auto"/>
        <w:sectPr>
          <w:headerReference w:type="default" r:id="rId11"/>
          <w:footerReference w:type="default" r:id="rId12"/>
          <w:type w:val="nextPage"/>
          <w:pgSz w:w="11910" w:h="16840"/>
          <w:pgMar w:top="1499" w:right="1370" w:bottom="1335" w:left="1360" w:header="1225" w:footer="1186" w:gutter="0"/>
          <w:pgNumType w:start="4"/>
          <w:cols w:space="708"/>
          <w:titlePg w:val="0"/>
        </w:sectPr>
      </w:pPr>
    </w:p>
    <w:p>
      <w:pPr>
        <w:spacing w:line="248" w:lineRule="auto"/>
        <w:rPr>
          <w:rFonts w:ascii="Arial"/>
          <w:sz w:val="21"/>
        </w:rPr>
      </w:pPr>
    </w:p>
    <w:p>
      <w:pPr>
        <w:pStyle w:val="BodyText"/>
        <w:spacing w:before="74" w:line="212" w:lineRule="auto"/>
        <w:ind w:left="40"/>
      </w:pPr>
      <w:r>
        <w:rPr>
          <w:spacing w:val="10"/>
        </w:rPr>
        <w:t>值为1500</w:t>
      </w:r>
      <w:r>
        <w:rPr>
          <w:rFonts w:ascii="Times New Roman" w:eastAsia="Times New Roman" w:hAnsi="Times New Roman" w:cs="Times New Roman"/>
          <w:spacing w:val="10"/>
        </w:rPr>
        <w:t>V</w:t>
      </w:r>
      <w:r>
        <w:rPr>
          <w:rFonts w:ascii="Times New Roman" w:eastAsia="Times New Roman" w:hAnsi="Times New Roman" w:cs="Times New Roman"/>
          <w:spacing w:val="-21"/>
        </w:rPr>
        <w:t xml:space="preserve"> </w:t>
      </w:r>
      <w:r>
        <w:rPr>
          <w:spacing w:val="10"/>
        </w:rPr>
        <w:t xml:space="preserve">、频率为50 </w:t>
      </w:r>
      <w:r>
        <w:rPr>
          <w:rFonts w:ascii="Times New Roman" w:eastAsia="Times New Roman" w:hAnsi="Times New Roman" w:cs="Times New Roman"/>
        </w:rPr>
        <w:t>Hz</w:t>
      </w:r>
      <w:r>
        <w:rPr>
          <w:rFonts w:ascii="Times New Roman" w:eastAsia="Times New Roman" w:hAnsi="Times New Roman" w:cs="Times New Roman"/>
          <w:spacing w:val="10"/>
        </w:rPr>
        <w:t xml:space="preserve"> </w:t>
      </w:r>
      <w:r>
        <w:rPr>
          <w:spacing w:val="10"/>
        </w:rPr>
        <w:t xml:space="preserve">的电压1 </w:t>
      </w:r>
      <w:r>
        <w:rPr>
          <w:rFonts w:ascii="Times New Roman" w:eastAsia="Times New Roman" w:hAnsi="Times New Roman" w:cs="Times New Roman"/>
        </w:rPr>
        <w:t>min</w:t>
      </w:r>
      <w:r>
        <w:rPr>
          <w:rFonts w:ascii="Times New Roman" w:eastAsia="Times New Roman" w:hAnsi="Times New Roman" w:cs="Times New Roman"/>
          <w:spacing w:val="10"/>
        </w:rPr>
        <w:t xml:space="preserve">,  </w:t>
      </w:r>
      <w:r>
        <w:rPr>
          <w:spacing w:val="10"/>
        </w:rPr>
        <w:t>无飞弧和击穿现象。</w:t>
      </w:r>
    </w:p>
    <w:p>
      <w:pPr>
        <w:spacing w:before="288" w:line="223" w:lineRule="auto"/>
        <w:ind w:left="43"/>
        <w:rPr>
          <w:rFonts w:ascii="SimHei" w:eastAsia="SimHei" w:hAnsi="SimHei" w:cs="SimHei"/>
          <w:sz w:val="23"/>
          <w:szCs w:val="23"/>
        </w:rPr>
      </w:pPr>
      <w:r>
        <w:rPr>
          <w:rFonts w:ascii="SimHei" w:eastAsia="SimHei" w:hAnsi="SimHei" w:cs="SimHei"/>
          <w:b/>
          <w:bCs/>
          <w:spacing w:val="5"/>
          <w:sz w:val="23"/>
          <w:szCs w:val="23"/>
        </w:rPr>
        <w:t>6</w:t>
      </w:r>
      <w:r>
        <w:rPr>
          <w:rFonts w:ascii="SimHei" w:eastAsia="SimHei" w:hAnsi="SimHei" w:cs="SimHei"/>
          <w:spacing w:val="109"/>
          <w:sz w:val="23"/>
          <w:szCs w:val="23"/>
        </w:rPr>
        <w:t xml:space="preserve"> </w:t>
      </w:r>
      <w:r>
        <w:rPr>
          <w:rFonts w:ascii="SimHei" w:eastAsia="SimHei" w:hAnsi="SimHei" w:cs="SimHei"/>
          <w:b/>
          <w:bCs/>
          <w:spacing w:val="5"/>
          <w:sz w:val="23"/>
          <w:szCs w:val="23"/>
        </w:rPr>
        <w:t>计量器具控制</w:t>
      </w:r>
    </w:p>
    <w:p>
      <w:pPr>
        <w:pStyle w:val="BodyText"/>
        <w:spacing w:before="255" w:line="219" w:lineRule="auto"/>
        <w:ind w:left="540"/>
      </w:pPr>
      <w:r>
        <w:rPr>
          <w:spacing w:val="7"/>
        </w:rPr>
        <w:t>计量器具控制包括：首次检定、后续检定和使用中检验。</w:t>
      </w:r>
    </w:p>
    <w:p>
      <w:pPr>
        <w:pStyle w:val="BodyText"/>
        <w:spacing w:before="77" w:line="219" w:lineRule="auto"/>
        <w:ind w:left="40"/>
      </w:pPr>
      <w:r>
        <w:rPr>
          <w:spacing w:val="1"/>
        </w:rPr>
        <w:t>6.1</w:t>
      </w:r>
      <w:r>
        <w:rPr>
          <w:spacing w:val="101"/>
        </w:rPr>
        <w:t xml:space="preserve"> </w:t>
      </w:r>
      <w:r>
        <w:rPr>
          <w:spacing w:val="1"/>
        </w:rPr>
        <w:t>检定条件</w:t>
      </w:r>
    </w:p>
    <w:p>
      <w:pPr>
        <w:pStyle w:val="BodyText"/>
        <w:spacing w:before="97" w:line="219" w:lineRule="auto"/>
        <w:ind w:left="43"/>
      </w:pPr>
      <w:r>
        <w:rPr>
          <w:b/>
          <w:bCs/>
          <w:spacing w:val="-1"/>
        </w:rPr>
        <w:t>6.1.1</w:t>
      </w:r>
      <w:r>
        <w:rPr>
          <w:spacing w:val="4"/>
        </w:rPr>
        <w:t xml:space="preserve">  </w:t>
      </w:r>
      <w:r>
        <w:rPr>
          <w:spacing w:val="-1"/>
        </w:rPr>
        <w:t>检定环境条件</w:t>
      </w:r>
    </w:p>
    <w:p>
      <w:pPr>
        <w:pStyle w:val="BodyText"/>
        <w:spacing w:before="74" w:line="251" w:lineRule="auto"/>
        <w:ind w:left="40" w:right="88" w:firstLine="3"/>
      </w:pPr>
      <w:hyperlink r:id="rId13" w:history="1">
        <w:r>
          <w:rPr>
            <w:b/>
            <w:bCs/>
            <w:spacing w:val="14"/>
          </w:rPr>
          <w:t>6.1.1.1</w:t>
        </w:r>
      </w:hyperlink>
      <w:r>
        <w:t xml:space="preserve">  </w:t>
      </w:r>
      <w:r>
        <w:rPr>
          <w:spacing w:val="14"/>
        </w:rPr>
        <w:t>温度为(10～35)℃,相对湿度不大于85%;粉尘采样器应</w:t>
      </w:r>
      <w:r>
        <w:rPr>
          <w:spacing w:val="13"/>
        </w:rPr>
        <w:t xml:space="preserve">在此条件下放置1 </w:t>
      </w:r>
      <w:r>
        <w:rPr>
          <w:rFonts w:ascii="Times New Roman" w:eastAsia="Times New Roman" w:hAnsi="Times New Roman" w:cs="Times New Roman"/>
          <w:spacing w:val="13"/>
        </w:rPr>
        <w:t>h</w:t>
      </w:r>
      <w:r>
        <w:rPr>
          <w:rFonts w:ascii="Times New Roman" w:eastAsia="Times New Roman" w:hAnsi="Times New Roman" w:cs="Times New Roman"/>
        </w:rPr>
        <w:t xml:space="preserve"> </w:t>
      </w:r>
      <w:r>
        <w:rPr>
          <w:spacing w:val="3"/>
        </w:rPr>
        <w:t>以上，方可进行检定。</w:t>
      </w:r>
    </w:p>
    <w:p>
      <w:pPr>
        <w:pStyle w:val="BodyText"/>
        <w:spacing w:before="77" w:line="219" w:lineRule="auto"/>
        <w:ind w:left="43"/>
      </w:pPr>
      <w:hyperlink r:id="rId14" w:history="1">
        <w:r>
          <w:rPr>
            <w:b/>
            <w:bCs/>
            <w:spacing w:val="8"/>
          </w:rPr>
          <w:t>6.1.1.2</w:t>
        </w:r>
      </w:hyperlink>
      <w:r>
        <w:rPr>
          <w:spacing w:val="125"/>
        </w:rPr>
        <w:t xml:space="preserve"> </w:t>
      </w:r>
      <w:r>
        <w:rPr>
          <w:spacing w:val="8"/>
        </w:rPr>
        <w:t>钟罩式气体计量器内水温与检定室温度相差不得超过2℃。</w:t>
      </w:r>
    </w:p>
    <w:p>
      <w:pPr>
        <w:pStyle w:val="BodyText"/>
        <w:spacing w:before="87" w:line="219" w:lineRule="auto"/>
        <w:ind w:left="43"/>
      </w:pPr>
      <w:r>
        <w:rPr>
          <w:b/>
          <w:bCs/>
          <w:spacing w:val="-5"/>
        </w:rPr>
        <w:t>6.1.2</w:t>
      </w:r>
      <w:r>
        <w:rPr>
          <w:spacing w:val="12"/>
        </w:rPr>
        <w:t xml:space="preserve">  </w:t>
      </w:r>
      <w:r>
        <w:rPr>
          <w:spacing w:val="-5"/>
        </w:rPr>
        <w:t>检定设备</w:t>
      </w:r>
    </w:p>
    <w:p>
      <w:pPr>
        <w:pStyle w:val="BodyText"/>
        <w:spacing w:before="64" w:line="266" w:lineRule="auto"/>
        <w:ind w:left="40" w:right="79" w:firstLine="3"/>
      </w:pPr>
      <w:hyperlink r:id="rId15" w:history="1">
        <w:r>
          <w:rPr>
            <w:b/>
            <w:bCs/>
            <w:spacing w:val="14"/>
          </w:rPr>
          <w:t>6.1.2.1</w:t>
        </w:r>
      </w:hyperlink>
      <w:r>
        <w:rPr>
          <w:spacing w:val="97"/>
        </w:rPr>
        <w:t xml:space="preserve"> </w:t>
      </w:r>
      <w:r>
        <w:rPr>
          <w:spacing w:val="14"/>
        </w:rPr>
        <w:t>流量标准设备可选用以下之一或组合，如表</w:t>
      </w:r>
      <w:r>
        <w:rPr>
          <w:spacing w:val="13"/>
        </w:rPr>
        <w:t>1所示。在仲裁检定时，采样流</w:t>
      </w:r>
      <w:r>
        <w:t xml:space="preserve"> </w:t>
      </w:r>
      <w:r>
        <w:rPr>
          <w:spacing w:val="14"/>
        </w:rPr>
        <w:t>量若小于5</w:t>
      </w:r>
      <w:r>
        <w:rPr>
          <w:rFonts w:ascii="Times New Roman" w:eastAsia="Times New Roman" w:hAnsi="Times New Roman" w:cs="Times New Roman"/>
          <w:spacing w:val="14"/>
        </w:rPr>
        <w:t>L/</w:t>
      </w:r>
      <w:r>
        <w:rPr>
          <w:rFonts w:ascii="Times New Roman" w:eastAsia="Times New Roman" w:hAnsi="Times New Roman" w:cs="Times New Roman"/>
        </w:rPr>
        <w:t>min</w:t>
      </w:r>
      <w:r>
        <w:rPr>
          <w:rFonts w:ascii="Times New Roman" w:eastAsia="Times New Roman" w:hAnsi="Times New Roman" w:cs="Times New Roman"/>
          <w:spacing w:val="14"/>
        </w:rPr>
        <w:t>,</w:t>
      </w:r>
      <w:r>
        <w:rPr>
          <w:rFonts w:ascii="Times New Roman" w:eastAsia="Times New Roman" w:hAnsi="Times New Roman" w:cs="Times New Roman"/>
          <w:spacing w:val="26"/>
        </w:rPr>
        <w:t xml:space="preserve">  </w:t>
      </w:r>
      <w:r>
        <w:rPr>
          <w:spacing w:val="14"/>
        </w:rPr>
        <w:t>必须选用皂膜气体流量标准装置；若大于或等于5</w:t>
      </w:r>
      <w:r>
        <w:rPr>
          <w:spacing w:val="-49"/>
        </w:rPr>
        <w:t xml:space="preserve"> </w:t>
      </w:r>
      <w:r>
        <w:rPr>
          <w:rFonts w:ascii="Times New Roman" w:eastAsia="Times New Roman" w:hAnsi="Times New Roman" w:cs="Times New Roman"/>
          <w:spacing w:val="14"/>
        </w:rPr>
        <w:t>L/</w:t>
      </w:r>
      <w:r>
        <w:rPr>
          <w:rFonts w:ascii="Times New Roman" w:eastAsia="Times New Roman" w:hAnsi="Times New Roman" w:cs="Times New Roman"/>
        </w:rPr>
        <w:t>min</w:t>
      </w:r>
      <w:r>
        <w:rPr>
          <w:rFonts w:ascii="Times New Roman" w:eastAsia="Times New Roman" w:hAnsi="Times New Roman" w:cs="Times New Roman"/>
          <w:spacing w:val="14"/>
        </w:rPr>
        <w:t>,</w:t>
      </w:r>
      <w:r>
        <w:rPr>
          <w:rFonts w:ascii="Times New Roman" w:eastAsia="Times New Roman" w:hAnsi="Times New Roman" w:cs="Times New Roman"/>
          <w:spacing w:val="20"/>
          <w:w w:val="101"/>
        </w:rPr>
        <w:t xml:space="preserve">  </w:t>
      </w:r>
      <w:r>
        <w:rPr>
          <w:spacing w:val="14"/>
        </w:rPr>
        <w:t>必须选用</w:t>
      </w:r>
      <w:r>
        <w:t xml:space="preserve"> </w:t>
      </w:r>
      <w:r>
        <w:rPr>
          <w:spacing w:val="3"/>
        </w:rPr>
        <w:t>粉尘采样器检定装置。</w:t>
      </w:r>
    </w:p>
    <w:p>
      <w:pPr>
        <w:spacing w:before="253" w:line="220" w:lineRule="auto"/>
        <w:ind w:left="2673"/>
        <w:rPr>
          <w:rFonts w:ascii="SimHei" w:eastAsia="SimHei" w:hAnsi="SimHei" w:cs="SimHei"/>
          <w:sz w:val="23"/>
          <w:szCs w:val="23"/>
        </w:rPr>
      </w:pPr>
      <w:r>
        <w:rPr>
          <w:rFonts w:ascii="SimHei" w:eastAsia="SimHei" w:hAnsi="SimHei" w:cs="SimHei"/>
          <w:b/>
          <w:bCs/>
          <w:spacing w:val="-17"/>
          <w:w w:val="98"/>
          <w:sz w:val="23"/>
          <w:szCs w:val="23"/>
        </w:rPr>
        <w:t>表1</w:t>
      </w:r>
      <w:r>
        <w:rPr>
          <w:rFonts w:ascii="SimHei" w:eastAsia="SimHei" w:hAnsi="SimHei" w:cs="SimHei"/>
          <w:spacing w:val="67"/>
          <w:sz w:val="23"/>
          <w:szCs w:val="23"/>
        </w:rPr>
        <w:t xml:space="preserve"> </w:t>
      </w:r>
      <w:r>
        <w:rPr>
          <w:rFonts w:ascii="SimHei" w:eastAsia="SimHei" w:hAnsi="SimHei" w:cs="SimHei"/>
          <w:b/>
          <w:bCs/>
          <w:spacing w:val="-17"/>
          <w:w w:val="98"/>
          <w:sz w:val="23"/>
          <w:szCs w:val="23"/>
        </w:rPr>
        <w:t>检定粉尘采样器选用流量标准设备表</w:t>
      </w:r>
    </w:p>
    <w:p>
      <w:pPr>
        <w:spacing w:line="67" w:lineRule="exact"/>
      </w:pPr>
    </w:p>
    <w:tbl>
      <w:tblPr>
        <w:tblStyle w:val="TableNormal0"/>
        <w:tblW w:w="8940"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2517"/>
        <w:gridCol w:w="1239"/>
        <w:gridCol w:w="2487"/>
        <w:gridCol w:w="2063"/>
      </w:tblGrid>
      <w:tr>
        <w:tblPrEx>
          <w:tblW w:w="8940"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2"/>
        </w:trPr>
        <w:tc>
          <w:tcPr>
            <w:tcW w:w="634" w:type="dxa"/>
            <w:vAlign w:val="top"/>
          </w:tcPr>
          <w:p>
            <w:pPr>
              <w:spacing w:line="247" w:lineRule="auto"/>
              <w:rPr>
                <w:rFonts w:ascii="Arial"/>
                <w:sz w:val="21"/>
              </w:rPr>
            </w:pPr>
          </w:p>
          <w:p>
            <w:pPr>
              <w:pStyle w:val="TableText"/>
              <w:spacing w:before="65" w:line="221" w:lineRule="auto"/>
              <w:ind w:left="104"/>
            </w:pPr>
            <w:r>
              <w:rPr>
                <w:spacing w:val="-2"/>
              </w:rPr>
              <w:t>序号</w:t>
            </w:r>
          </w:p>
        </w:tc>
        <w:tc>
          <w:tcPr>
            <w:tcW w:w="2517" w:type="dxa"/>
            <w:vAlign w:val="top"/>
          </w:tcPr>
          <w:p>
            <w:pPr>
              <w:spacing w:line="247" w:lineRule="auto"/>
              <w:rPr>
                <w:rFonts w:ascii="Arial"/>
                <w:sz w:val="21"/>
              </w:rPr>
            </w:pPr>
          </w:p>
          <w:p>
            <w:pPr>
              <w:pStyle w:val="TableText"/>
              <w:spacing w:before="65" w:line="220" w:lineRule="auto"/>
              <w:ind w:left="451"/>
            </w:pPr>
            <w:r>
              <w:rPr>
                <w:spacing w:val="-1"/>
              </w:rPr>
              <w:t>流量标准设备名称</w:t>
            </w:r>
          </w:p>
        </w:tc>
        <w:tc>
          <w:tcPr>
            <w:tcW w:w="1239" w:type="dxa"/>
            <w:vAlign w:val="top"/>
          </w:tcPr>
          <w:p>
            <w:pPr>
              <w:pStyle w:val="TableText"/>
              <w:spacing w:before="173" w:line="276" w:lineRule="auto"/>
              <w:ind w:left="513" w:right="102" w:hanging="399"/>
            </w:pPr>
            <w:r>
              <w:rPr>
                <w:spacing w:val="2"/>
              </w:rPr>
              <w:t>准确度等级</w:t>
            </w:r>
            <w:r>
              <w:rPr>
                <w:spacing w:val="1"/>
              </w:rPr>
              <w:t xml:space="preserve"> </w:t>
            </w:r>
            <w:r>
              <w:rPr>
                <w:spacing w:val="-2"/>
              </w:rPr>
              <w:t>/%</w:t>
            </w:r>
          </w:p>
        </w:tc>
        <w:tc>
          <w:tcPr>
            <w:tcW w:w="2487" w:type="dxa"/>
            <w:vAlign w:val="top"/>
          </w:tcPr>
          <w:p>
            <w:pPr>
              <w:pStyle w:val="TableText"/>
              <w:spacing w:before="171" w:line="258" w:lineRule="auto"/>
              <w:ind w:left="235" w:right="226"/>
            </w:pPr>
            <w:r>
              <w:rPr>
                <w:spacing w:val="1"/>
              </w:rPr>
              <w:t>对应被检粉尘采样器的</w:t>
            </w:r>
            <w:r>
              <w:rPr>
                <w:spacing w:val="4"/>
              </w:rPr>
              <w:t xml:space="preserve"> </w:t>
            </w:r>
            <w:r>
              <w:rPr>
                <w:spacing w:val="1"/>
              </w:rPr>
              <w:t>流量最大允许误差/%</w:t>
            </w:r>
            <w:r>
              <w:t>FS</w:t>
            </w:r>
          </w:p>
        </w:tc>
        <w:tc>
          <w:tcPr>
            <w:tcW w:w="2063" w:type="dxa"/>
            <w:vAlign w:val="top"/>
          </w:tcPr>
          <w:p>
            <w:pPr>
              <w:spacing w:line="247" w:lineRule="auto"/>
              <w:rPr>
                <w:rFonts w:ascii="Arial"/>
                <w:sz w:val="21"/>
              </w:rPr>
            </w:pPr>
          </w:p>
          <w:p>
            <w:pPr>
              <w:pStyle w:val="TableText"/>
              <w:spacing w:before="65" w:line="221" w:lineRule="auto"/>
              <w:ind w:left="727"/>
            </w:pPr>
            <w:r>
              <w:rPr>
                <w:spacing w:val="-6"/>
              </w:rPr>
              <w:t>备</w:t>
            </w:r>
            <w:r>
              <w:rPr>
                <w:spacing w:val="14"/>
              </w:rPr>
              <w:t xml:space="preserve">  </w:t>
            </w:r>
            <w:r>
              <w:rPr>
                <w:spacing w:val="-6"/>
              </w:rPr>
              <w:t>注</w:t>
            </w:r>
          </w:p>
        </w:tc>
      </w:tr>
      <w:tr>
        <w:tblPrEx>
          <w:tblW w:w="8940" w:type="dxa"/>
          <w:tblInd w:w="100" w:type="dxa"/>
          <w:tblLayout w:type="fixed"/>
        </w:tblPrEx>
        <w:trPr>
          <w:trHeight w:val="399"/>
        </w:trPr>
        <w:tc>
          <w:tcPr>
            <w:tcW w:w="634" w:type="dxa"/>
            <w:vMerge w:val="restart"/>
            <w:tcBorders>
              <w:bottom w:val="nil"/>
            </w:tcBorders>
            <w:vAlign w:val="top"/>
          </w:tcPr>
          <w:p>
            <w:pPr>
              <w:spacing w:line="294" w:lineRule="auto"/>
              <w:rPr>
                <w:rFonts w:ascii="Arial"/>
                <w:sz w:val="21"/>
              </w:rPr>
            </w:pPr>
          </w:p>
          <w:p>
            <w:pPr>
              <w:pStyle w:val="TableText"/>
              <w:spacing w:before="65" w:line="184" w:lineRule="auto"/>
              <w:ind w:left="254"/>
            </w:pPr>
            <w:r>
              <w:t>1</w:t>
            </w:r>
          </w:p>
        </w:tc>
        <w:tc>
          <w:tcPr>
            <w:tcW w:w="2517" w:type="dxa"/>
            <w:vMerge w:val="restart"/>
            <w:tcBorders>
              <w:bottom w:val="nil"/>
            </w:tcBorders>
            <w:vAlign w:val="top"/>
          </w:tcPr>
          <w:p>
            <w:pPr>
              <w:spacing w:line="243" w:lineRule="auto"/>
              <w:rPr>
                <w:rFonts w:ascii="Arial"/>
                <w:sz w:val="21"/>
              </w:rPr>
            </w:pPr>
          </w:p>
          <w:p>
            <w:pPr>
              <w:pStyle w:val="TableText"/>
              <w:spacing w:before="65" w:line="219" w:lineRule="auto"/>
              <w:ind w:left="350"/>
            </w:pPr>
            <w:r>
              <w:rPr>
                <w:spacing w:val="-1"/>
              </w:rPr>
              <w:t>粉尘采样器检定装置</w:t>
            </w:r>
          </w:p>
        </w:tc>
        <w:tc>
          <w:tcPr>
            <w:tcW w:w="1239" w:type="dxa"/>
            <w:vAlign w:val="top"/>
          </w:tcPr>
          <w:p>
            <w:pPr>
              <w:pStyle w:val="TableText"/>
              <w:spacing w:before="151" w:line="184" w:lineRule="auto"/>
              <w:ind w:left="463"/>
            </w:pPr>
            <w:r>
              <w:rPr>
                <w:spacing w:val="-6"/>
              </w:rPr>
              <w:t>1.0</w:t>
            </w:r>
          </w:p>
        </w:tc>
        <w:tc>
          <w:tcPr>
            <w:tcW w:w="2487" w:type="dxa"/>
            <w:vAlign w:val="top"/>
          </w:tcPr>
          <w:p>
            <w:pPr>
              <w:pStyle w:val="TableText"/>
              <w:spacing w:before="152" w:line="183" w:lineRule="auto"/>
              <w:ind w:left="1084"/>
            </w:pPr>
            <w:r>
              <w:rPr>
                <w:spacing w:val="-3"/>
              </w:rPr>
              <w:t>3.0</w:t>
            </w:r>
          </w:p>
        </w:tc>
        <w:tc>
          <w:tcPr>
            <w:tcW w:w="2063" w:type="dxa"/>
            <w:vMerge w:val="restart"/>
            <w:tcBorders>
              <w:bottom w:val="nil"/>
            </w:tcBorders>
            <w:vAlign w:val="top"/>
          </w:tcPr>
          <w:p>
            <w:pPr>
              <w:spacing w:line="243" w:lineRule="auto"/>
              <w:rPr>
                <w:rFonts w:ascii="Arial"/>
                <w:sz w:val="21"/>
              </w:rPr>
            </w:pPr>
          </w:p>
          <w:p>
            <w:pPr>
              <w:pStyle w:val="TableText"/>
              <w:spacing w:before="65" w:line="219" w:lineRule="auto"/>
              <w:ind w:left="277"/>
            </w:pPr>
            <w:r>
              <w:rPr>
                <w:spacing w:val="-2"/>
              </w:rPr>
              <w:t>技术要求见附录A</w:t>
            </w:r>
          </w:p>
        </w:tc>
      </w:tr>
      <w:tr>
        <w:tblPrEx>
          <w:tblW w:w="8940" w:type="dxa"/>
          <w:tblInd w:w="100" w:type="dxa"/>
          <w:tblLayout w:type="fixed"/>
        </w:tblPrEx>
        <w:trPr>
          <w:trHeight w:val="399"/>
        </w:trPr>
        <w:tc>
          <w:tcPr>
            <w:tcW w:w="634" w:type="dxa"/>
            <w:vMerge/>
            <w:tcBorders>
              <w:top w:val="nil"/>
            </w:tcBorders>
            <w:vAlign w:val="top"/>
          </w:tcPr>
          <w:p>
            <w:pPr>
              <w:rPr>
                <w:rFonts w:ascii="Arial"/>
                <w:sz w:val="21"/>
              </w:rPr>
            </w:pPr>
          </w:p>
        </w:tc>
        <w:tc>
          <w:tcPr>
            <w:tcW w:w="2517" w:type="dxa"/>
            <w:vMerge/>
            <w:tcBorders>
              <w:top w:val="nil"/>
            </w:tcBorders>
            <w:vAlign w:val="top"/>
          </w:tcPr>
          <w:p>
            <w:pPr>
              <w:rPr>
                <w:rFonts w:ascii="Arial"/>
                <w:sz w:val="21"/>
              </w:rPr>
            </w:pPr>
          </w:p>
        </w:tc>
        <w:tc>
          <w:tcPr>
            <w:tcW w:w="1239" w:type="dxa"/>
            <w:vAlign w:val="top"/>
          </w:tcPr>
          <w:p>
            <w:pPr>
              <w:pStyle w:val="TableText"/>
              <w:spacing w:before="152" w:line="184" w:lineRule="auto"/>
              <w:ind w:left="463"/>
            </w:pPr>
            <w:r>
              <w:rPr>
                <w:spacing w:val="-6"/>
              </w:rPr>
              <w:t>1.5</w:t>
            </w:r>
          </w:p>
        </w:tc>
        <w:tc>
          <w:tcPr>
            <w:tcW w:w="2487" w:type="dxa"/>
            <w:vAlign w:val="top"/>
          </w:tcPr>
          <w:p>
            <w:pPr>
              <w:pStyle w:val="TableText"/>
              <w:spacing w:before="153" w:line="183" w:lineRule="auto"/>
              <w:ind w:left="1084"/>
            </w:pPr>
            <w:r>
              <w:rPr>
                <w:spacing w:val="-3"/>
              </w:rPr>
              <w:t>5.0</w:t>
            </w:r>
          </w:p>
        </w:tc>
        <w:tc>
          <w:tcPr>
            <w:tcW w:w="2063" w:type="dxa"/>
            <w:vMerge/>
            <w:tcBorders>
              <w:top w:val="nil"/>
            </w:tcBorders>
            <w:vAlign w:val="top"/>
          </w:tcPr>
          <w:p>
            <w:pPr>
              <w:rPr>
                <w:rFonts w:ascii="Arial"/>
                <w:sz w:val="21"/>
              </w:rPr>
            </w:pPr>
          </w:p>
        </w:tc>
      </w:tr>
      <w:tr>
        <w:tblPrEx>
          <w:tblW w:w="8940" w:type="dxa"/>
          <w:tblInd w:w="100" w:type="dxa"/>
          <w:tblLayout w:type="fixed"/>
        </w:tblPrEx>
        <w:trPr>
          <w:trHeight w:val="399"/>
        </w:trPr>
        <w:tc>
          <w:tcPr>
            <w:tcW w:w="634" w:type="dxa"/>
            <w:vMerge w:val="restart"/>
            <w:tcBorders>
              <w:bottom w:val="nil"/>
            </w:tcBorders>
            <w:vAlign w:val="top"/>
          </w:tcPr>
          <w:p>
            <w:pPr>
              <w:spacing w:line="297" w:lineRule="auto"/>
              <w:rPr>
                <w:rFonts w:ascii="Arial"/>
                <w:sz w:val="21"/>
              </w:rPr>
            </w:pPr>
          </w:p>
          <w:p>
            <w:pPr>
              <w:pStyle w:val="TableText"/>
              <w:spacing w:before="65" w:line="183" w:lineRule="auto"/>
              <w:ind w:left="254"/>
            </w:pPr>
            <w:r>
              <w:t>2</w:t>
            </w:r>
          </w:p>
        </w:tc>
        <w:tc>
          <w:tcPr>
            <w:tcW w:w="2517" w:type="dxa"/>
            <w:vMerge w:val="restart"/>
            <w:tcBorders>
              <w:bottom w:val="nil"/>
            </w:tcBorders>
            <w:vAlign w:val="top"/>
          </w:tcPr>
          <w:p>
            <w:pPr>
              <w:spacing w:line="246" w:lineRule="auto"/>
              <w:rPr>
                <w:rFonts w:ascii="Arial"/>
                <w:sz w:val="21"/>
              </w:rPr>
            </w:pPr>
          </w:p>
          <w:p>
            <w:pPr>
              <w:pStyle w:val="TableText"/>
              <w:spacing w:before="65" w:line="219" w:lineRule="auto"/>
              <w:ind w:left="150"/>
            </w:pPr>
            <w:r>
              <w:rPr>
                <w:spacing w:val="-1"/>
              </w:rPr>
              <w:t>钟罩式气体流量标准装置</w:t>
            </w:r>
          </w:p>
        </w:tc>
        <w:tc>
          <w:tcPr>
            <w:tcW w:w="1239" w:type="dxa"/>
            <w:vAlign w:val="top"/>
          </w:tcPr>
          <w:p>
            <w:pPr>
              <w:pStyle w:val="TableText"/>
              <w:spacing w:before="153" w:line="184" w:lineRule="auto"/>
              <w:ind w:left="463"/>
            </w:pPr>
            <w:r>
              <w:rPr>
                <w:spacing w:val="-6"/>
              </w:rPr>
              <w:t>1.0</w:t>
            </w:r>
          </w:p>
        </w:tc>
        <w:tc>
          <w:tcPr>
            <w:tcW w:w="2487" w:type="dxa"/>
            <w:vAlign w:val="top"/>
          </w:tcPr>
          <w:p>
            <w:pPr>
              <w:pStyle w:val="TableText"/>
              <w:spacing w:before="154" w:line="183" w:lineRule="auto"/>
              <w:ind w:left="1084"/>
            </w:pPr>
            <w:r>
              <w:rPr>
                <w:spacing w:val="-3"/>
              </w:rPr>
              <w:t>3.0</w:t>
            </w:r>
          </w:p>
        </w:tc>
        <w:tc>
          <w:tcPr>
            <w:tcW w:w="2063" w:type="dxa"/>
            <w:vMerge w:val="restart"/>
            <w:tcBorders>
              <w:bottom w:val="nil"/>
            </w:tcBorders>
            <w:vAlign w:val="top"/>
          </w:tcPr>
          <w:p>
            <w:pPr>
              <w:spacing w:line="245" w:lineRule="auto"/>
              <w:rPr>
                <w:rFonts w:ascii="Arial"/>
                <w:sz w:val="21"/>
              </w:rPr>
            </w:pPr>
          </w:p>
          <w:p>
            <w:pPr>
              <w:pStyle w:val="TableText"/>
              <w:spacing w:before="65" w:line="219" w:lineRule="auto"/>
              <w:ind w:left="27"/>
            </w:pPr>
            <w:r>
              <w:t>附加阻力不大于100 Pa</w:t>
            </w:r>
          </w:p>
        </w:tc>
      </w:tr>
      <w:tr>
        <w:tblPrEx>
          <w:tblW w:w="8940" w:type="dxa"/>
          <w:tblInd w:w="100" w:type="dxa"/>
          <w:tblLayout w:type="fixed"/>
        </w:tblPrEx>
        <w:trPr>
          <w:trHeight w:val="399"/>
        </w:trPr>
        <w:tc>
          <w:tcPr>
            <w:tcW w:w="634" w:type="dxa"/>
            <w:vMerge/>
            <w:tcBorders>
              <w:top w:val="nil"/>
            </w:tcBorders>
            <w:vAlign w:val="top"/>
          </w:tcPr>
          <w:p>
            <w:pPr>
              <w:rPr>
                <w:rFonts w:ascii="Arial"/>
                <w:sz w:val="21"/>
              </w:rPr>
            </w:pPr>
          </w:p>
        </w:tc>
        <w:tc>
          <w:tcPr>
            <w:tcW w:w="2517" w:type="dxa"/>
            <w:vMerge/>
            <w:tcBorders>
              <w:top w:val="nil"/>
            </w:tcBorders>
            <w:vAlign w:val="top"/>
          </w:tcPr>
          <w:p>
            <w:pPr>
              <w:rPr>
                <w:rFonts w:ascii="Arial"/>
                <w:sz w:val="21"/>
              </w:rPr>
            </w:pPr>
          </w:p>
        </w:tc>
        <w:tc>
          <w:tcPr>
            <w:tcW w:w="1239" w:type="dxa"/>
            <w:vAlign w:val="top"/>
          </w:tcPr>
          <w:p>
            <w:pPr>
              <w:pStyle w:val="TableText"/>
              <w:spacing w:before="154" w:line="184" w:lineRule="auto"/>
              <w:ind w:left="463"/>
            </w:pPr>
            <w:r>
              <w:rPr>
                <w:spacing w:val="-6"/>
              </w:rPr>
              <w:t>1.5</w:t>
            </w:r>
          </w:p>
        </w:tc>
        <w:tc>
          <w:tcPr>
            <w:tcW w:w="2487" w:type="dxa"/>
            <w:vAlign w:val="top"/>
          </w:tcPr>
          <w:p>
            <w:pPr>
              <w:pStyle w:val="TableText"/>
              <w:spacing w:before="155" w:line="183" w:lineRule="auto"/>
              <w:ind w:left="1084"/>
            </w:pPr>
            <w:r>
              <w:rPr>
                <w:spacing w:val="-3"/>
              </w:rPr>
              <w:t>5.0</w:t>
            </w:r>
          </w:p>
        </w:tc>
        <w:tc>
          <w:tcPr>
            <w:tcW w:w="2063" w:type="dxa"/>
            <w:vMerge/>
            <w:tcBorders>
              <w:top w:val="nil"/>
            </w:tcBorders>
            <w:vAlign w:val="top"/>
          </w:tcPr>
          <w:p>
            <w:pPr>
              <w:rPr>
                <w:rFonts w:ascii="Arial"/>
                <w:sz w:val="21"/>
              </w:rPr>
            </w:pPr>
          </w:p>
        </w:tc>
      </w:tr>
      <w:tr>
        <w:tblPrEx>
          <w:tblW w:w="8940" w:type="dxa"/>
          <w:tblInd w:w="100" w:type="dxa"/>
          <w:tblLayout w:type="fixed"/>
        </w:tblPrEx>
        <w:trPr>
          <w:trHeight w:val="399"/>
        </w:trPr>
        <w:tc>
          <w:tcPr>
            <w:tcW w:w="634" w:type="dxa"/>
            <w:vMerge w:val="restart"/>
            <w:tcBorders>
              <w:bottom w:val="nil"/>
            </w:tcBorders>
            <w:vAlign w:val="top"/>
          </w:tcPr>
          <w:p>
            <w:pPr>
              <w:spacing w:line="299" w:lineRule="auto"/>
              <w:rPr>
                <w:rFonts w:ascii="Arial"/>
                <w:sz w:val="21"/>
              </w:rPr>
            </w:pPr>
          </w:p>
          <w:p>
            <w:pPr>
              <w:pStyle w:val="TableText"/>
              <w:spacing w:before="66" w:line="183" w:lineRule="auto"/>
              <w:ind w:left="254"/>
            </w:pPr>
            <w:r>
              <w:t>3</w:t>
            </w:r>
          </w:p>
        </w:tc>
        <w:tc>
          <w:tcPr>
            <w:tcW w:w="2517" w:type="dxa"/>
            <w:vMerge w:val="restart"/>
            <w:tcBorders>
              <w:bottom w:val="nil"/>
            </w:tcBorders>
            <w:vAlign w:val="top"/>
          </w:tcPr>
          <w:p>
            <w:pPr>
              <w:spacing w:line="249" w:lineRule="auto"/>
              <w:rPr>
                <w:rFonts w:ascii="Arial"/>
                <w:sz w:val="21"/>
              </w:rPr>
            </w:pPr>
          </w:p>
          <w:p>
            <w:pPr>
              <w:pStyle w:val="TableText"/>
              <w:spacing w:before="65" w:line="220" w:lineRule="auto"/>
              <w:ind w:left="250"/>
            </w:pPr>
            <w:r>
              <w:rPr>
                <w:spacing w:val="-1"/>
              </w:rPr>
              <w:t>皂膜气体流量标准装置</w:t>
            </w:r>
          </w:p>
        </w:tc>
        <w:tc>
          <w:tcPr>
            <w:tcW w:w="1239" w:type="dxa"/>
            <w:vAlign w:val="top"/>
          </w:tcPr>
          <w:p>
            <w:pPr>
              <w:pStyle w:val="TableText"/>
              <w:spacing w:before="155" w:line="184" w:lineRule="auto"/>
              <w:ind w:left="463"/>
            </w:pPr>
            <w:r>
              <w:rPr>
                <w:spacing w:val="-6"/>
              </w:rPr>
              <w:t>1.0</w:t>
            </w:r>
          </w:p>
        </w:tc>
        <w:tc>
          <w:tcPr>
            <w:tcW w:w="2487" w:type="dxa"/>
            <w:vAlign w:val="top"/>
          </w:tcPr>
          <w:p>
            <w:pPr>
              <w:pStyle w:val="TableText"/>
              <w:spacing w:before="156" w:line="183" w:lineRule="auto"/>
              <w:ind w:left="1084"/>
            </w:pPr>
            <w:r>
              <w:rPr>
                <w:spacing w:val="-3"/>
              </w:rPr>
              <w:t>3.0</w:t>
            </w:r>
          </w:p>
        </w:tc>
        <w:tc>
          <w:tcPr>
            <w:tcW w:w="2063" w:type="dxa"/>
            <w:vMerge w:val="restart"/>
            <w:tcBorders>
              <w:bottom w:val="nil"/>
            </w:tcBorders>
            <w:vAlign w:val="top"/>
          </w:tcPr>
          <w:p>
            <w:pPr>
              <w:spacing w:line="247" w:lineRule="auto"/>
              <w:rPr>
                <w:rFonts w:ascii="Arial"/>
                <w:sz w:val="21"/>
              </w:rPr>
            </w:pPr>
          </w:p>
          <w:p>
            <w:pPr>
              <w:pStyle w:val="TableText"/>
              <w:spacing w:before="65" w:line="219" w:lineRule="auto"/>
              <w:ind w:left="27"/>
            </w:pPr>
            <w:r>
              <w:t>附加阻力不大于100 Pa</w:t>
            </w:r>
          </w:p>
        </w:tc>
      </w:tr>
      <w:tr>
        <w:tblPrEx>
          <w:tblW w:w="8940" w:type="dxa"/>
          <w:tblInd w:w="100" w:type="dxa"/>
          <w:tblLayout w:type="fixed"/>
        </w:tblPrEx>
        <w:trPr>
          <w:trHeight w:val="409"/>
        </w:trPr>
        <w:tc>
          <w:tcPr>
            <w:tcW w:w="634" w:type="dxa"/>
            <w:vMerge/>
            <w:tcBorders>
              <w:top w:val="nil"/>
            </w:tcBorders>
            <w:vAlign w:val="top"/>
          </w:tcPr>
          <w:p>
            <w:pPr>
              <w:rPr>
                <w:rFonts w:ascii="Arial"/>
                <w:sz w:val="21"/>
              </w:rPr>
            </w:pPr>
          </w:p>
        </w:tc>
        <w:tc>
          <w:tcPr>
            <w:tcW w:w="2517" w:type="dxa"/>
            <w:vMerge/>
            <w:tcBorders>
              <w:top w:val="nil"/>
            </w:tcBorders>
            <w:vAlign w:val="top"/>
          </w:tcPr>
          <w:p>
            <w:pPr>
              <w:rPr>
                <w:rFonts w:ascii="Arial"/>
                <w:sz w:val="21"/>
              </w:rPr>
            </w:pPr>
          </w:p>
        </w:tc>
        <w:tc>
          <w:tcPr>
            <w:tcW w:w="1239" w:type="dxa"/>
            <w:vAlign w:val="top"/>
          </w:tcPr>
          <w:p>
            <w:pPr>
              <w:pStyle w:val="TableText"/>
              <w:spacing w:before="166" w:line="184" w:lineRule="auto"/>
              <w:ind w:left="463"/>
            </w:pPr>
            <w:r>
              <w:rPr>
                <w:spacing w:val="-6"/>
              </w:rPr>
              <w:t>1.5</w:t>
            </w:r>
          </w:p>
        </w:tc>
        <w:tc>
          <w:tcPr>
            <w:tcW w:w="2487" w:type="dxa"/>
            <w:vAlign w:val="top"/>
          </w:tcPr>
          <w:p>
            <w:pPr>
              <w:pStyle w:val="TableText"/>
              <w:spacing w:before="167" w:line="183" w:lineRule="auto"/>
              <w:ind w:left="1084"/>
            </w:pPr>
            <w:r>
              <w:rPr>
                <w:spacing w:val="-3"/>
              </w:rPr>
              <w:t>5.0</w:t>
            </w:r>
          </w:p>
        </w:tc>
        <w:tc>
          <w:tcPr>
            <w:tcW w:w="2063" w:type="dxa"/>
            <w:vMerge/>
            <w:tcBorders>
              <w:top w:val="nil"/>
            </w:tcBorders>
            <w:vAlign w:val="top"/>
          </w:tcPr>
          <w:p>
            <w:pPr>
              <w:rPr>
                <w:rFonts w:ascii="Arial"/>
                <w:sz w:val="21"/>
              </w:rPr>
            </w:pPr>
          </w:p>
        </w:tc>
      </w:tr>
      <w:tr>
        <w:tblPrEx>
          <w:tblW w:w="8940" w:type="dxa"/>
          <w:tblInd w:w="100" w:type="dxa"/>
          <w:tblLayout w:type="fixed"/>
        </w:tblPrEx>
        <w:trPr>
          <w:trHeight w:val="813"/>
        </w:trPr>
        <w:tc>
          <w:tcPr>
            <w:tcW w:w="634" w:type="dxa"/>
            <w:vAlign w:val="top"/>
          </w:tcPr>
          <w:p>
            <w:pPr>
              <w:spacing w:line="301" w:lineRule="auto"/>
              <w:rPr>
                <w:rFonts w:ascii="Arial"/>
                <w:sz w:val="21"/>
              </w:rPr>
            </w:pPr>
          </w:p>
          <w:p>
            <w:pPr>
              <w:pStyle w:val="TableText"/>
              <w:spacing w:before="65" w:line="183" w:lineRule="auto"/>
              <w:ind w:left="254"/>
            </w:pPr>
            <w:r>
              <w:t>4</w:t>
            </w:r>
          </w:p>
        </w:tc>
        <w:tc>
          <w:tcPr>
            <w:tcW w:w="2517" w:type="dxa"/>
            <w:vAlign w:val="top"/>
          </w:tcPr>
          <w:p>
            <w:pPr>
              <w:spacing w:line="251" w:lineRule="auto"/>
              <w:rPr>
                <w:rFonts w:ascii="Arial"/>
                <w:sz w:val="21"/>
              </w:rPr>
            </w:pPr>
          </w:p>
          <w:p>
            <w:pPr>
              <w:pStyle w:val="TableText"/>
              <w:spacing w:before="65" w:line="220" w:lineRule="auto"/>
              <w:ind w:left="350"/>
            </w:pPr>
            <w:r>
              <w:rPr>
                <w:spacing w:val="-1"/>
              </w:rPr>
              <w:t>标准表流量标准装置</w:t>
            </w:r>
          </w:p>
        </w:tc>
        <w:tc>
          <w:tcPr>
            <w:tcW w:w="1239" w:type="dxa"/>
            <w:vAlign w:val="top"/>
          </w:tcPr>
          <w:p>
            <w:pPr>
              <w:spacing w:line="254" w:lineRule="auto"/>
              <w:rPr>
                <w:rFonts w:ascii="Arial"/>
                <w:sz w:val="21"/>
              </w:rPr>
            </w:pPr>
          </w:p>
          <w:p>
            <w:pPr>
              <w:pStyle w:val="TableText"/>
              <w:spacing w:before="65" w:line="223" w:lineRule="auto"/>
              <w:ind w:left="213"/>
            </w:pPr>
            <w:r>
              <w:rPr>
                <w:spacing w:val="1"/>
              </w:rPr>
              <w:t>1.0或1.5</w:t>
            </w:r>
          </w:p>
        </w:tc>
        <w:tc>
          <w:tcPr>
            <w:tcW w:w="2487" w:type="dxa"/>
            <w:vAlign w:val="top"/>
          </w:tcPr>
          <w:p>
            <w:pPr>
              <w:spacing w:line="301" w:lineRule="auto"/>
              <w:rPr>
                <w:rFonts w:ascii="Arial"/>
                <w:sz w:val="21"/>
              </w:rPr>
            </w:pPr>
          </w:p>
          <w:p>
            <w:pPr>
              <w:pStyle w:val="TableText"/>
              <w:spacing w:before="65" w:line="183" w:lineRule="auto"/>
              <w:ind w:left="1084"/>
            </w:pPr>
            <w:r>
              <w:rPr>
                <w:spacing w:val="-3"/>
              </w:rPr>
              <w:t>5.0</w:t>
            </w:r>
          </w:p>
        </w:tc>
        <w:tc>
          <w:tcPr>
            <w:tcW w:w="2063" w:type="dxa"/>
            <w:vAlign w:val="top"/>
          </w:tcPr>
          <w:p>
            <w:pPr>
              <w:pStyle w:val="TableText"/>
              <w:spacing w:before="165" w:line="219" w:lineRule="auto"/>
              <w:ind w:left="127"/>
            </w:pPr>
            <w:r>
              <w:rPr>
                <w:spacing w:val="-1"/>
              </w:rPr>
              <w:t>被检采样器使用隔膜</w:t>
            </w:r>
          </w:p>
          <w:p>
            <w:pPr>
              <w:pStyle w:val="TableText"/>
              <w:spacing w:before="94" w:line="219" w:lineRule="auto"/>
              <w:ind w:left="227"/>
            </w:pPr>
            <w:r>
              <w:rPr>
                <w:spacing w:val="3"/>
              </w:rPr>
              <w:t>气泵时，不能选用</w:t>
            </w:r>
          </w:p>
        </w:tc>
      </w:tr>
    </w:tbl>
    <w:p>
      <w:pPr>
        <w:spacing w:line="382" w:lineRule="auto"/>
        <w:rPr>
          <w:rFonts w:ascii="Arial"/>
          <w:sz w:val="21"/>
        </w:rPr>
      </w:pPr>
    </w:p>
    <w:p>
      <w:pPr>
        <w:pStyle w:val="BodyText"/>
        <w:spacing w:before="75" w:line="212" w:lineRule="auto"/>
        <w:ind w:left="43"/>
      </w:pPr>
      <w:hyperlink r:id="rId16" w:history="1">
        <w:r>
          <w:rPr>
            <w:b/>
            <w:bCs/>
            <w:spacing w:val="8"/>
          </w:rPr>
          <w:t>6.1.2.2</w:t>
        </w:r>
      </w:hyperlink>
      <w:r>
        <w:rPr>
          <w:spacing w:val="119"/>
        </w:rPr>
        <w:t xml:space="preserve"> </w:t>
      </w:r>
      <w:r>
        <w:rPr>
          <w:spacing w:val="8"/>
        </w:rPr>
        <w:t>压力计：量程(0～5)</w:t>
      </w:r>
      <w:r>
        <w:rPr>
          <w:spacing w:val="-35"/>
        </w:rPr>
        <w:t xml:space="preserve"> </w:t>
      </w:r>
      <w:r>
        <w:rPr>
          <w:rFonts w:ascii="Times New Roman" w:eastAsia="Times New Roman" w:hAnsi="Times New Roman" w:cs="Times New Roman"/>
        </w:rPr>
        <w:t>kPa</w:t>
      </w:r>
      <w:r>
        <w:rPr>
          <w:rFonts w:ascii="Times New Roman" w:eastAsia="Times New Roman" w:hAnsi="Times New Roman" w:cs="Times New Roman"/>
          <w:spacing w:val="8"/>
        </w:rPr>
        <w:t>,</w:t>
      </w:r>
      <w:r>
        <w:rPr>
          <w:rFonts w:ascii="Times New Roman" w:eastAsia="Times New Roman" w:hAnsi="Times New Roman" w:cs="Times New Roman"/>
          <w:spacing w:val="27"/>
          <w:w w:val="101"/>
        </w:rPr>
        <w:t xml:space="preserve">  </w:t>
      </w:r>
      <w:r>
        <w:rPr>
          <w:spacing w:val="8"/>
        </w:rPr>
        <w:t xml:space="preserve">分辨率10 </w:t>
      </w:r>
      <w:r>
        <w:rPr>
          <w:rFonts w:ascii="Times New Roman" w:eastAsia="Times New Roman" w:hAnsi="Times New Roman" w:cs="Times New Roman"/>
        </w:rPr>
        <w:t>Pa</w:t>
      </w:r>
      <w:r>
        <w:rPr>
          <w:spacing w:val="8"/>
        </w:rPr>
        <w:t>。</w:t>
      </w:r>
    </w:p>
    <w:p>
      <w:pPr>
        <w:pStyle w:val="BodyText"/>
        <w:spacing w:before="86" w:line="212" w:lineRule="auto"/>
        <w:ind w:left="43"/>
      </w:pPr>
      <w:hyperlink r:id="rId17" w:history="1">
        <w:r>
          <w:rPr>
            <w:b/>
            <w:bCs/>
            <w:spacing w:val="5"/>
          </w:rPr>
          <w:t>6.1.2.3</w:t>
        </w:r>
      </w:hyperlink>
      <w:r>
        <w:rPr>
          <w:spacing w:val="5"/>
        </w:rPr>
        <w:t xml:space="preserve">  气压计：量程(86～105)</w:t>
      </w:r>
      <w:r>
        <w:rPr>
          <w:spacing w:val="-36"/>
        </w:rPr>
        <w:t xml:space="preserve"> </w:t>
      </w:r>
      <w:r>
        <w:rPr>
          <w:rFonts w:ascii="Times New Roman" w:eastAsia="Times New Roman" w:hAnsi="Times New Roman" w:cs="Times New Roman"/>
        </w:rPr>
        <w:t>kPa</w:t>
      </w:r>
      <w:r>
        <w:rPr>
          <w:rFonts w:ascii="Times New Roman" w:eastAsia="Times New Roman" w:hAnsi="Times New Roman" w:cs="Times New Roman"/>
          <w:spacing w:val="5"/>
        </w:rPr>
        <w:t xml:space="preserve">,   </w:t>
      </w:r>
      <w:r>
        <w:rPr>
          <w:spacing w:val="5"/>
        </w:rPr>
        <w:t>允许误差限为</w:t>
      </w:r>
      <w:r>
        <w:rPr>
          <w:spacing w:val="4"/>
        </w:rPr>
        <w:t xml:space="preserve">±40 </w:t>
      </w:r>
      <w:r>
        <w:rPr>
          <w:rFonts w:ascii="Times New Roman" w:eastAsia="Times New Roman" w:hAnsi="Times New Roman" w:cs="Times New Roman"/>
        </w:rPr>
        <w:t>Pa</w:t>
      </w:r>
      <w:r>
        <w:rPr>
          <w:spacing w:val="4"/>
        </w:rPr>
        <w:t>。</w:t>
      </w:r>
    </w:p>
    <w:p>
      <w:pPr>
        <w:pStyle w:val="BodyText"/>
        <w:spacing w:before="101" w:line="219" w:lineRule="auto"/>
        <w:ind w:left="43"/>
      </w:pPr>
      <w:hyperlink r:id="rId18" w:history="1">
        <w:r>
          <w:rPr>
            <w:b/>
            <w:bCs/>
            <w:spacing w:val="2"/>
          </w:rPr>
          <w:t>6.1.2.4</w:t>
        </w:r>
      </w:hyperlink>
      <w:r>
        <w:rPr>
          <w:spacing w:val="2"/>
        </w:rPr>
        <w:t xml:space="preserve">  秒表：分度值0.01</w:t>
      </w:r>
      <w:r>
        <w:rPr>
          <w:spacing w:val="-55"/>
        </w:rPr>
        <w:t xml:space="preserve"> </w:t>
      </w:r>
      <w:r>
        <w:rPr>
          <w:rFonts w:ascii="Times New Roman" w:eastAsia="Times New Roman" w:hAnsi="Times New Roman" w:cs="Times New Roman"/>
          <w:spacing w:val="2"/>
        </w:rPr>
        <w:t>s</w:t>
      </w:r>
      <w:r>
        <w:rPr>
          <w:spacing w:val="2"/>
        </w:rPr>
        <w:t>。</w:t>
      </w:r>
    </w:p>
    <w:p>
      <w:pPr>
        <w:pStyle w:val="BodyText"/>
        <w:spacing w:before="84" w:line="216" w:lineRule="auto"/>
        <w:ind w:left="43"/>
        <w:sectPr>
          <w:headerReference w:type="default" r:id="rId19"/>
          <w:footerReference w:type="default" r:id="rId20"/>
          <w:pgSz w:w="11910" w:h="16840"/>
          <w:pgMar w:top="1499" w:right="1370" w:bottom="1322" w:left="1360" w:header="1180" w:footer="1163" w:gutter="0"/>
          <w:pgNumType w:start="5"/>
          <w:cols w:space="708"/>
        </w:sectPr>
      </w:pPr>
      <w:hyperlink r:id="rId21" w:history="1">
        <w:r>
          <w:rPr>
            <w:b/>
            <w:bCs/>
            <w:spacing w:val="14"/>
          </w:rPr>
          <w:t>6.1.2.5</w:t>
        </w:r>
      </w:hyperlink>
      <w:r>
        <w:rPr>
          <w:spacing w:val="4"/>
        </w:rPr>
        <w:t xml:space="preserve">  </w:t>
      </w:r>
      <w:r>
        <w:rPr>
          <w:spacing w:val="14"/>
        </w:rPr>
        <w:t>温度计：量程(0～50)℃,分度值0.1</w:t>
      </w:r>
      <w:r>
        <w:rPr>
          <w:spacing w:val="13"/>
        </w:rPr>
        <w:t>℃。</w:t>
      </w:r>
    </w:p>
    <w:p>
      <w:pPr>
        <w:pStyle w:val="BodyText"/>
        <w:spacing w:before="105" w:line="219" w:lineRule="auto"/>
        <w:ind w:left="43"/>
      </w:pPr>
      <w:hyperlink r:id="rId22" w:history="1">
        <w:r>
          <w:rPr>
            <w:b/>
            <w:bCs/>
            <w:spacing w:val="18"/>
          </w:rPr>
          <w:t>6.1.2.6</w:t>
        </w:r>
      </w:hyperlink>
      <w:r>
        <w:rPr>
          <w:spacing w:val="114"/>
        </w:rPr>
        <w:t xml:space="preserve"> </w:t>
      </w:r>
      <w:r>
        <w:rPr>
          <w:spacing w:val="18"/>
        </w:rPr>
        <w:t>手动微加压泵：加压范围不小于(-5000～+5000)</w:t>
      </w:r>
      <w:r>
        <w:rPr>
          <w:spacing w:val="-35"/>
        </w:rPr>
        <w:t xml:space="preserve"> </w:t>
      </w:r>
      <w:r>
        <w:rPr>
          <w:rFonts w:ascii="Times New Roman" w:eastAsia="Times New Roman" w:hAnsi="Times New Roman" w:cs="Times New Roman"/>
        </w:rPr>
        <w:t>Pa</w:t>
      </w:r>
      <w:r>
        <w:rPr>
          <w:spacing w:val="18"/>
        </w:rPr>
        <w:t>。</w:t>
      </w:r>
    </w:p>
    <w:p>
      <w:pPr>
        <w:pStyle w:val="BodyText"/>
        <w:spacing w:before="51" w:line="212" w:lineRule="auto"/>
        <w:ind w:left="43"/>
      </w:pPr>
      <w:hyperlink r:id="rId23" w:history="1">
        <w:r>
          <w:rPr>
            <w:b/>
            <w:bCs/>
            <w:spacing w:val="6"/>
          </w:rPr>
          <w:t>6.1.2.7</w:t>
        </w:r>
      </w:hyperlink>
      <w:r>
        <w:rPr>
          <w:spacing w:val="8"/>
        </w:rPr>
        <w:t xml:space="preserve">  </w:t>
      </w:r>
      <w:r>
        <w:rPr>
          <w:spacing w:val="6"/>
        </w:rPr>
        <w:t>交流电压表：(0~250)</w:t>
      </w:r>
      <w:r>
        <w:rPr>
          <w:spacing w:val="-45"/>
        </w:rPr>
        <w:t xml:space="preserve"> </w:t>
      </w:r>
      <w:r>
        <w:rPr>
          <w:rFonts w:ascii="Times New Roman" w:eastAsia="Times New Roman" w:hAnsi="Times New Roman" w:cs="Times New Roman"/>
          <w:spacing w:val="6"/>
        </w:rPr>
        <w:t xml:space="preserve">V,1.5    </w:t>
      </w:r>
      <w:r>
        <w:rPr>
          <w:spacing w:val="6"/>
        </w:rPr>
        <w:t>级。</w:t>
      </w:r>
    </w:p>
    <w:p>
      <w:pPr>
        <w:pStyle w:val="BodyText"/>
        <w:spacing w:before="96" w:line="212" w:lineRule="auto"/>
        <w:ind w:left="43"/>
      </w:pPr>
      <w:hyperlink r:id="rId24" w:history="1">
        <w:r>
          <w:rPr>
            <w:b/>
            <w:bCs/>
            <w:spacing w:val="6"/>
          </w:rPr>
          <w:t>6.1.2.8</w:t>
        </w:r>
      </w:hyperlink>
      <w:r>
        <w:t xml:space="preserve">  </w:t>
      </w:r>
      <w:r>
        <w:rPr>
          <w:spacing w:val="6"/>
        </w:rPr>
        <w:t xml:space="preserve">绝缘电阻表：输出电压500 </w:t>
      </w:r>
      <w:r>
        <w:rPr>
          <w:rFonts w:ascii="Times New Roman" w:eastAsia="Times New Roman" w:hAnsi="Times New Roman" w:cs="Times New Roman"/>
          <w:spacing w:val="6"/>
        </w:rPr>
        <w:t>V</w:t>
      </w:r>
      <w:r>
        <w:rPr>
          <w:rFonts w:ascii="Times New Roman" w:eastAsia="Times New Roman" w:hAnsi="Times New Roman" w:cs="Times New Roman"/>
          <w:spacing w:val="5"/>
        </w:rPr>
        <w:t xml:space="preserve">,   </w:t>
      </w:r>
      <w:r>
        <w:rPr>
          <w:spacing w:val="5"/>
        </w:rPr>
        <w:t>准确度级别为10级。</w:t>
      </w:r>
    </w:p>
    <w:p>
      <w:pPr>
        <w:pStyle w:val="BodyText"/>
        <w:spacing w:before="98" w:line="216" w:lineRule="auto"/>
        <w:ind w:left="43"/>
      </w:pPr>
      <w:hyperlink r:id="rId25" w:history="1">
        <w:r>
          <w:rPr>
            <w:b/>
            <w:bCs/>
            <w:spacing w:val="11"/>
          </w:rPr>
          <w:t>6.1.2.9</w:t>
        </w:r>
      </w:hyperlink>
      <w:r>
        <w:rPr>
          <w:spacing w:val="5"/>
        </w:rPr>
        <w:t xml:space="preserve">  </w:t>
      </w:r>
      <w:r>
        <w:rPr>
          <w:spacing w:val="11"/>
        </w:rPr>
        <w:t>耐压试验仪：交流电压(0</w:t>
      </w:r>
      <w:r>
        <w:rPr>
          <w:spacing w:val="10"/>
        </w:rPr>
        <w:t>～1500)</w:t>
      </w:r>
      <w:r>
        <w:rPr>
          <w:spacing w:val="-24"/>
        </w:rPr>
        <w:t xml:space="preserve"> </w:t>
      </w:r>
      <w:r>
        <w:rPr>
          <w:spacing w:val="10"/>
        </w:rPr>
        <w:t>V,</w:t>
      </w:r>
      <w:r>
        <w:rPr>
          <w:spacing w:val="48"/>
        </w:rPr>
        <w:t xml:space="preserve"> </w:t>
      </w:r>
      <w:r>
        <w:rPr>
          <w:spacing w:val="10"/>
        </w:rPr>
        <w:t xml:space="preserve">频率为50 </w:t>
      </w:r>
      <w:r>
        <w:t>Hz</w:t>
      </w:r>
      <w:r>
        <w:rPr>
          <w:spacing w:val="10"/>
        </w:rPr>
        <w:t>, 准确度等级优于5级。</w:t>
      </w:r>
    </w:p>
    <w:p>
      <w:pPr>
        <w:pStyle w:val="BodyText"/>
        <w:spacing w:before="94" w:line="219" w:lineRule="auto"/>
        <w:ind w:left="43"/>
      </w:pPr>
      <w:r>
        <w:rPr>
          <w:b/>
          <w:bCs/>
          <w:spacing w:val="5"/>
        </w:rPr>
        <w:t>6.2</w:t>
      </w:r>
      <w:r>
        <w:rPr>
          <w:spacing w:val="97"/>
        </w:rPr>
        <w:t xml:space="preserve"> </w:t>
      </w:r>
      <w:r>
        <w:rPr>
          <w:spacing w:val="5"/>
        </w:rPr>
        <w:t>检定项目</w:t>
      </w:r>
    </w:p>
    <w:p>
      <w:pPr>
        <w:pStyle w:val="BodyText"/>
        <w:spacing w:before="86" w:line="219" w:lineRule="auto"/>
        <w:ind w:left="40"/>
      </w:pPr>
      <w:r>
        <w:rPr>
          <w:spacing w:val="11"/>
        </w:rPr>
        <w:t>粉尘采样器首次检定、后续检定和使用中检验项目如表2所示。</w:t>
      </w:r>
    </w:p>
    <w:p>
      <w:pPr>
        <w:spacing w:line="219" w:lineRule="auto"/>
        <w:sectPr>
          <w:headerReference w:type="default" r:id="rId26"/>
          <w:footerReference w:type="default" r:id="rId27"/>
          <w:type w:val="nextPage"/>
          <w:pgSz w:w="11910" w:h="16840"/>
          <w:pgMar w:top="1499" w:right="1370" w:bottom="1322" w:left="1360" w:header="1180" w:footer="1163" w:gutter="0"/>
          <w:pgNumType w:start="6"/>
          <w:cols w:space="708"/>
          <w:titlePg w:val="0"/>
        </w:sectPr>
      </w:pPr>
    </w:p>
    <w:p>
      <w:pPr>
        <w:spacing w:line="305" w:lineRule="auto"/>
        <w:rPr>
          <w:rFonts w:ascii="Arial"/>
          <w:sz w:val="21"/>
        </w:rPr>
      </w:pPr>
      <w:r>
        <w:drawing>
          <wp:anchor distT="0" distB="0" distL="0" distR="0" simplePos="0" relativeHeight="251659264" behindDoc="0" locked="0" layoutInCell="0" allowOverlap="1">
            <wp:simplePos x="0" y="0"/>
            <wp:positionH relativeFrom="page">
              <wp:posOffset>3092449</wp:posOffset>
            </wp:positionH>
            <wp:positionV relativeFrom="page">
              <wp:posOffset>8826546</wp:posOffset>
            </wp:positionV>
            <wp:extent cx="1390656" cy="37458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8"/>
                    <a:stretch>
                      <a:fillRect/>
                    </a:stretch>
                  </pic:blipFill>
                  <pic:spPr>
                    <a:xfrm>
                      <a:off x="0" y="0"/>
                      <a:ext cx="1390656" cy="374589"/>
                    </a:xfrm>
                    <a:prstGeom prst="rect">
                      <a:avLst/>
                    </a:prstGeom>
                  </pic:spPr>
                </pic:pic>
              </a:graphicData>
            </a:graphic>
          </wp:anchor>
        </w:drawing>
      </w:r>
    </w:p>
    <w:p>
      <w:pPr>
        <w:pStyle w:val="BodyText"/>
        <w:spacing w:before="72" w:line="219" w:lineRule="auto"/>
        <w:ind w:left="20"/>
        <w:rPr>
          <w:sz w:val="22"/>
          <w:szCs w:val="22"/>
        </w:rPr>
      </w:pPr>
      <w:r>
        <w:rPr>
          <w:spacing w:val="-3"/>
          <w:sz w:val="22"/>
          <w:szCs w:val="22"/>
        </w:rPr>
        <w:t>6.3</w:t>
      </w:r>
      <w:r>
        <w:rPr>
          <w:spacing w:val="26"/>
          <w:sz w:val="22"/>
          <w:szCs w:val="22"/>
        </w:rPr>
        <w:t xml:space="preserve">  </w:t>
      </w:r>
      <w:r>
        <w:rPr>
          <w:spacing w:val="-3"/>
          <w:sz w:val="22"/>
          <w:szCs w:val="22"/>
        </w:rPr>
        <w:t>检定方法</w:t>
      </w:r>
    </w:p>
    <w:p>
      <w:pPr>
        <w:spacing w:before="66" w:line="220" w:lineRule="auto"/>
        <w:ind w:left="1690"/>
        <w:rPr>
          <w:rFonts w:ascii="SimHei" w:eastAsia="SimHei" w:hAnsi="SimHei" w:cs="SimHei"/>
          <w:sz w:val="22"/>
          <w:szCs w:val="22"/>
        </w:rPr>
      </w:pPr>
      <w:r>
        <w:rPr>
          <w:rFonts w:ascii="SimHei" w:eastAsia="SimHei" w:hAnsi="SimHei" w:cs="SimHei"/>
          <w:spacing w:val="-11"/>
          <w:sz w:val="22"/>
          <w:szCs w:val="22"/>
        </w:rPr>
        <w:t>表2</w:t>
      </w:r>
      <w:r>
        <w:rPr>
          <w:rFonts w:ascii="SimHei" w:eastAsia="SimHei" w:hAnsi="SimHei" w:cs="SimHei"/>
          <w:spacing w:val="96"/>
          <w:sz w:val="22"/>
          <w:szCs w:val="22"/>
        </w:rPr>
        <w:t xml:space="preserve"> </w:t>
      </w:r>
      <w:r>
        <w:rPr>
          <w:rFonts w:ascii="SimHei" w:eastAsia="SimHei" w:hAnsi="SimHei" w:cs="SimHei"/>
          <w:spacing w:val="-11"/>
          <w:sz w:val="22"/>
          <w:szCs w:val="22"/>
        </w:rPr>
        <w:t>粉尘采样器首次检定、后续检定和使用中检验项目一览表</w:t>
      </w:r>
    </w:p>
    <w:p>
      <w:pPr>
        <w:spacing w:line="106" w:lineRule="exact"/>
      </w:pPr>
    </w:p>
    <w:tbl>
      <w:tblPr>
        <w:tblStyle w:val="TableNormal1"/>
        <w:tblW w:w="894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34"/>
        <w:gridCol w:w="3326"/>
        <w:gridCol w:w="1448"/>
        <w:gridCol w:w="1459"/>
        <w:gridCol w:w="1473"/>
      </w:tblGrid>
      <w:tr>
        <w:tblPrEx>
          <w:tblW w:w="894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4"/>
        </w:trPr>
        <w:tc>
          <w:tcPr>
            <w:tcW w:w="1234" w:type="dxa"/>
            <w:vAlign w:val="top"/>
          </w:tcPr>
          <w:p>
            <w:pPr>
              <w:pStyle w:val="TableText"/>
              <w:spacing w:before="104" w:line="221" w:lineRule="auto"/>
              <w:ind w:left="404"/>
            </w:pPr>
            <w:r>
              <w:rPr>
                <w:spacing w:val="-2"/>
              </w:rPr>
              <w:t>序号</w:t>
            </w:r>
          </w:p>
        </w:tc>
        <w:tc>
          <w:tcPr>
            <w:tcW w:w="3326" w:type="dxa"/>
            <w:vAlign w:val="top"/>
          </w:tcPr>
          <w:p>
            <w:pPr>
              <w:pStyle w:val="TableText"/>
              <w:spacing w:before="103" w:line="219" w:lineRule="auto"/>
              <w:ind w:left="1250"/>
            </w:pPr>
            <w:r>
              <w:rPr>
                <w:spacing w:val="9"/>
              </w:rPr>
              <w:t>检定项目</w:t>
            </w:r>
          </w:p>
        </w:tc>
        <w:tc>
          <w:tcPr>
            <w:tcW w:w="1448" w:type="dxa"/>
            <w:vAlign w:val="top"/>
          </w:tcPr>
          <w:p>
            <w:pPr>
              <w:pStyle w:val="TableText"/>
              <w:spacing w:before="103" w:line="219" w:lineRule="auto"/>
              <w:ind w:left="315"/>
            </w:pPr>
            <w:r>
              <w:rPr>
                <w:spacing w:val="3"/>
              </w:rPr>
              <w:t>首次检定</w:t>
            </w:r>
          </w:p>
        </w:tc>
        <w:tc>
          <w:tcPr>
            <w:tcW w:w="1459" w:type="dxa"/>
            <w:vAlign w:val="top"/>
          </w:tcPr>
          <w:p>
            <w:pPr>
              <w:pStyle w:val="TableText"/>
              <w:spacing w:before="103" w:line="219" w:lineRule="auto"/>
              <w:ind w:left="326"/>
            </w:pPr>
            <w:r>
              <w:rPr>
                <w:spacing w:val="3"/>
              </w:rPr>
              <w:t>后续检定</w:t>
            </w:r>
          </w:p>
        </w:tc>
        <w:tc>
          <w:tcPr>
            <w:tcW w:w="1473" w:type="dxa"/>
            <w:vAlign w:val="top"/>
          </w:tcPr>
          <w:p>
            <w:pPr>
              <w:pStyle w:val="TableText"/>
              <w:spacing w:before="103" w:line="219" w:lineRule="auto"/>
              <w:ind w:left="227"/>
            </w:pPr>
            <w:r>
              <w:rPr>
                <w:spacing w:val="-2"/>
              </w:rPr>
              <w:t>使用中检验</w:t>
            </w:r>
          </w:p>
        </w:tc>
      </w:tr>
      <w:tr>
        <w:tblPrEx>
          <w:tblW w:w="8940" w:type="dxa"/>
          <w:tblInd w:w="110" w:type="dxa"/>
          <w:tblLayout w:type="fixed"/>
        </w:tblPrEx>
        <w:trPr>
          <w:trHeight w:val="400"/>
        </w:trPr>
        <w:tc>
          <w:tcPr>
            <w:tcW w:w="1234" w:type="dxa"/>
            <w:vAlign w:val="top"/>
          </w:tcPr>
          <w:p>
            <w:pPr>
              <w:pStyle w:val="TableText"/>
              <w:spacing w:before="149" w:line="184" w:lineRule="auto"/>
              <w:ind w:left="555"/>
            </w:pPr>
            <w:r>
              <w:t>1</w:t>
            </w:r>
          </w:p>
        </w:tc>
        <w:tc>
          <w:tcPr>
            <w:tcW w:w="3326" w:type="dxa"/>
            <w:vAlign w:val="top"/>
          </w:tcPr>
          <w:p>
            <w:pPr>
              <w:pStyle w:val="TableText"/>
              <w:spacing w:before="99" w:line="220" w:lineRule="auto"/>
              <w:ind w:left="1150"/>
            </w:pPr>
            <w:r>
              <w:rPr>
                <w:spacing w:val="2"/>
              </w:rPr>
              <w:t>外观及标志</w:t>
            </w:r>
          </w:p>
        </w:tc>
        <w:tc>
          <w:tcPr>
            <w:tcW w:w="1448" w:type="dxa"/>
            <w:vAlign w:val="top"/>
          </w:tcPr>
          <w:p>
            <w:pPr>
              <w:pStyle w:val="TableText"/>
              <w:spacing w:before="149" w:line="184" w:lineRule="exact"/>
              <w:ind w:left="684"/>
              <w:rPr>
                <w:sz w:val="13"/>
                <w:szCs w:val="13"/>
              </w:rPr>
            </w:pPr>
            <w:r>
              <w:rPr>
                <w:position w:val="1"/>
                <w:sz w:val="13"/>
                <w:szCs w:val="13"/>
              </w:rPr>
              <w:t>+</w:t>
            </w:r>
          </w:p>
        </w:tc>
        <w:tc>
          <w:tcPr>
            <w:tcW w:w="1459" w:type="dxa"/>
            <w:vAlign w:val="top"/>
          </w:tcPr>
          <w:p>
            <w:pPr>
              <w:pStyle w:val="TableText"/>
              <w:spacing w:before="149" w:line="184" w:lineRule="exact"/>
              <w:ind w:left="686"/>
              <w:rPr>
                <w:sz w:val="13"/>
                <w:szCs w:val="13"/>
              </w:rPr>
            </w:pPr>
            <w:r>
              <w:rPr>
                <w:position w:val="1"/>
                <w:sz w:val="13"/>
                <w:szCs w:val="13"/>
              </w:rPr>
              <w:t>+</w:t>
            </w:r>
          </w:p>
        </w:tc>
        <w:tc>
          <w:tcPr>
            <w:tcW w:w="1473" w:type="dxa"/>
            <w:vAlign w:val="top"/>
          </w:tcPr>
          <w:p>
            <w:pPr>
              <w:pStyle w:val="TableText"/>
              <w:spacing w:before="156" w:line="156" w:lineRule="exact"/>
              <w:ind w:left="697"/>
              <w:rPr>
                <w:sz w:val="11"/>
                <w:szCs w:val="11"/>
              </w:rPr>
            </w:pPr>
            <w:r>
              <w:rPr>
                <w:position w:val="1"/>
                <w:sz w:val="11"/>
                <w:szCs w:val="11"/>
              </w:rPr>
              <w:t>+</w:t>
            </w:r>
          </w:p>
        </w:tc>
      </w:tr>
      <w:tr>
        <w:tblPrEx>
          <w:tblW w:w="8940" w:type="dxa"/>
          <w:tblInd w:w="110" w:type="dxa"/>
          <w:tblLayout w:type="fixed"/>
        </w:tblPrEx>
        <w:trPr>
          <w:trHeight w:val="399"/>
        </w:trPr>
        <w:tc>
          <w:tcPr>
            <w:tcW w:w="1234" w:type="dxa"/>
            <w:vAlign w:val="top"/>
          </w:tcPr>
          <w:p>
            <w:pPr>
              <w:pStyle w:val="TableText"/>
              <w:spacing w:before="150" w:line="183" w:lineRule="auto"/>
              <w:ind w:left="555"/>
            </w:pPr>
            <w:r>
              <w:t>2</w:t>
            </w:r>
          </w:p>
        </w:tc>
        <w:tc>
          <w:tcPr>
            <w:tcW w:w="3326" w:type="dxa"/>
            <w:vAlign w:val="top"/>
          </w:tcPr>
          <w:p>
            <w:pPr>
              <w:pStyle w:val="TableText"/>
              <w:spacing w:before="97" w:line="219" w:lineRule="auto"/>
              <w:ind w:left="1050"/>
            </w:pPr>
            <w:r>
              <w:rPr>
                <w:spacing w:val="-1"/>
              </w:rPr>
              <w:t>采样流量误差</w:t>
            </w:r>
          </w:p>
        </w:tc>
        <w:tc>
          <w:tcPr>
            <w:tcW w:w="1448" w:type="dxa"/>
            <w:vAlign w:val="top"/>
          </w:tcPr>
          <w:p>
            <w:pPr>
              <w:pStyle w:val="TableText"/>
              <w:spacing w:before="179" w:line="184" w:lineRule="exact"/>
              <w:ind w:left="684"/>
              <w:rPr>
                <w:sz w:val="13"/>
                <w:szCs w:val="13"/>
              </w:rPr>
            </w:pPr>
            <w:r>
              <w:rPr>
                <w:position w:val="1"/>
                <w:sz w:val="13"/>
                <w:szCs w:val="13"/>
              </w:rPr>
              <w:t>+</w:t>
            </w:r>
          </w:p>
        </w:tc>
        <w:tc>
          <w:tcPr>
            <w:tcW w:w="1459" w:type="dxa"/>
            <w:vAlign w:val="top"/>
          </w:tcPr>
          <w:p>
            <w:pPr>
              <w:pStyle w:val="TableText"/>
              <w:spacing w:before="189" w:line="184" w:lineRule="exact"/>
              <w:ind w:left="686"/>
              <w:rPr>
                <w:sz w:val="13"/>
                <w:szCs w:val="13"/>
              </w:rPr>
            </w:pPr>
            <w:r>
              <w:rPr>
                <w:position w:val="1"/>
                <w:sz w:val="13"/>
                <w:szCs w:val="13"/>
              </w:rPr>
              <w:t>+</w:t>
            </w:r>
          </w:p>
        </w:tc>
        <w:tc>
          <w:tcPr>
            <w:tcW w:w="1473" w:type="dxa"/>
            <w:vAlign w:val="top"/>
          </w:tcPr>
          <w:p>
            <w:pPr>
              <w:pStyle w:val="TableText"/>
              <w:spacing w:before="179" w:line="184" w:lineRule="exact"/>
              <w:ind w:left="697"/>
              <w:rPr>
                <w:sz w:val="13"/>
                <w:szCs w:val="13"/>
              </w:rPr>
            </w:pPr>
            <w:r>
              <w:rPr>
                <w:position w:val="1"/>
                <w:sz w:val="13"/>
                <w:szCs w:val="13"/>
              </w:rPr>
              <w:t>+</w:t>
            </w:r>
          </w:p>
        </w:tc>
      </w:tr>
      <w:tr>
        <w:tblPrEx>
          <w:tblW w:w="8940" w:type="dxa"/>
          <w:tblInd w:w="110" w:type="dxa"/>
          <w:tblLayout w:type="fixed"/>
        </w:tblPrEx>
        <w:trPr>
          <w:trHeight w:val="409"/>
        </w:trPr>
        <w:tc>
          <w:tcPr>
            <w:tcW w:w="1234" w:type="dxa"/>
            <w:vAlign w:val="top"/>
          </w:tcPr>
          <w:p>
            <w:pPr>
              <w:pStyle w:val="TableText"/>
              <w:spacing w:before="161" w:line="183" w:lineRule="auto"/>
              <w:ind w:left="555"/>
            </w:pPr>
            <w:r>
              <w:t>3</w:t>
            </w:r>
          </w:p>
        </w:tc>
        <w:tc>
          <w:tcPr>
            <w:tcW w:w="3326" w:type="dxa"/>
            <w:vAlign w:val="top"/>
          </w:tcPr>
          <w:p>
            <w:pPr>
              <w:pStyle w:val="TableText"/>
              <w:spacing w:before="110" w:line="219" w:lineRule="auto"/>
              <w:ind w:left="1250"/>
            </w:pPr>
            <w:r>
              <w:rPr>
                <w:spacing w:val="4"/>
              </w:rPr>
              <w:t>负载能力</w:t>
            </w:r>
          </w:p>
        </w:tc>
        <w:tc>
          <w:tcPr>
            <w:tcW w:w="1448" w:type="dxa"/>
            <w:vAlign w:val="top"/>
          </w:tcPr>
          <w:p>
            <w:pPr>
              <w:pStyle w:val="TableText"/>
              <w:spacing w:before="190" w:line="184" w:lineRule="exact"/>
              <w:ind w:left="684"/>
              <w:rPr>
                <w:sz w:val="13"/>
                <w:szCs w:val="13"/>
              </w:rPr>
            </w:pPr>
            <w:r>
              <w:rPr>
                <w:position w:val="1"/>
                <w:sz w:val="13"/>
                <w:szCs w:val="13"/>
              </w:rPr>
              <w:t>+</w:t>
            </w:r>
          </w:p>
        </w:tc>
        <w:tc>
          <w:tcPr>
            <w:tcW w:w="1459" w:type="dxa"/>
            <w:vAlign w:val="top"/>
          </w:tcPr>
          <w:p>
            <w:pPr>
              <w:pStyle w:val="TableText"/>
              <w:spacing w:before="190" w:line="184" w:lineRule="exact"/>
              <w:ind w:left="686"/>
              <w:rPr>
                <w:sz w:val="13"/>
                <w:szCs w:val="13"/>
              </w:rPr>
            </w:pPr>
            <w:r>
              <w:rPr>
                <w:position w:val="1"/>
                <w:sz w:val="13"/>
                <w:szCs w:val="13"/>
              </w:rPr>
              <w:t>+</w:t>
            </w:r>
          </w:p>
        </w:tc>
        <w:tc>
          <w:tcPr>
            <w:tcW w:w="1473" w:type="dxa"/>
            <w:vAlign w:val="top"/>
          </w:tcPr>
          <w:p>
            <w:pPr>
              <w:pStyle w:val="TableText"/>
              <w:spacing w:before="187" w:line="221" w:lineRule="auto"/>
              <w:ind w:left="677"/>
              <w:rPr>
                <w:sz w:val="11"/>
                <w:szCs w:val="11"/>
              </w:rPr>
            </w:pPr>
            <w:r>
              <w:rPr>
                <w:sz w:val="11"/>
                <w:szCs w:val="11"/>
              </w:rPr>
              <w:t>十</w:t>
            </w:r>
          </w:p>
        </w:tc>
      </w:tr>
      <w:tr>
        <w:tblPrEx>
          <w:tblW w:w="8940" w:type="dxa"/>
          <w:tblInd w:w="110" w:type="dxa"/>
          <w:tblLayout w:type="fixed"/>
        </w:tblPrEx>
        <w:trPr>
          <w:trHeight w:val="399"/>
        </w:trPr>
        <w:tc>
          <w:tcPr>
            <w:tcW w:w="1234" w:type="dxa"/>
            <w:vAlign w:val="top"/>
          </w:tcPr>
          <w:p>
            <w:pPr>
              <w:pStyle w:val="TableText"/>
              <w:spacing w:before="152" w:line="183" w:lineRule="auto"/>
              <w:ind w:left="555"/>
            </w:pPr>
            <w:r>
              <w:t>4</w:t>
            </w:r>
          </w:p>
        </w:tc>
        <w:tc>
          <w:tcPr>
            <w:tcW w:w="3326" w:type="dxa"/>
            <w:vAlign w:val="top"/>
          </w:tcPr>
          <w:p>
            <w:pPr>
              <w:pStyle w:val="TableText"/>
              <w:spacing w:before="99" w:line="219" w:lineRule="auto"/>
              <w:ind w:left="950"/>
            </w:pPr>
            <w:r>
              <w:rPr>
                <w:spacing w:val="-1"/>
              </w:rPr>
              <w:t>采样流量稳定性</w:t>
            </w:r>
          </w:p>
        </w:tc>
        <w:tc>
          <w:tcPr>
            <w:tcW w:w="1448" w:type="dxa"/>
            <w:vAlign w:val="top"/>
          </w:tcPr>
          <w:p>
            <w:pPr>
              <w:pStyle w:val="TableText"/>
              <w:spacing w:before="171" w:line="184" w:lineRule="exact"/>
              <w:ind w:left="684"/>
              <w:rPr>
                <w:sz w:val="13"/>
                <w:szCs w:val="13"/>
              </w:rPr>
            </w:pPr>
            <w:r>
              <w:rPr>
                <w:position w:val="1"/>
                <w:sz w:val="13"/>
                <w:szCs w:val="13"/>
              </w:rPr>
              <w:t>+</w:t>
            </w:r>
          </w:p>
        </w:tc>
        <w:tc>
          <w:tcPr>
            <w:tcW w:w="1459" w:type="dxa"/>
            <w:vAlign w:val="top"/>
          </w:tcPr>
          <w:p>
            <w:pPr>
              <w:pStyle w:val="TableText"/>
              <w:spacing w:before="171" w:line="184" w:lineRule="exact"/>
              <w:ind w:left="686"/>
              <w:rPr>
                <w:sz w:val="13"/>
                <w:szCs w:val="13"/>
              </w:rPr>
            </w:pPr>
            <w:r>
              <w:rPr>
                <w:position w:val="1"/>
                <w:sz w:val="13"/>
                <w:szCs w:val="13"/>
              </w:rPr>
              <w:t>+</w:t>
            </w:r>
          </w:p>
        </w:tc>
        <w:tc>
          <w:tcPr>
            <w:tcW w:w="1473" w:type="dxa"/>
            <w:vAlign w:val="top"/>
          </w:tcPr>
          <w:p>
            <w:pPr>
              <w:pStyle w:val="TableText"/>
              <w:spacing w:before="203" w:line="47" w:lineRule="exact"/>
              <w:ind w:left="697"/>
              <w:rPr>
                <w:sz w:val="6"/>
                <w:szCs w:val="6"/>
              </w:rPr>
            </w:pPr>
            <w:r>
              <w:rPr>
                <w:position w:val="-1"/>
                <w:sz w:val="6"/>
                <w:szCs w:val="6"/>
              </w:rPr>
              <w:t>一</w:t>
            </w:r>
          </w:p>
        </w:tc>
      </w:tr>
      <w:tr>
        <w:tblPrEx>
          <w:tblW w:w="8940" w:type="dxa"/>
          <w:tblInd w:w="110" w:type="dxa"/>
          <w:tblLayout w:type="fixed"/>
        </w:tblPrEx>
        <w:trPr>
          <w:trHeight w:val="399"/>
        </w:trPr>
        <w:tc>
          <w:tcPr>
            <w:tcW w:w="1234" w:type="dxa"/>
            <w:vAlign w:val="top"/>
          </w:tcPr>
          <w:p>
            <w:pPr>
              <w:pStyle w:val="TableText"/>
              <w:spacing w:before="154" w:line="182" w:lineRule="auto"/>
              <w:ind w:left="555"/>
            </w:pPr>
            <w:r>
              <w:t>5</w:t>
            </w:r>
          </w:p>
        </w:tc>
        <w:tc>
          <w:tcPr>
            <w:tcW w:w="3326" w:type="dxa"/>
            <w:vAlign w:val="top"/>
          </w:tcPr>
          <w:p>
            <w:pPr>
              <w:pStyle w:val="TableText"/>
              <w:spacing w:before="100" w:line="219" w:lineRule="auto"/>
              <w:ind w:left="1050"/>
            </w:pPr>
            <w:r>
              <w:rPr>
                <w:spacing w:val="-1"/>
              </w:rPr>
              <w:t>采样时间误差</w:t>
            </w:r>
          </w:p>
        </w:tc>
        <w:tc>
          <w:tcPr>
            <w:tcW w:w="1448" w:type="dxa"/>
            <w:vAlign w:val="top"/>
          </w:tcPr>
          <w:p>
            <w:pPr>
              <w:pStyle w:val="TableText"/>
              <w:spacing w:before="152" w:line="184" w:lineRule="exact"/>
              <w:ind w:left="684"/>
              <w:rPr>
                <w:sz w:val="13"/>
                <w:szCs w:val="13"/>
              </w:rPr>
            </w:pPr>
            <w:r>
              <w:rPr>
                <w:position w:val="1"/>
                <w:sz w:val="13"/>
                <w:szCs w:val="13"/>
              </w:rPr>
              <w:t>+</w:t>
            </w:r>
          </w:p>
        </w:tc>
        <w:tc>
          <w:tcPr>
            <w:tcW w:w="1459" w:type="dxa"/>
            <w:vAlign w:val="top"/>
          </w:tcPr>
          <w:p>
            <w:pPr>
              <w:pStyle w:val="TableText"/>
              <w:spacing w:before="152" w:line="184" w:lineRule="exact"/>
              <w:ind w:left="686"/>
              <w:rPr>
                <w:sz w:val="13"/>
                <w:szCs w:val="13"/>
              </w:rPr>
            </w:pPr>
            <w:r>
              <w:rPr>
                <w:position w:val="1"/>
                <w:sz w:val="13"/>
                <w:szCs w:val="13"/>
              </w:rPr>
              <w:t>+</w:t>
            </w:r>
          </w:p>
        </w:tc>
        <w:tc>
          <w:tcPr>
            <w:tcW w:w="1473" w:type="dxa"/>
            <w:vAlign w:val="top"/>
          </w:tcPr>
          <w:p>
            <w:pPr>
              <w:pStyle w:val="TableText"/>
              <w:spacing w:before="220" w:line="54" w:lineRule="exact"/>
              <w:ind w:left="697"/>
              <w:rPr>
                <w:sz w:val="7"/>
                <w:szCs w:val="7"/>
              </w:rPr>
            </w:pPr>
            <w:r>
              <w:rPr>
                <w:position w:val="-1"/>
                <w:sz w:val="7"/>
                <w:szCs w:val="7"/>
              </w:rPr>
              <w:t>一</w:t>
            </w:r>
          </w:p>
        </w:tc>
      </w:tr>
      <w:tr>
        <w:tblPrEx>
          <w:tblW w:w="8940" w:type="dxa"/>
          <w:tblInd w:w="110" w:type="dxa"/>
          <w:tblLayout w:type="fixed"/>
        </w:tblPrEx>
        <w:trPr>
          <w:trHeight w:val="399"/>
        </w:trPr>
        <w:tc>
          <w:tcPr>
            <w:tcW w:w="1234" w:type="dxa"/>
            <w:vAlign w:val="top"/>
          </w:tcPr>
          <w:p>
            <w:pPr>
              <w:pStyle w:val="TableText"/>
              <w:spacing w:before="154" w:line="183" w:lineRule="auto"/>
              <w:ind w:left="555"/>
            </w:pPr>
            <w:r>
              <w:t>6</w:t>
            </w:r>
          </w:p>
        </w:tc>
        <w:tc>
          <w:tcPr>
            <w:tcW w:w="3326" w:type="dxa"/>
            <w:vAlign w:val="top"/>
          </w:tcPr>
          <w:p>
            <w:pPr>
              <w:pStyle w:val="TableText"/>
              <w:spacing w:before="101" w:line="219" w:lineRule="auto"/>
              <w:ind w:left="1050"/>
            </w:pPr>
            <w:r>
              <w:rPr>
                <w:spacing w:val="-1"/>
              </w:rPr>
              <w:t>采样体积误差</w:t>
            </w:r>
          </w:p>
        </w:tc>
        <w:tc>
          <w:tcPr>
            <w:tcW w:w="1448" w:type="dxa"/>
            <w:vAlign w:val="top"/>
          </w:tcPr>
          <w:p>
            <w:pPr>
              <w:pStyle w:val="TableText"/>
              <w:spacing w:before="183" w:line="184" w:lineRule="exact"/>
              <w:ind w:left="684"/>
              <w:rPr>
                <w:sz w:val="13"/>
                <w:szCs w:val="13"/>
              </w:rPr>
            </w:pPr>
            <w:r>
              <w:rPr>
                <w:position w:val="1"/>
                <w:sz w:val="13"/>
                <w:szCs w:val="13"/>
              </w:rPr>
              <w:t>+</w:t>
            </w:r>
          </w:p>
        </w:tc>
        <w:tc>
          <w:tcPr>
            <w:tcW w:w="1459" w:type="dxa"/>
            <w:vAlign w:val="top"/>
          </w:tcPr>
          <w:p>
            <w:pPr>
              <w:pStyle w:val="TableText"/>
              <w:spacing w:before="153" w:line="184" w:lineRule="exact"/>
              <w:ind w:left="686"/>
              <w:rPr>
                <w:sz w:val="13"/>
                <w:szCs w:val="13"/>
              </w:rPr>
            </w:pPr>
            <w:r>
              <w:rPr>
                <w:position w:val="1"/>
                <w:sz w:val="13"/>
                <w:szCs w:val="13"/>
              </w:rPr>
              <w:t>+</w:t>
            </w:r>
          </w:p>
        </w:tc>
        <w:tc>
          <w:tcPr>
            <w:tcW w:w="1473" w:type="dxa"/>
            <w:vAlign w:val="top"/>
          </w:tcPr>
          <w:p>
            <w:pPr>
              <w:rPr>
                <w:rFonts w:ascii="Arial"/>
                <w:sz w:val="21"/>
              </w:rPr>
            </w:pPr>
          </w:p>
        </w:tc>
      </w:tr>
      <w:tr>
        <w:tblPrEx>
          <w:tblW w:w="8940" w:type="dxa"/>
          <w:tblInd w:w="110" w:type="dxa"/>
          <w:tblLayout w:type="fixed"/>
        </w:tblPrEx>
        <w:trPr>
          <w:trHeight w:val="409"/>
        </w:trPr>
        <w:tc>
          <w:tcPr>
            <w:tcW w:w="1234" w:type="dxa"/>
            <w:vAlign w:val="top"/>
          </w:tcPr>
          <w:p>
            <w:pPr>
              <w:pStyle w:val="TableText"/>
              <w:spacing w:before="166" w:line="182" w:lineRule="auto"/>
              <w:ind w:left="555"/>
            </w:pPr>
            <w:r>
              <w:t>7</w:t>
            </w:r>
          </w:p>
        </w:tc>
        <w:tc>
          <w:tcPr>
            <w:tcW w:w="3326" w:type="dxa"/>
            <w:vAlign w:val="top"/>
          </w:tcPr>
          <w:p>
            <w:pPr>
              <w:pStyle w:val="TableText"/>
              <w:spacing w:before="115" w:line="221" w:lineRule="auto"/>
              <w:ind w:left="1350"/>
            </w:pPr>
            <w:r>
              <w:rPr>
                <w:spacing w:val="-2"/>
              </w:rPr>
              <w:t>气密性</w:t>
            </w:r>
          </w:p>
        </w:tc>
        <w:tc>
          <w:tcPr>
            <w:tcW w:w="1448" w:type="dxa"/>
            <w:vAlign w:val="top"/>
          </w:tcPr>
          <w:p>
            <w:pPr>
              <w:pStyle w:val="TableText"/>
              <w:spacing w:before="154" w:line="184" w:lineRule="exact"/>
              <w:ind w:left="684"/>
              <w:rPr>
                <w:sz w:val="13"/>
                <w:szCs w:val="13"/>
              </w:rPr>
            </w:pPr>
            <w:r>
              <w:rPr>
                <w:position w:val="1"/>
                <w:sz w:val="13"/>
                <w:szCs w:val="13"/>
              </w:rPr>
              <w:t>+</w:t>
            </w:r>
          </w:p>
        </w:tc>
        <w:tc>
          <w:tcPr>
            <w:tcW w:w="1459" w:type="dxa"/>
            <w:vAlign w:val="top"/>
          </w:tcPr>
          <w:p>
            <w:pPr>
              <w:pStyle w:val="TableText"/>
              <w:spacing w:before="148" w:line="226" w:lineRule="exact"/>
              <w:ind w:left="686"/>
              <w:rPr>
                <w:sz w:val="16"/>
                <w:szCs w:val="16"/>
              </w:rPr>
            </w:pPr>
            <w:r>
              <w:rPr>
                <w:position w:val="1"/>
                <w:sz w:val="16"/>
                <w:szCs w:val="16"/>
              </w:rPr>
              <w:t>+</w:t>
            </w:r>
          </w:p>
        </w:tc>
        <w:tc>
          <w:tcPr>
            <w:tcW w:w="1473" w:type="dxa"/>
            <w:vAlign w:val="top"/>
          </w:tcPr>
          <w:p>
            <w:pPr>
              <w:tabs>
                <w:tab w:val="left" w:pos="754"/>
              </w:tabs>
              <w:spacing w:before="43" w:line="241" w:lineRule="exact"/>
              <w:ind w:left="697"/>
              <w:rPr>
                <w:rFonts w:ascii="Arial"/>
                <w:sz w:val="21"/>
              </w:rPr>
            </w:pPr>
            <w:r>
              <w:rPr>
                <w:rFonts w:ascii="Arial" w:eastAsia="Arial" w:hAnsi="Arial" w:cs="Arial"/>
                <w:sz w:val="21"/>
                <w:szCs w:val="21"/>
                <w:u w:val="single" w:color="auto"/>
              </w:rPr>
              <w:tab/>
            </w:r>
          </w:p>
        </w:tc>
      </w:tr>
      <w:tr>
        <w:tblPrEx>
          <w:tblW w:w="8940" w:type="dxa"/>
          <w:tblInd w:w="110" w:type="dxa"/>
          <w:tblLayout w:type="fixed"/>
        </w:tblPrEx>
        <w:trPr>
          <w:trHeight w:val="389"/>
        </w:trPr>
        <w:tc>
          <w:tcPr>
            <w:tcW w:w="1234" w:type="dxa"/>
            <w:vAlign w:val="top"/>
          </w:tcPr>
          <w:p>
            <w:pPr>
              <w:pStyle w:val="TableText"/>
              <w:spacing w:before="156" w:line="183" w:lineRule="auto"/>
              <w:ind w:left="555"/>
            </w:pPr>
            <w:r>
              <w:t>8</w:t>
            </w:r>
          </w:p>
        </w:tc>
        <w:tc>
          <w:tcPr>
            <w:tcW w:w="3326" w:type="dxa"/>
            <w:vAlign w:val="top"/>
          </w:tcPr>
          <w:p>
            <w:pPr>
              <w:pStyle w:val="TableText"/>
              <w:spacing w:before="106" w:line="221" w:lineRule="auto"/>
              <w:ind w:left="1250"/>
            </w:pPr>
            <w:r>
              <w:rPr>
                <w:spacing w:val="-2"/>
              </w:rPr>
              <w:t>绝缘电阻</w:t>
            </w:r>
          </w:p>
        </w:tc>
        <w:tc>
          <w:tcPr>
            <w:tcW w:w="1448" w:type="dxa"/>
            <w:vAlign w:val="top"/>
          </w:tcPr>
          <w:p>
            <w:pPr>
              <w:pStyle w:val="TableText"/>
              <w:spacing w:before="175" w:line="184" w:lineRule="exact"/>
              <w:ind w:left="684"/>
              <w:rPr>
                <w:sz w:val="13"/>
                <w:szCs w:val="13"/>
              </w:rPr>
            </w:pPr>
            <w:r>
              <w:rPr>
                <w:position w:val="1"/>
                <w:sz w:val="13"/>
                <w:szCs w:val="13"/>
              </w:rPr>
              <w:t>+</w:t>
            </w:r>
          </w:p>
        </w:tc>
        <w:tc>
          <w:tcPr>
            <w:tcW w:w="1459" w:type="dxa"/>
            <w:vAlign w:val="top"/>
          </w:tcPr>
          <w:p>
            <w:pPr>
              <w:pStyle w:val="TableText"/>
              <w:spacing w:before="185" w:line="184" w:lineRule="exact"/>
              <w:ind w:left="686"/>
              <w:rPr>
                <w:sz w:val="13"/>
                <w:szCs w:val="13"/>
              </w:rPr>
            </w:pPr>
            <w:r>
              <w:rPr>
                <w:position w:val="1"/>
                <w:sz w:val="13"/>
                <w:szCs w:val="13"/>
              </w:rPr>
              <w:t>+</w:t>
            </w:r>
          </w:p>
        </w:tc>
        <w:tc>
          <w:tcPr>
            <w:tcW w:w="1473" w:type="dxa"/>
            <w:vAlign w:val="top"/>
          </w:tcPr>
          <w:p>
            <w:pPr>
              <w:pStyle w:val="TableText"/>
              <w:spacing w:before="182" w:line="221" w:lineRule="auto"/>
              <w:ind w:left="677"/>
              <w:rPr>
                <w:sz w:val="11"/>
                <w:szCs w:val="11"/>
              </w:rPr>
            </w:pPr>
            <w:r>
              <w:rPr>
                <w:sz w:val="11"/>
                <w:szCs w:val="11"/>
              </w:rPr>
              <w:t>十</w:t>
            </w:r>
          </w:p>
        </w:tc>
      </w:tr>
      <w:tr>
        <w:tblPrEx>
          <w:tblW w:w="8940" w:type="dxa"/>
          <w:tblInd w:w="110" w:type="dxa"/>
          <w:tblLayout w:type="fixed"/>
        </w:tblPrEx>
        <w:trPr>
          <w:trHeight w:val="409"/>
        </w:trPr>
        <w:tc>
          <w:tcPr>
            <w:tcW w:w="1234" w:type="dxa"/>
            <w:vAlign w:val="top"/>
          </w:tcPr>
          <w:p>
            <w:pPr>
              <w:pStyle w:val="TableText"/>
              <w:spacing w:before="167" w:line="183" w:lineRule="auto"/>
              <w:ind w:left="555"/>
            </w:pPr>
            <w:r>
              <w:t>9</w:t>
            </w:r>
          </w:p>
        </w:tc>
        <w:tc>
          <w:tcPr>
            <w:tcW w:w="3326" w:type="dxa"/>
            <w:vAlign w:val="top"/>
          </w:tcPr>
          <w:p>
            <w:pPr>
              <w:pStyle w:val="TableText"/>
              <w:spacing w:before="116" w:line="220" w:lineRule="auto"/>
              <w:ind w:left="1250"/>
            </w:pPr>
            <w:r>
              <w:rPr>
                <w:spacing w:val="2"/>
              </w:rPr>
              <w:t>绝缘强度</w:t>
            </w:r>
          </w:p>
        </w:tc>
        <w:tc>
          <w:tcPr>
            <w:tcW w:w="1448" w:type="dxa"/>
            <w:vAlign w:val="top"/>
          </w:tcPr>
          <w:p>
            <w:pPr>
              <w:pStyle w:val="TableText"/>
              <w:spacing w:before="196" w:line="184" w:lineRule="exact"/>
              <w:ind w:left="684"/>
              <w:rPr>
                <w:sz w:val="13"/>
                <w:szCs w:val="13"/>
              </w:rPr>
            </w:pPr>
            <w:r>
              <w:rPr>
                <w:position w:val="1"/>
                <w:sz w:val="13"/>
                <w:szCs w:val="13"/>
              </w:rPr>
              <w:t>+</w:t>
            </w:r>
          </w:p>
        </w:tc>
        <w:tc>
          <w:tcPr>
            <w:tcW w:w="1459" w:type="dxa"/>
            <w:vAlign w:val="top"/>
          </w:tcPr>
          <w:p>
            <w:pPr>
              <w:pStyle w:val="TableText"/>
              <w:spacing w:before="265" w:line="100" w:lineRule="exact"/>
              <w:ind w:left="656"/>
              <w:rPr>
                <w:sz w:val="13"/>
                <w:szCs w:val="13"/>
              </w:rPr>
            </w:pPr>
            <w:r>
              <w:rPr>
                <w:position w:val="-3"/>
                <w:sz w:val="13"/>
                <w:szCs w:val="13"/>
              </w:rPr>
              <w:t>一</w:t>
            </w:r>
          </w:p>
        </w:tc>
        <w:tc>
          <w:tcPr>
            <w:tcW w:w="1473" w:type="dxa"/>
            <w:vAlign w:val="top"/>
          </w:tcPr>
          <w:p>
            <w:pPr>
              <w:pStyle w:val="TableText"/>
              <w:spacing w:before="224" w:line="54" w:lineRule="exact"/>
              <w:ind w:left="697"/>
              <w:rPr>
                <w:sz w:val="7"/>
                <w:szCs w:val="7"/>
              </w:rPr>
            </w:pPr>
            <w:r>
              <w:rPr>
                <w:position w:val="-1"/>
                <w:sz w:val="7"/>
                <w:szCs w:val="7"/>
              </w:rPr>
              <w:t>一</w:t>
            </w:r>
          </w:p>
        </w:tc>
      </w:tr>
      <w:tr>
        <w:tblPrEx>
          <w:tblW w:w="8940" w:type="dxa"/>
          <w:tblInd w:w="110" w:type="dxa"/>
          <w:tblLayout w:type="fixed"/>
        </w:tblPrEx>
        <w:trPr>
          <w:trHeight w:val="1223"/>
        </w:trPr>
        <w:tc>
          <w:tcPr>
            <w:tcW w:w="8940" w:type="dxa"/>
            <w:gridSpan w:val="5"/>
            <w:vAlign w:val="top"/>
          </w:tcPr>
          <w:p>
            <w:pPr>
              <w:pStyle w:val="TableText"/>
              <w:spacing w:before="187" w:line="219" w:lineRule="auto"/>
              <w:ind w:left="514"/>
            </w:pPr>
            <w:r>
              <w:rPr>
                <w:spacing w:val="-4"/>
              </w:rPr>
              <w:t>注：1. “+”为需检的项目，“-”为不需检的项目。</w:t>
            </w:r>
          </w:p>
          <w:p>
            <w:pPr>
              <w:pStyle w:val="TableText"/>
              <w:spacing w:before="101" w:line="341" w:lineRule="exact"/>
              <w:ind w:left="934"/>
            </w:pPr>
            <w:r>
              <w:rPr>
                <w:position w:val="10"/>
              </w:rPr>
              <w:t>2.绝缘电阻和绝缘强度两项只对使用交流电源的粉尘采样器试验。</w:t>
            </w:r>
          </w:p>
          <w:p>
            <w:pPr>
              <w:pStyle w:val="TableText"/>
              <w:spacing w:line="219" w:lineRule="auto"/>
              <w:ind w:left="934"/>
            </w:pPr>
            <w:r>
              <w:t>3.修理后的检定，按首次检定进行。</w:t>
            </w:r>
          </w:p>
        </w:tc>
      </w:tr>
    </w:tbl>
    <w:p>
      <w:pPr>
        <w:spacing w:line="410" w:lineRule="auto"/>
        <w:rPr>
          <w:rFonts w:ascii="Arial"/>
          <w:sz w:val="21"/>
        </w:rPr>
      </w:pPr>
    </w:p>
    <w:p>
      <w:pPr>
        <w:pStyle w:val="BodyText"/>
        <w:spacing w:before="72" w:line="220" w:lineRule="auto"/>
        <w:ind w:left="60"/>
        <w:rPr>
          <w:sz w:val="22"/>
          <w:szCs w:val="22"/>
        </w:rPr>
      </w:pPr>
      <w:r>
        <w:rPr>
          <w:spacing w:val="7"/>
          <w:sz w:val="22"/>
          <w:szCs w:val="22"/>
        </w:rPr>
        <w:t>6.3.1  外观及标志</w:t>
      </w:r>
    </w:p>
    <w:p>
      <w:pPr>
        <w:pStyle w:val="BodyText"/>
        <w:spacing w:before="95" w:line="219" w:lineRule="auto"/>
        <w:ind w:left="550"/>
        <w:rPr>
          <w:sz w:val="22"/>
          <w:szCs w:val="22"/>
        </w:rPr>
      </w:pPr>
      <w:r>
        <w:rPr>
          <w:spacing w:val="15"/>
          <w:sz w:val="22"/>
          <w:szCs w:val="22"/>
        </w:rPr>
        <w:t>粉尘采样器的外观和标志用手感、目察法检查。</w:t>
      </w:r>
    </w:p>
    <w:p>
      <w:pPr>
        <w:pStyle w:val="BodyText"/>
        <w:spacing w:before="109" w:line="219" w:lineRule="auto"/>
        <w:ind w:left="60"/>
        <w:rPr>
          <w:sz w:val="22"/>
          <w:szCs w:val="22"/>
        </w:rPr>
      </w:pPr>
      <w:r>
        <w:rPr>
          <w:spacing w:val="7"/>
          <w:sz w:val="22"/>
          <w:szCs w:val="22"/>
        </w:rPr>
        <w:t>6.3.2  采样流量误差</w:t>
      </w:r>
    </w:p>
    <w:p>
      <w:pPr>
        <w:pStyle w:val="BodyText"/>
        <w:spacing w:before="90" w:line="280" w:lineRule="auto"/>
        <w:ind w:left="70" w:right="61" w:hanging="10"/>
        <w:rPr>
          <w:sz w:val="22"/>
          <w:szCs w:val="22"/>
        </w:rPr>
      </w:pPr>
      <w:hyperlink r:id="rId29" w:history="1">
        <w:r>
          <w:rPr>
            <w:spacing w:val="19"/>
            <w:sz w:val="22"/>
            <w:szCs w:val="22"/>
          </w:rPr>
          <w:t>6.3.2.1</w:t>
        </w:r>
      </w:hyperlink>
      <w:r>
        <w:rPr>
          <w:spacing w:val="18"/>
          <w:sz w:val="22"/>
          <w:szCs w:val="22"/>
        </w:rPr>
        <w:t xml:space="preserve">  </w:t>
      </w:r>
      <w:r>
        <w:rPr>
          <w:spacing w:val="19"/>
          <w:sz w:val="22"/>
          <w:szCs w:val="22"/>
        </w:rPr>
        <w:t>采样流量大于或等于5</w:t>
      </w:r>
      <w:r>
        <w:rPr>
          <w:spacing w:val="-44"/>
          <w:sz w:val="22"/>
          <w:szCs w:val="22"/>
        </w:rPr>
        <w:t xml:space="preserve"> </w:t>
      </w:r>
      <w:r>
        <w:rPr>
          <w:rFonts w:ascii="Times New Roman" w:eastAsia="Times New Roman" w:hAnsi="Times New Roman" w:cs="Times New Roman"/>
          <w:spacing w:val="19"/>
          <w:sz w:val="22"/>
          <w:szCs w:val="22"/>
        </w:rPr>
        <w:t>L/</w:t>
      </w:r>
      <w:r>
        <w:rPr>
          <w:rFonts w:ascii="Times New Roman" w:eastAsia="Times New Roman" w:hAnsi="Times New Roman" w:cs="Times New Roman"/>
          <w:sz w:val="22"/>
          <w:szCs w:val="22"/>
        </w:rPr>
        <w:t>min</w:t>
      </w:r>
      <w:r>
        <w:rPr>
          <w:rFonts w:ascii="Times New Roman" w:eastAsia="Times New Roman" w:hAnsi="Times New Roman" w:cs="Times New Roman"/>
          <w:spacing w:val="22"/>
          <w:w w:val="101"/>
          <w:sz w:val="22"/>
          <w:szCs w:val="22"/>
        </w:rPr>
        <w:t xml:space="preserve"> </w:t>
      </w:r>
      <w:r>
        <w:rPr>
          <w:spacing w:val="19"/>
          <w:sz w:val="22"/>
          <w:szCs w:val="22"/>
        </w:rPr>
        <w:t>的粉尘采样器选用粉尘采样器检定装置(或钟罩</w:t>
      </w:r>
      <w:r>
        <w:rPr>
          <w:sz w:val="22"/>
          <w:szCs w:val="22"/>
        </w:rPr>
        <w:t xml:space="preserve"> </w:t>
      </w:r>
      <w:r>
        <w:rPr>
          <w:spacing w:val="24"/>
          <w:sz w:val="22"/>
          <w:szCs w:val="22"/>
        </w:rPr>
        <w:t>式气体计量标准装置或标准流量表)进行检定；采样流量小于</w:t>
      </w:r>
      <w:r>
        <w:rPr>
          <w:spacing w:val="23"/>
          <w:sz w:val="22"/>
          <w:szCs w:val="22"/>
        </w:rPr>
        <w:t>5</w:t>
      </w:r>
      <w:r>
        <w:rPr>
          <w:spacing w:val="-53"/>
          <w:sz w:val="22"/>
          <w:szCs w:val="22"/>
        </w:rPr>
        <w:t xml:space="preserve"> </w:t>
      </w:r>
      <w:r>
        <w:rPr>
          <w:rFonts w:ascii="Times New Roman" w:eastAsia="Times New Roman" w:hAnsi="Times New Roman" w:cs="Times New Roman"/>
          <w:spacing w:val="23"/>
          <w:sz w:val="22"/>
          <w:szCs w:val="22"/>
        </w:rPr>
        <w:t>L/</w:t>
      </w:r>
      <w:r>
        <w:rPr>
          <w:rFonts w:ascii="Times New Roman" w:eastAsia="Times New Roman" w:hAnsi="Times New Roman" w:cs="Times New Roman"/>
          <w:sz w:val="22"/>
          <w:szCs w:val="22"/>
        </w:rPr>
        <w:t>min</w:t>
      </w:r>
      <w:r>
        <w:rPr>
          <w:rFonts w:ascii="Times New Roman" w:eastAsia="Times New Roman" w:hAnsi="Times New Roman" w:cs="Times New Roman"/>
          <w:spacing w:val="42"/>
          <w:sz w:val="22"/>
          <w:szCs w:val="22"/>
        </w:rPr>
        <w:t xml:space="preserve"> </w:t>
      </w:r>
      <w:r>
        <w:rPr>
          <w:spacing w:val="23"/>
          <w:sz w:val="22"/>
          <w:szCs w:val="22"/>
        </w:rPr>
        <w:t>的选用粉尘采样</w:t>
      </w:r>
      <w:r>
        <w:rPr>
          <w:sz w:val="22"/>
          <w:szCs w:val="22"/>
        </w:rPr>
        <w:t xml:space="preserve"> </w:t>
      </w:r>
      <w:r>
        <w:rPr>
          <w:spacing w:val="16"/>
          <w:sz w:val="22"/>
          <w:szCs w:val="22"/>
        </w:rPr>
        <w:t>器检定装置或皂膜流量检定装置进行检定。</w:t>
      </w:r>
    </w:p>
    <w:p>
      <w:pPr>
        <w:pStyle w:val="BodyText"/>
        <w:spacing w:before="79" w:line="260" w:lineRule="auto"/>
        <w:ind w:left="90" w:right="48" w:hanging="30"/>
        <w:rPr>
          <w:sz w:val="22"/>
          <w:szCs w:val="22"/>
        </w:rPr>
      </w:pPr>
      <w:hyperlink r:id="rId30" w:history="1">
        <w:r>
          <w:rPr>
            <w:spacing w:val="20"/>
            <w:sz w:val="22"/>
            <w:szCs w:val="22"/>
          </w:rPr>
          <w:t>6.3.2.2</w:t>
        </w:r>
      </w:hyperlink>
      <w:r>
        <w:rPr>
          <w:spacing w:val="20"/>
          <w:sz w:val="22"/>
          <w:szCs w:val="22"/>
        </w:rPr>
        <w:t xml:space="preserve">  对采样流量固定的粉尘采样器只检固定流量点，对采</w:t>
      </w:r>
      <w:r>
        <w:rPr>
          <w:spacing w:val="19"/>
          <w:sz w:val="22"/>
          <w:szCs w:val="22"/>
        </w:rPr>
        <w:t>样流量可调的粉尘采样</w:t>
      </w:r>
      <w:r>
        <w:rPr>
          <w:sz w:val="22"/>
          <w:szCs w:val="22"/>
        </w:rPr>
        <w:t xml:space="preserve"> </w:t>
      </w:r>
      <w:r>
        <w:rPr>
          <w:spacing w:val="16"/>
          <w:sz w:val="22"/>
          <w:szCs w:val="22"/>
        </w:rPr>
        <w:t>器检定采样流量范围内上、中、下均匀分布</w:t>
      </w:r>
      <w:r>
        <w:rPr>
          <w:spacing w:val="15"/>
          <w:sz w:val="22"/>
          <w:szCs w:val="22"/>
        </w:rPr>
        <w:t>的三个流量点。</w:t>
      </w:r>
    </w:p>
    <w:p>
      <w:pPr>
        <w:pStyle w:val="BodyText"/>
        <w:spacing w:before="99" w:line="219" w:lineRule="auto"/>
        <w:ind w:left="70"/>
        <w:rPr>
          <w:sz w:val="22"/>
          <w:szCs w:val="22"/>
        </w:rPr>
      </w:pPr>
      <w:hyperlink r:id="rId31" w:history="1">
        <w:r>
          <w:rPr>
            <w:spacing w:val="13"/>
            <w:sz w:val="22"/>
            <w:szCs w:val="22"/>
          </w:rPr>
          <w:t>6.3.2.3</w:t>
        </w:r>
      </w:hyperlink>
      <w:r>
        <w:rPr>
          <w:spacing w:val="7"/>
          <w:sz w:val="22"/>
          <w:szCs w:val="22"/>
        </w:rPr>
        <w:t xml:space="preserve">  </w:t>
      </w:r>
      <w:r>
        <w:rPr>
          <w:spacing w:val="13"/>
          <w:sz w:val="22"/>
          <w:szCs w:val="22"/>
        </w:rPr>
        <w:t>被检粉尘采样器按其使用说明要求做好准备，包括充好电，装上滤膜。</w:t>
      </w:r>
    </w:p>
    <w:p>
      <w:pPr>
        <w:pStyle w:val="BodyText"/>
        <w:spacing w:before="99" w:line="219" w:lineRule="auto"/>
        <w:ind w:left="50"/>
        <w:rPr>
          <w:sz w:val="22"/>
          <w:szCs w:val="22"/>
        </w:rPr>
      </w:pPr>
      <w:hyperlink r:id="rId32" w:history="1">
        <w:r>
          <w:rPr>
            <w:spacing w:val="14"/>
            <w:sz w:val="22"/>
            <w:szCs w:val="22"/>
          </w:rPr>
          <w:t>6.3.2.4</w:t>
        </w:r>
      </w:hyperlink>
      <w:r>
        <w:rPr>
          <w:spacing w:val="14"/>
          <w:sz w:val="22"/>
          <w:szCs w:val="22"/>
        </w:rPr>
        <w:t xml:space="preserve">  用粉尘采样器检定装置或钟罩、皂膜流量标准装置的检定方法</w:t>
      </w:r>
    </w:p>
    <w:p>
      <w:pPr>
        <w:pStyle w:val="BodyText"/>
        <w:spacing w:before="101" w:line="307" w:lineRule="auto"/>
        <w:ind w:left="80" w:firstLine="469"/>
        <w:jc w:val="both"/>
        <w:rPr>
          <w:sz w:val="22"/>
          <w:szCs w:val="22"/>
        </w:rPr>
        <w:sectPr>
          <w:headerReference w:type="default" r:id="rId33"/>
          <w:footerReference w:type="default" r:id="rId34"/>
          <w:pgSz w:w="11910" w:h="16840"/>
          <w:pgMar w:top="1499" w:right="1359" w:bottom="1309" w:left="1360" w:header="1256" w:footer="1140" w:gutter="0"/>
          <w:pgNumType w:start="7"/>
          <w:cols w:space="708"/>
        </w:sectPr>
      </w:pPr>
      <w:r>
        <w:rPr>
          <w:spacing w:val="18"/>
          <w:sz w:val="22"/>
          <w:szCs w:val="22"/>
        </w:rPr>
        <w:t>启动粉尘采样器，调节流量到待检定点，按图1或图2将粉尘采样器的采样口接在粉</w:t>
      </w:r>
      <w:r>
        <w:rPr>
          <w:spacing w:val="12"/>
          <w:sz w:val="22"/>
          <w:szCs w:val="22"/>
        </w:rPr>
        <w:t xml:space="preserve"> </w:t>
      </w:r>
      <w:r>
        <w:rPr>
          <w:spacing w:val="20"/>
          <w:sz w:val="22"/>
          <w:szCs w:val="22"/>
        </w:rPr>
        <w:t>尘采样器检定装置或钟罩、皂膜流量标准装置的测试口上，调</w:t>
      </w:r>
      <w:r>
        <w:rPr>
          <w:spacing w:val="19"/>
          <w:sz w:val="22"/>
          <w:szCs w:val="22"/>
        </w:rPr>
        <w:t>节标准器排气流量大小，</w:t>
      </w:r>
      <w:r>
        <w:rPr>
          <w:sz w:val="22"/>
          <w:szCs w:val="22"/>
        </w:rPr>
        <w:t xml:space="preserve"> </w:t>
      </w:r>
    </w:p>
    <w:p>
      <w:pPr>
        <w:pStyle w:val="BodyText"/>
        <w:spacing w:before="101" w:line="307" w:lineRule="auto"/>
        <w:ind w:left="80" w:firstLine="469"/>
        <w:jc w:val="both"/>
        <w:rPr>
          <w:sz w:val="22"/>
          <w:szCs w:val="22"/>
        </w:rPr>
      </w:pPr>
      <w:r>
        <w:rPr>
          <w:spacing w:val="18"/>
          <w:sz w:val="22"/>
          <w:szCs w:val="22"/>
        </w:rPr>
        <w:t>使之与采样器流量达到平衡，压力计显示为零。对粉尘采样器检定装置，读取其标准流</w:t>
      </w:r>
      <w:r>
        <w:rPr>
          <w:spacing w:val="14"/>
          <w:sz w:val="22"/>
          <w:szCs w:val="22"/>
        </w:rPr>
        <w:t xml:space="preserve"> </w:t>
      </w:r>
      <w:r>
        <w:rPr>
          <w:spacing w:val="18"/>
          <w:sz w:val="22"/>
          <w:szCs w:val="22"/>
        </w:rPr>
        <w:t>量计的刻度值得到该点的采样流量；对钟罩或皂膜流量标准装置，气流达到平衡后读取</w:t>
      </w:r>
    </w:p>
    <w:p>
      <w:pPr>
        <w:pStyle w:val="BodyText"/>
        <w:spacing w:line="214" w:lineRule="auto"/>
        <w:ind w:left="90"/>
        <w:rPr>
          <w:sz w:val="22"/>
          <w:szCs w:val="22"/>
        </w:rPr>
      </w:pPr>
      <w:r>
        <w:rPr>
          <w:spacing w:val="18"/>
          <w:sz w:val="22"/>
          <w:szCs w:val="22"/>
        </w:rPr>
        <w:t>所排出气体的体积、排气时间、温度和压力，按</w:t>
      </w:r>
      <w:r>
        <w:rPr>
          <w:spacing w:val="17"/>
          <w:sz w:val="22"/>
          <w:szCs w:val="22"/>
        </w:rPr>
        <w:t>公式(2)计算出该点的采样流量</w:t>
      </w:r>
      <w:r>
        <w:rPr>
          <w:spacing w:val="-49"/>
          <w:sz w:val="22"/>
          <w:szCs w:val="22"/>
        </w:rPr>
        <w:t xml:space="preserve"> </w:t>
      </w:r>
      <w:r>
        <w:rPr>
          <w:sz w:val="22"/>
          <w:szCs w:val="22"/>
        </w:rPr>
        <w:t>qv</w:t>
      </w:r>
      <w:r>
        <w:rPr>
          <w:spacing w:val="17"/>
          <w:sz w:val="22"/>
          <w:szCs w:val="22"/>
        </w:rPr>
        <w:t>:</w:t>
      </w:r>
    </w:p>
    <w:p>
      <w:pPr>
        <w:spacing w:line="291" w:lineRule="auto"/>
        <w:rPr>
          <w:rFonts w:ascii="Arial"/>
          <w:sz w:val="21"/>
        </w:rPr>
      </w:pPr>
    </w:p>
    <w:p>
      <w:pPr>
        <w:pStyle w:val="BodyText"/>
        <w:spacing w:before="72" w:line="222" w:lineRule="auto"/>
        <w:ind w:left="8819"/>
        <w:rPr>
          <w:sz w:val="22"/>
          <w:szCs w:val="22"/>
        </w:rPr>
      </w:pPr>
      <w:r>
        <w:rPr>
          <w:spacing w:val="-11"/>
          <w:sz w:val="22"/>
          <w:szCs w:val="22"/>
        </w:rPr>
        <w:t>(2)</w:t>
      </w:r>
    </w:p>
    <w:p>
      <w:pPr>
        <w:pStyle w:val="BodyText"/>
        <w:spacing w:before="262" w:line="255" w:lineRule="auto"/>
        <w:ind w:left="1409" w:right="400" w:hanging="1339"/>
        <w:rPr>
          <w:rFonts w:ascii="Times New Roman" w:eastAsia="Times New Roman" w:hAnsi="Times New Roman" w:cs="Times New Roman"/>
          <w:sz w:val="22"/>
          <w:szCs w:val="22"/>
        </w:rPr>
      </w:pPr>
      <w:r>
        <w:rPr>
          <w:spacing w:val="11"/>
          <w:sz w:val="22"/>
          <w:szCs w:val="22"/>
        </w:rPr>
        <w:t>式中：</w:t>
      </w:r>
      <w:r>
        <w:rPr>
          <w:spacing w:val="48"/>
          <w:sz w:val="22"/>
          <w:szCs w:val="22"/>
        </w:rPr>
        <w:t xml:space="preserve"> </w:t>
      </w:r>
      <w:r>
        <w:rPr>
          <w:rFonts w:ascii="Times New Roman" w:eastAsia="Times New Roman" w:hAnsi="Times New Roman" w:cs="Times New Roman"/>
          <w:spacing w:val="11"/>
          <w:sz w:val="22"/>
          <w:szCs w:val="22"/>
        </w:rPr>
        <w:t>V</w:t>
      </w:r>
      <w:r>
        <w:rPr>
          <w:rFonts w:ascii="Times New Roman" w:eastAsia="Times New Roman" w:hAnsi="Times New Roman" w:cs="Times New Roman"/>
          <w:spacing w:val="-47"/>
          <w:sz w:val="22"/>
          <w:szCs w:val="22"/>
        </w:rPr>
        <w:t xml:space="preserve"> </w:t>
      </w:r>
      <w:r>
        <w:rPr>
          <w:rFonts w:ascii="Times New Roman" w:eastAsia="Times New Roman" w:hAnsi="Times New Roman" w:cs="Times New Roman"/>
          <w:strike/>
          <w:spacing w:val="11"/>
          <w:sz w:val="22"/>
          <w:szCs w:val="22"/>
        </w:rPr>
        <w:t xml:space="preserve">        </w:t>
      </w:r>
      <w:r>
        <w:rPr>
          <w:spacing w:val="11"/>
          <w:sz w:val="22"/>
          <w:szCs w:val="22"/>
        </w:rPr>
        <w:t>钟罩式气体计量标准装置或皂膜流量检定装置气流平衡后排出气体的体</w:t>
      </w:r>
      <w:r>
        <w:rPr>
          <w:sz w:val="22"/>
          <w:szCs w:val="22"/>
        </w:rPr>
        <w:t xml:space="preserve"> </w:t>
      </w:r>
      <w:r>
        <w:rPr>
          <w:spacing w:val="-23"/>
          <w:sz w:val="22"/>
          <w:szCs w:val="22"/>
        </w:rPr>
        <w:t>积</w:t>
      </w:r>
      <w:r>
        <w:rPr>
          <w:spacing w:val="7"/>
          <w:sz w:val="22"/>
          <w:szCs w:val="22"/>
        </w:rPr>
        <w:t xml:space="preserve"> </w:t>
      </w:r>
      <w:r>
        <w:rPr>
          <w:spacing w:val="-23"/>
          <w:sz w:val="22"/>
          <w:szCs w:val="22"/>
        </w:rPr>
        <w:t>，</w:t>
      </w:r>
      <w:r>
        <w:rPr>
          <w:rFonts w:ascii="Times New Roman" w:eastAsia="Times New Roman" w:hAnsi="Times New Roman" w:cs="Times New Roman"/>
          <w:spacing w:val="-23"/>
          <w:sz w:val="22"/>
          <w:szCs w:val="22"/>
        </w:rPr>
        <w:t>L;</w:t>
      </w:r>
    </w:p>
    <w:p>
      <w:pPr>
        <w:spacing w:line="255" w:lineRule="auto"/>
        <w:rPr>
          <w:rFonts w:ascii="Times New Roman" w:eastAsia="Times New Roman" w:hAnsi="Times New Roman" w:cs="Times New Roman"/>
          <w:sz w:val="22"/>
          <w:szCs w:val="22"/>
        </w:rPr>
        <w:sectPr>
          <w:headerReference w:type="default" r:id="rId35"/>
          <w:footerReference w:type="default" r:id="rId36"/>
          <w:type w:val="nextPage"/>
          <w:pgSz w:w="11910" w:h="16840"/>
          <w:pgMar w:top="1499" w:right="1359" w:bottom="1309" w:left="1360" w:header="1256" w:footer="1140" w:gutter="0"/>
          <w:pgNumType w:start="8"/>
          <w:cols w:space="708"/>
          <w:titlePg w:val="0"/>
        </w:sectPr>
      </w:pPr>
    </w:p>
    <w:p>
      <w:pPr>
        <w:spacing w:line="264" w:lineRule="auto"/>
        <w:rPr>
          <w:rFonts w:ascii="Arial"/>
          <w:sz w:val="21"/>
        </w:rPr>
      </w:pPr>
      <w:r>
        <w:drawing>
          <wp:anchor distT="0" distB="0" distL="0" distR="0" simplePos="0" relativeHeight="251660288" behindDoc="0" locked="0" layoutInCell="0" allowOverlap="1">
            <wp:simplePos x="0" y="0"/>
            <wp:positionH relativeFrom="page">
              <wp:posOffset>3359115</wp:posOffset>
            </wp:positionH>
            <wp:positionV relativeFrom="page">
              <wp:posOffset>8242258</wp:posOffset>
            </wp:positionV>
            <wp:extent cx="908071" cy="374696"/>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7"/>
                    <a:stretch>
                      <a:fillRect/>
                    </a:stretch>
                  </pic:blipFill>
                  <pic:spPr>
                    <a:xfrm>
                      <a:off x="0" y="0"/>
                      <a:ext cx="908071" cy="374696"/>
                    </a:xfrm>
                    <a:prstGeom prst="rect">
                      <a:avLst/>
                    </a:prstGeom>
                  </pic:spPr>
                </pic:pic>
              </a:graphicData>
            </a:graphic>
          </wp:anchor>
        </w:drawing>
      </w:r>
    </w:p>
    <w:p>
      <w:pPr>
        <w:pStyle w:val="BodyText"/>
        <w:spacing w:before="78" w:line="212" w:lineRule="auto"/>
        <w:ind w:left="88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t——</w:t>
      </w:r>
      <w:r>
        <w:rPr>
          <w:rFonts w:ascii="Times New Roman" w:eastAsia="Times New Roman" w:hAnsi="Times New Roman" w:cs="Times New Roman"/>
          <w:spacing w:val="-22"/>
          <w:sz w:val="24"/>
          <w:szCs w:val="24"/>
        </w:rPr>
        <w:t xml:space="preserve"> </w:t>
      </w:r>
      <w:r>
        <w:rPr>
          <w:spacing w:val="-6"/>
          <w:sz w:val="24"/>
          <w:szCs w:val="24"/>
        </w:rPr>
        <w:t xml:space="preserve">与排出气体体积对应的排气时间， </w:t>
      </w:r>
      <w:r>
        <w:rPr>
          <w:rFonts w:ascii="Times New Roman" w:eastAsia="Times New Roman" w:hAnsi="Times New Roman" w:cs="Times New Roman"/>
          <w:spacing w:val="-6"/>
          <w:sz w:val="24"/>
          <w:szCs w:val="24"/>
        </w:rPr>
        <w:t>min;</w:t>
      </w:r>
    </w:p>
    <w:p>
      <w:pPr>
        <w:pStyle w:val="BodyText"/>
        <w:spacing w:before="93" w:line="262" w:lineRule="auto"/>
        <w:ind w:left="749" w:right="305"/>
        <w:rPr>
          <w:sz w:val="24"/>
          <w:szCs w:val="24"/>
        </w:rPr>
      </w:pPr>
      <w:r>
        <w:rPr>
          <w:rFonts w:ascii="Times New Roman" w:eastAsia="Times New Roman" w:hAnsi="Times New Roman" w:cs="Times New Roman"/>
          <w:spacing w:val="-4"/>
          <w:sz w:val="24"/>
          <w:szCs w:val="24"/>
        </w:rPr>
        <w:t>ps——</w:t>
      </w:r>
      <w:r>
        <w:rPr>
          <w:spacing w:val="-4"/>
          <w:sz w:val="24"/>
          <w:szCs w:val="24"/>
        </w:rPr>
        <w:t>钟罩式气体计量标准装置或皂膜流量检定装置内气体的</w:t>
      </w:r>
      <w:r>
        <w:rPr>
          <w:spacing w:val="-5"/>
          <w:sz w:val="24"/>
          <w:szCs w:val="24"/>
        </w:rPr>
        <w:t xml:space="preserve">绝对压力， </w:t>
      </w:r>
      <w:r>
        <w:rPr>
          <w:rFonts w:ascii="Times New Roman" w:eastAsia="Times New Roman" w:hAnsi="Times New Roman" w:cs="Times New Roman"/>
          <w:spacing w:val="-5"/>
          <w:sz w:val="24"/>
          <w:szCs w:val="24"/>
        </w:rPr>
        <w:t xml:space="preserve">Pa;    </w:t>
      </w:r>
      <w:r>
        <w:rPr>
          <w:spacing w:val="-1"/>
          <w:sz w:val="24"/>
          <w:szCs w:val="24"/>
        </w:rPr>
        <w:t>T.——钟罩式气体计量标准装置或皂膜流量检定装置内气体的热力学温度，K;</w:t>
      </w:r>
    </w:p>
    <w:p>
      <w:pPr>
        <w:pStyle w:val="BodyText"/>
        <w:spacing w:before="98" w:line="386" w:lineRule="exact"/>
        <w:ind w:left="670"/>
        <w:rPr>
          <w:sz w:val="24"/>
          <w:szCs w:val="24"/>
        </w:rPr>
      </w:pPr>
      <w:r>
        <w:rPr>
          <w:position w:val="11"/>
          <w:sz w:val="24"/>
          <w:szCs w:val="24"/>
        </w:rPr>
        <w:t>pv——</w:t>
      </w:r>
      <w:r>
        <w:rPr>
          <w:spacing w:val="-69"/>
          <w:position w:val="11"/>
          <w:sz w:val="24"/>
          <w:szCs w:val="24"/>
        </w:rPr>
        <w:t xml:space="preserve"> </w:t>
      </w:r>
      <w:r>
        <w:rPr>
          <w:position w:val="11"/>
          <w:sz w:val="24"/>
          <w:szCs w:val="24"/>
        </w:rPr>
        <w:t>标准状态下大气压，px=101325  Pa;</w:t>
      </w:r>
    </w:p>
    <w:p>
      <w:pPr>
        <w:pStyle w:val="BodyText"/>
        <w:spacing w:line="219" w:lineRule="auto"/>
        <w:ind w:left="699"/>
        <w:rPr>
          <w:sz w:val="24"/>
          <w:szCs w:val="24"/>
        </w:rPr>
      </w:pPr>
      <w:r>
        <w:rPr>
          <w:spacing w:val="-3"/>
          <w:sz w:val="24"/>
          <w:szCs w:val="24"/>
        </w:rPr>
        <w:t>Tx——标准状态下气体温度， T=29</w:t>
      </w:r>
      <w:r>
        <w:rPr>
          <w:spacing w:val="-4"/>
          <w:sz w:val="24"/>
          <w:szCs w:val="24"/>
        </w:rPr>
        <w:t>3.15</w:t>
      </w:r>
      <w:r>
        <w:rPr>
          <w:spacing w:val="41"/>
          <w:sz w:val="24"/>
          <w:szCs w:val="24"/>
        </w:rPr>
        <w:t xml:space="preserve">  </w:t>
      </w:r>
      <w:r>
        <w:rPr>
          <w:spacing w:val="-4"/>
          <w:sz w:val="24"/>
          <w:szCs w:val="24"/>
        </w:rPr>
        <w:t>K;</w:t>
      </w:r>
    </w:p>
    <w:p>
      <w:pPr>
        <w:pStyle w:val="BodyText"/>
        <w:spacing w:before="99" w:line="386" w:lineRule="exact"/>
        <w:ind w:left="660"/>
        <w:rPr>
          <w:sz w:val="24"/>
          <w:szCs w:val="24"/>
        </w:rPr>
      </w:pPr>
      <w:r>
        <w:rPr>
          <w:spacing w:val="-1"/>
          <w:position w:val="11"/>
          <w:sz w:val="24"/>
          <w:szCs w:val="24"/>
        </w:rPr>
        <w:t>pm——</w:t>
      </w:r>
      <w:r>
        <w:rPr>
          <w:spacing w:val="-57"/>
          <w:position w:val="11"/>
          <w:sz w:val="24"/>
          <w:szCs w:val="24"/>
        </w:rPr>
        <w:t xml:space="preserve"> </w:t>
      </w:r>
      <w:r>
        <w:rPr>
          <w:spacing w:val="-1"/>
          <w:position w:val="11"/>
          <w:sz w:val="24"/>
          <w:szCs w:val="24"/>
        </w:rPr>
        <w:t>被检仪器前气体的绝对压力，Pa;</w:t>
      </w:r>
    </w:p>
    <w:p>
      <w:pPr>
        <w:pStyle w:val="BodyText"/>
        <w:spacing w:before="1" w:line="219" w:lineRule="auto"/>
        <w:ind w:left="699"/>
        <w:rPr>
          <w:sz w:val="24"/>
          <w:szCs w:val="24"/>
        </w:rPr>
      </w:pPr>
      <w:r>
        <w:rPr>
          <w:rFonts w:ascii="Times New Roman" w:eastAsia="Times New Roman" w:hAnsi="Times New Roman" w:cs="Times New Roman"/>
          <w:spacing w:val="-12"/>
          <w:sz w:val="24"/>
          <w:szCs w:val="24"/>
        </w:rPr>
        <w:t>Tm——</w:t>
      </w:r>
      <w:r>
        <w:rPr>
          <w:spacing w:val="-12"/>
          <w:sz w:val="24"/>
          <w:szCs w:val="24"/>
        </w:rPr>
        <w:t>被检仪器前气体的热力学温度，</w:t>
      </w:r>
      <w:r>
        <w:rPr>
          <w:spacing w:val="43"/>
          <w:sz w:val="24"/>
          <w:szCs w:val="24"/>
        </w:rPr>
        <w:t xml:space="preserve"> </w:t>
      </w:r>
      <w:r>
        <w:rPr>
          <w:rFonts w:ascii="Times New Roman" w:eastAsia="Times New Roman" w:hAnsi="Times New Roman" w:cs="Times New Roman"/>
          <w:spacing w:val="-12"/>
          <w:sz w:val="24"/>
          <w:szCs w:val="24"/>
        </w:rPr>
        <w:t>K</w:t>
      </w:r>
      <w:r>
        <w:rPr>
          <w:spacing w:val="-12"/>
          <w:sz w:val="24"/>
          <w:szCs w:val="24"/>
        </w:rPr>
        <w:t>。</w:t>
      </w:r>
    </w:p>
    <w:p>
      <w:pPr>
        <w:spacing w:line="313" w:lineRule="auto"/>
        <w:rPr>
          <w:rFonts w:ascii="Arial"/>
          <w:sz w:val="21"/>
        </w:rPr>
      </w:pPr>
    </w:p>
    <w:p>
      <w:pPr>
        <w:spacing w:line="1530" w:lineRule="exact"/>
        <w:ind w:firstLine="3300"/>
      </w:pPr>
      <w:r>
        <w:rPr>
          <w:position w:val="-30"/>
        </w:rPr>
        <w:drawing>
          <wp:inline distT="0" distB="0" distL="0" distR="0">
            <wp:extent cx="1727203" cy="97149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8"/>
                    <a:stretch>
                      <a:fillRect/>
                    </a:stretch>
                  </pic:blipFill>
                  <pic:spPr>
                    <a:xfrm>
                      <a:off x="0" y="0"/>
                      <a:ext cx="1727203" cy="971495"/>
                    </a:xfrm>
                    <a:prstGeom prst="rect">
                      <a:avLst/>
                    </a:prstGeom>
                  </pic:spPr>
                </pic:pic>
              </a:graphicData>
            </a:graphic>
          </wp:inline>
        </w:drawing>
      </w:r>
    </w:p>
    <w:p>
      <w:pPr>
        <w:spacing w:line="460" w:lineRule="auto"/>
        <w:rPr>
          <w:rFonts w:ascii="Arial"/>
          <w:sz w:val="21"/>
        </w:rPr>
      </w:pPr>
    </w:p>
    <w:p>
      <w:pPr>
        <w:pStyle w:val="BodyText"/>
        <w:spacing w:before="75" w:line="219" w:lineRule="auto"/>
        <w:ind w:left="2280"/>
      </w:pPr>
      <w:r>
        <w:rPr>
          <w:spacing w:val="-17"/>
          <w:sz w:val="21"/>
          <w:szCs w:val="21"/>
        </w:rPr>
        <w:t xml:space="preserve">图1  </w:t>
      </w:r>
      <w:r>
        <w:rPr>
          <w:spacing w:val="-17"/>
        </w:rPr>
        <w:t>用粉尘采样器检定装置测量采样流量的示意图</w:t>
      </w:r>
    </w:p>
    <w:p>
      <w:pPr>
        <w:pStyle w:val="BodyText"/>
        <w:spacing w:before="17" w:line="219" w:lineRule="auto"/>
        <w:ind w:left="930"/>
      </w:pPr>
      <w:r>
        <w:rPr>
          <w:spacing w:val="-19"/>
          <w:w w:val="87"/>
        </w:rPr>
        <w:t>1—粉尘采样器检定装置；2—检定装置测量口；3</w:t>
      </w:r>
      <w:r>
        <w:rPr>
          <w:spacing w:val="-20"/>
          <w:w w:val="87"/>
        </w:rPr>
        <w:t>—连接软管；4—采样头；5—被检粉尘采样器</w:t>
      </w:r>
    </w:p>
    <w:p>
      <w:pPr>
        <w:spacing w:line="366" w:lineRule="auto"/>
        <w:rPr>
          <w:rFonts w:ascii="Arial"/>
          <w:sz w:val="21"/>
        </w:rPr>
      </w:pPr>
    </w:p>
    <w:p>
      <w:pPr>
        <w:spacing w:before="1" w:line="2170" w:lineRule="exact"/>
        <w:ind w:firstLine="3250"/>
      </w:pPr>
      <w:r>
        <w:rPr>
          <w:position w:val="-43"/>
        </w:rPr>
        <w:drawing>
          <wp:inline distT="0" distB="0" distL="0" distR="0">
            <wp:extent cx="1746262" cy="137795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9"/>
                    <a:stretch>
                      <a:fillRect/>
                    </a:stretch>
                  </pic:blipFill>
                  <pic:spPr>
                    <a:xfrm>
                      <a:off x="0" y="0"/>
                      <a:ext cx="1746262" cy="1377951"/>
                    </a:xfrm>
                    <a:prstGeom prst="rect">
                      <a:avLst/>
                    </a:prstGeom>
                  </pic:spPr>
                </pic:pic>
              </a:graphicData>
            </a:graphic>
          </wp:inline>
        </w:drawing>
      </w:r>
    </w:p>
    <w:p>
      <w:pPr>
        <w:spacing w:line="441" w:lineRule="auto"/>
        <w:rPr>
          <w:rFonts w:ascii="Arial"/>
          <w:sz w:val="21"/>
        </w:rPr>
      </w:pPr>
    </w:p>
    <w:p>
      <w:pPr>
        <w:pStyle w:val="BodyText"/>
        <w:spacing w:before="76" w:line="230" w:lineRule="auto"/>
        <w:ind w:left="1809" w:right="1051" w:hanging="699"/>
      </w:pPr>
      <w:r>
        <w:rPr>
          <w:spacing w:val="-21"/>
          <w:sz w:val="21"/>
          <w:szCs w:val="21"/>
        </w:rPr>
        <w:t>图</w:t>
      </w:r>
      <w:r>
        <w:rPr>
          <w:spacing w:val="-27"/>
          <w:sz w:val="21"/>
          <w:szCs w:val="21"/>
        </w:rPr>
        <w:t xml:space="preserve"> </w:t>
      </w:r>
      <w:r>
        <w:rPr>
          <w:spacing w:val="-21"/>
          <w:sz w:val="21"/>
          <w:szCs w:val="21"/>
        </w:rPr>
        <w:t>2</w:t>
      </w:r>
      <w:r>
        <w:rPr>
          <w:spacing w:val="81"/>
          <w:sz w:val="21"/>
          <w:szCs w:val="21"/>
        </w:rPr>
        <w:t xml:space="preserve"> </w:t>
      </w:r>
      <w:r>
        <w:rPr>
          <w:spacing w:val="-21"/>
        </w:rPr>
        <w:t>用钟罩式气体计量标准装置或皂膜流量检定装置测量采样流量的示意图</w:t>
      </w:r>
      <w:r>
        <w:t xml:space="preserve"> </w:t>
      </w:r>
      <w:r>
        <w:rPr>
          <w:spacing w:val="-19"/>
          <w:w w:val="87"/>
        </w:rPr>
        <w:t>1—钟罩式气体计量标准装置或皂膜流量检定装置；2—检定装置测量口</w:t>
      </w:r>
      <w:r>
        <w:rPr>
          <w:spacing w:val="-20"/>
          <w:w w:val="87"/>
        </w:rPr>
        <w:t>；</w:t>
      </w:r>
    </w:p>
    <w:p>
      <w:pPr>
        <w:pStyle w:val="BodyText"/>
        <w:spacing w:before="25" w:line="219" w:lineRule="auto"/>
        <w:ind w:left="1809"/>
      </w:pPr>
      <w:r>
        <w:rPr>
          <w:spacing w:val="-19"/>
          <w:w w:val="87"/>
        </w:rPr>
        <w:t>3—连接软管；4—采样头；5—被检粉尘采样器；6—</w:t>
      </w:r>
      <w:r>
        <w:rPr>
          <w:spacing w:val="-20"/>
          <w:w w:val="87"/>
        </w:rPr>
        <w:t>温度计；7—压力计</w:t>
      </w:r>
    </w:p>
    <w:p>
      <w:pPr>
        <w:pStyle w:val="BodyText"/>
        <w:spacing w:before="208" w:line="219" w:lineRule="auto"/>
        <w:ind w:left="50"/>
        <w:rPr>
          <w:sz w:val="24"/>
          <w:szCs w:val="24"/>
        </w:rPr>
      </w:pPr>
      <w:hyperlink r:id="rId40" w:history="1">
        <w:r>
          <w:rPr>
            <w:spacing w:val="-3"/>
            <w:sz w:val="24"/>
            <w:szCs w:val="24"/>
          </w:rPr>
          <w:t>6.3.2.5</w:t>
        </w:r>
      </w:hyperlink>
      <w:r>
        <w:rPr>
          <w:spacing w:val="126"/>
          <w:sz w:val="24"/>
          <w:szCs w:val="24"/>
        </w:rPr>
        <w:t xml:space="preserve"> </w:t>
      </w:r>
      <w:r>
        <w:rPr>
          <w:spacing w:val="-3"/>
          <w:sz w:val="24"/>
          <w:szCs w:val="24"/>
        </w:rPr>
        <w:t>使用标准表流量标准装置检定采样流量误差的方法</w:t>
      </w:r>
    </w:p>
    <w:p>
      <w:pPr>
        <w:pStyle w:val="BodyText"/>
        <w:spacing w:before="76" w:line="252" w:lineRule="auto"/>
        <w:ind w:left="40" w:right="18" w:firstLine="489"/>
        <w:jc w:val="both"/>
        <w:rPr>
          <w:sz w:val="24"/>
          <w:szCs w:val="24"/>
        </w:rPr>
        <w:sectPr>
          <w:headerReference w:type="default" r:id="rId41"/>
          <w:footerReference w:type="default" r:id="rId42"/>
          <w:pgSz w:w="11910" w:h="16840"/>
          <w:pgMar w:top="1499" w:right="1370" w:bottom="1320" w:left="1360" w:header="1228" w:footer="1163" w:gutter="0"/>
          <w:pgNumType w:start="9"/>
          <w:cols w:space="708"/>
        </w:sectPr>
      </w:pPr>
      <w:r>
        <w:rPr>
          <w:spacing w:val="3"/>
          <w:sz w:val="24"/>
          <w:szCs w:val="24"/>
        </w:rPr>
        <w:t>将标准流量表串接到被检粉尘采样器的入口气路上，并按</w:t>
      </w:r>
      <w:r>
        <w:rPr>
          <w:spacing w:val="2"/>
          <w:sz w:val="24"/>
          <w:szCs w:val="24"/>
        </w:rPr>
        <w:t>图3所示接入压力计和温</w:t>
      </w:r>
      <w:r>
        <w:rPr>
          <w:sz w:val="24"/>
          <w:szCs w:val="24"/>
        </w:rPr>
        <w:t xml:space="preserve"> </w:t>
      </w:r>
      <w:r>
        <w:rPr>
          <w:spacing w:val="9"/>
          <w:sz w:val="24"/>
          <w:szCs w:val="24"/>
        </w:rPr>
        <w:t>度计，分别测出标准流量计和被检流量计气体进口处的压力和温度，根据式(3)计算</w:t>
      </w:r>
      <w:r>
        <w:rPr>
          <w:spacing w:val="18"/>
          <w:sz w:val="24"/>
          <w:szCs w:val="24"/>
        </w:rPr>
        <w:t xml:space="preserve"> </w:t>
      </w:r>
      <w:r>
        <w:rPr>
          <w:spacing w:val="-1"/>
          <w:sz w:val="24"/>
          <w:szCs w:val="24"/>
        </w:rPr>
        <w:t>出被检流量计在刻度状态下的实际流量 q(L/min):</w:t>
      </w:r>
    </w:p>
    <w:p>
      <w:pPr>
        <w:spacing w:line="273" w:lineRule="auto"/>
        <w:rPr>
          <w:rFonts w:ascii="Arial"/>
          <w:sz w:val="21"/>
        </w:rPr>
      </w:pPr>
    </w:p>
    <w:p>
      <w:pPr>
        <w:pStyle w:val="BodyText"/>
        <w:spacing w:before="65" w:line="222" w:lineRule="auto"/>
        <w:ind w:left="8839"/>
        <w:rPr>
          <w:sz w:val="20"/>
          <w:szCs w:val="20"/>
        </w:rPr>
      </w:pPr>
      <w:r>
        <w:rPr>
          <w:spacing w:val="-10"/>
          <w:sz w:val="20"/>
          <w:szCs w:val="20"/>
        </w:rPr>
        <w:t>(3)</w:t>
      </w:r>
    </w:p>
    <w:p>
      <w:pPr>
        <w:pStyle w:val="BodyText"/>
        <w:spacing w:before="241" w:line="214" w:lineRule="auto"/>
        <w:ind w:left="30"/>
        <w:rPr>
          <w:sz w:val="24"/>
          <w:szCs w:val="24"/>
        </w:rPr>
      </w:pPr>
      <w:r>
        <w:rPr>
          <w:spacing w:val="-7"/>
          <w:sz w:val="24"/>
          <w:szCs w:val="24"/>
        </w:rPr>
        <w:t>式中：   q</w:t>
      </w:r>
      <w:r>
        <w:rPr>
          <w:rFonts w:ascii="Calibri" w:eastAsia="Calibri" w:hAnsi="Calibri" w:cs="Calibri"/>
          <w:spacing w:val="-7"/>
          <w:sz w:val="24"/>
          <w:szCs w:val="24"/>
        </w:rPr>
        <w:t>₂</w:t>
      </w:r>
      <w:r>
        <w:rPr>
          <w:spacing w:val="-7"/>
          <w:sz w:val="24"/>
          <w:szCs w:val="24"/>
        </w:rPr>
        <w:t>x——标准流量计在刻度状态下的刻度流量， L/m</w:t>
      </w:r>
      <w:r>
        <w:rPr>
          <w:spacing w:val="-8"/>
          <w:sz w:val="24"/>
          <w:szCs w:val="24"/>
        </w:rPr>
        <w:t>in;</w:t>
      </w:r>
    </w:p>
    <w:p>
      <w:pPr>
        <w:pStyle w:val="BodyText"/>
        <w:spacing w:before="121" w:line="252" w:lineRule="auto"/>
        <w:ind w:left="560" w:right="850"/>
        <w:rPr>
          <w:sz w:val="24"/>
          <w:szCs w:val="24"/>
        </w:rPr>
      </w:pPr>
      <w:r>
        <w:rPr>
          <w:spacing w:val="-4"/>
          <w:sz w:val="24"/>
          <w:szCs w:val="24"/>
        </w:rPr>
        <w:t>ps,Pm——</w:t>
      </w:r>
      <w:r>
        <w:rPr>
          <w:spacing w:val="36"/>
          <w:sz w:val="24"/>
          <w:szCs w:val="24"/>
        </w:rPr>
        <w:t xml:space="preserve"> </w:t>
      </w:r>
      <w:r>
        <w:rPr>
          <w:spacing w:val="-4"/>
          <w:sz w:val="24"/>
          <w:szCs w:val="24"/>
        </w:rPr>
        <w:t>分别为标准流量计和被检流量计气</w:t>
      </w:r>
      <w:r>
        <w:rPr>
          <w:spacing w:val="-5"/>
          <w:sz w:val="24"/>
          <w:szCs w:val="24"/>
        </w:rPr>
        <w:t xml:space="preserve">体进口处的绝对压力， Pa;  </w:t>
      </w:r>
      <w:r>
        <w:rPr>
          <w:spacing w:val="-5"/>
          <w:sz w:val="24"/>
          <w:szCs w:val="24"/>
        </w:rPr>
        <w:t>T.,Tm——</w:t>
      </w:r>
      <w:r>
        <w:rPr>
          <w:spacing w:val="36"/>
          <w:sz w:val="24"/>
          <w:szCs w:val="24"/>
        </w:rPr>
        <w:t xml:space="preserve"> </w:t>
      </w:r>
      <w:r>
        <w:rPr>
          <w:spacing w:val="-5"/>
          <w:sz w:val="24"/>
          <w:szCs w:val="24"/>
        </w:rPr>
        <w:t>分别为标准流量计和被检流量计气体进口处的热</w:t>
      </w:r>
      <w:r>
        <w:rPr>
          <w:spacing w:val="-6"/>
          <w:sz w:val="24"/>
          <w:szCs w:val="24"/>
        </w:rPr>
        <w:t>力学温度， K。</w:t>
      </w:r>
    </w:p>
    <w:p>
      <w:pPr>
        <w:pStyle w:val="BodyText"/>
        <w:spacing w:before="101" w:line="219" w:lineRule="auto"/>
        <w:ind w:left="60"/>
        <w:rPr>
          <w:sz w:val="24"/>
          <w:szCs w:val="24"/>
        </w:rPr>
      </w:pPr>
      <w:hyperlink r:id="rId43" w:history="1">
        <w:r>
          <w:rPr>
            <w:spacing w:val="6"/>
            <w:sz w:val="24"/>
            <w:szCs w:val="24"/>
          </w:rPr>
          <w:t>6.3.2.6</w:t>
        </w:r>
      </w:hyperlink>
      <w:r>
        <w:rPr>
          <w:spacing w:val="89"/>
          <w:sz w:val="24"/>
          <w:szCs w:val="24"/>
        </w:rPr>
        <w:t xml:space="preserve"> </w:t>
      </w:r>
      <w:r>
        <w:rPr>
          <w:spacing w:val="6"/>
          <w:sz w:val="24"/>
          <w:szCs w:val="24"/>
        </w:rPr>
        <w:t>每点检定两次，取其平均值，用公式</w:t>
      </w:r>
      <w:r>
        <w:rPr>
          <w:spacing w:val="5"/>
          <w:sz w:val="24"/>
          <w:szCs w:val="24"/>
        </w:rPr>
        <w:t>(4)计算检定点的采样流量误差</w:t>
      </w:r>
    </w:p>
    <w:p>
      <w:pPr>
        <w:spacing w:line="219" w:lineRule="auto"/>
        <w:rPr>
          <w:sz w:val="24"/>
          <w:szCs w:val="24"/>
        </w:rPr>
        <w:sectPr>
          <w:headerReference w:type="default" r:id="rId44"/>
          <w:footerReference w:type="default" r:id="rId45"/>
          <w:type w:val="nextPage"/>
          <w:pgSz w:w="11910" w:h="16840"/>
          <w:pgMar w:top="1499" w:right="1370" w:bottom="1320" w:left="1360" w:header="1228" w:footer="1163" w:gutter="0"/>
          <w:pgNumType w:start="10"/>
          <w:cols w:space="708"/>
          <w:titlePg w:val="0"/>
        </w:sectPr>
      </w:pPr>
    </w:p>
    <w:p>
      <w:pPr>
        <w:spacing w:line="278" w:lineRule="auto"/>
        <w:rPr>
          <w:rFonts w:ascii="Arial"/>
          <w:sz w:val="21"/>
        </w:rPr>
      </w:pPr>
      <w:r>
        <w:drawing>
          <wp:anchor distT="0" distB="0" distL="0" distR="0" simplePos="0" relativeHeight="251661312" behindDoc="0" locked="0" layoutInCell="0" allowOverlap="1">
            <wp:simplePos x="0" y="0"/>
            <wp:positionH relativeFrom="page">
              <wp:posOffset>3155977</wp:posOffset>
            </wp:positionH>
            <wp:positionV relativeFrom="page">
              <wp:posOffset>3632226</wp:posOffset>
            </wp:positionV>
            <wp:extent cx="1257248" cy="381006"/>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6"/>
                    <a:stretch>
                      <a:fillRect/>
                    </a:stretch>
                  </pic:blipFill>
                  <pic:spPr>
                    <a:xfrm>
                      <a:off x="0" y="0"/>
                      <a:ext cx="1257248" cy="381006"/>
                    </a:xfrm>
                    <a:prstGeom prst="rect">
                      <a:avLst/>
                    </a:prstGeom>
                  </pic:spPr>
                </pic:pic>
              </a:graphicData>
            </a:graphic>
          </wp:anchor>
        </w:drawing>
      </w:r>
    </w:p>
    <w:p>
      <w:pPr>
        <w:spacing w:line="278" w:lineRule="auto"/>
        <w:rPr>
          <w:rFonts w:ascii="Arial"/>
          <w:sz w:val="21"/>
        </w:rPr>
      </w:pPr>
    </w:p>
    <w:p>
      <w:pPr>
        <w:spacing w:line="2120" w:lineRule="exact"/>
        <w:ind w:firstLine="2210"/>
      </w:pPr>
      <w:r>
        <w:rPr>
          <w:position w:val="-42"/>
        </w:rPr>
        <w:drawing>
          <wp:inline distT="0" distB="0" distL="0" distR="0">
            <wp:extent cx="2393944" cy="134619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7"/>
                    <a:stretch>
                      <a:fillRect/>
                    </a:stretch>
                  </pic:blipFill>
                  <pic:spPr>
                    <a:xfrm>
                      <a:off x="0" y="0"/>
                      <a:ext cx="2393944" cy="1346192"/>
                    </a:xfrm>
                    <a:prstGeom prst="rect">
                      <a:avLst/>
                    </a:prstGeom>
                  </pic:spPr>
                </pic:pic>
              </a:graphicData>
            </a:graphic>
          </wp:inline>
        </w:drawing>
      </w:r>
    </w:p>
    <w:p>
      <w:pPr>
        <w:spacing w:line="423" w:lineRule="auto"/>
        <w:rPr>
          <w:rFonts w:ascii="Arial"/>
          <w:sz w:val="21"/>
        </w:rPr>
      </w:pPr>
    </w:p>
    <w:p>
      <w:pPr>
        <w:pStyle w:val="BodyText"/>
        <w:spacing w:before="72" w:line="219" w:lineRule="auto"/>
        <w:ind w:left="2649"/>
        <w:rPr>
          <w:sz w:val="22"/>
          <w:szCs w:val="22"/>
        </w:rPr>
      </w:pPr>
      <w:r>
        <w:rPr>
          <w:spacing w:val="-10"/>
          <w:sz w:val="20"/>
          <w:szCs w:val="20"/>
        </w:rPr>
        <w:t>图</w:t>
      </w:r>
      <w:r>
        <w:rPr>
          <w:spacing w:val="-32"/>
          <w:sz w:val="20"/>
          <w:szCs w:val="20"/>
        </w:rPr>
        <w:t xml:space="preserve"> </w:t>
      </w:r>
      <w:r>
        <w:rPr>
          <w:spacing w:val="-10"/>
          <w:sz w:val="20"/>
          <w:szCs w:val="20"/>
        </w:rPr>
        <w:t xml:space="preserve">3  </w:t>
      </w:r>
      <w:r>
        <w:rPr>
          <w:spacing w:val="-10"/>
          <w:sz w:val="22"/>
          <w:szCs w:val="22"/>
        </w:rPr>
        <w:t>用标准流量表测量采样流量的示意图</w:t>
      </w:r>
    </w:p>
    <w:p>
      <w:pPr>
        <w:pStyle w:val="BodyText"/>
        <w:spacing w:before="50" w:line="219" w:lineRule="auto"/>
        <w:ind w:left="2520"/>
        <w:rPr>
          <w:sz w:val="22"/>
          <w:szCs w:val="22"/>
        </w:rPr>
      </w:pPr>
      <w:r>
        <w:rPr>
          <w:spacing w:val="-22"/>
          <w:w w:val="92"/>
          <w:sz w:val="22"/>
          <w:szCs w:val="22"/>
        </w:rPr>
        <w:t>1一压力计；2—温度计；3—标准流量表；4—压力计；</w:t>
      </w:r>
    </w:p>
    <w:p>
      <w:pPr>
        <w:pStyle w:val="BodyText"/>
        <w:spacing w:before="27" w:line="219" w:lineRule="auto"/>
        <w:ind w:left="2849"/>
        <w:rPr>
          <w:sz w:val="22"/>
          <w:szCs w:val="22"/>
        </w:rPr>
      </w:pPr>
      <w:r>
        <w:rPr>
          <w:spacing w:val="-18"/>
          <w:w w:val="90"/>
          <w:sz w:val="22"/>
          <w:szCs w:val="22"/>
        </w:rPr>
        <w:t>5—温度计；6—采样头；7—被检粉尘采样器</w:t>
      </w:r>
    </w:p>
    <w:p>
      <w:pPr>
        <w:spacing w:line="317" w:lineRule="auto"/>
        <w:rPr>
          <w:rFonts w:ascii="Arial"/>
          <w:sz w:val="21"/>
        </w:rPr>
      </w:pPr>
    </w:p>
    <w:p>
      <w:pPr>
        <w:pStyle w:val="BodyText"/>
        <w:spacing w:before="75" w:line="222" w:lineRule="auto"/>
        <w:ind w:right="38"/>
        <w:jc w:val="right"/>
      </w:pPr>
      <w:r>
        <w:rPr>
          <w:spacing w:val="-11"/>
        </w:rPr>
        <w:t>(4)</w:t>
      </w:r>
    </w:p>
    <w:p>
      <w:pPr>
        <w:pStyle w:val="BodyText"/>
        <w:spacing w:before="258" w:line="219" w:lineRule="auto"/>
        <w:ind w:left="50"/>
      </w:pPr>
      <w:r>
        <w:rPr>
          <w:spacing w:val="4"/>
        </w:rPr>
        <w:t>式中：</w:t>
      </w:r>
      <w:r>
        <w:rPr>
          <w:spacing w:val="58"/>
        </w:rPr>
        <w:t xml:space="preserve">  </w:t>
      </w:r>
      <w:r>
        <w:rPr>
          <w:spacing w:val="4"/>
        </w:rPr>
        <w:t>δ——采样流量误差，%;</w:t>
      </w:r>
    </w:p>
    <w:p>
      <w:pPr>
        <w:pStyle w:val="BodyText"/>
        <w:spacing w:before="63" w:line="390" w:lineRule="exact"/>
        <w:ind w:left="850"/>
        <w:rPr>
          <w:rFonts w:ascii="Times New Roman" w:eastAsia="Times New Roman" w:hAnsi="Times New Roman" w:cs="Times New Roman"/>
        </w:rPr>
      </w:pPr>
      <w:r>
        <w:rPr>
          <w:rFonts w:ascii="Times New Roman" w:eastAsia="Times New Roman" w:hAnsi="Times New Roman" w:cs="Times New Roman"/>
          <w:position w:val="12"/>
        </w:rPr>
        <w:t>qmax</w:t>
      </w:r>
      <w:r>
        <w:rPr>
          <w:rFonts w:ascii="Times New Roman" w:eastAsia="Times New Roman" w:hAnsi="Times New Roman" w:cs="Times New Roman"/>
          <w:spacing w:val="4"/>
          <w:position w:val="12"/>
        </w:rPr>
        <w:t>——</w:t>
      </w:r>
      <w:r>
        <w:rPr>
          <w:spacing w:val="4"/>
          <w:position w:val="12"/>
        </w:rPr>
        <w:t>被检粉尘采样器采样流量范围的最大值，</w:t>
      </w:r>
      <w:r>
        <w:rPr>
          <w:rFonts w:ascii="Times New Roman" w:eastAsia="Times New Roman" w:hAnsi="Times New Roman" w:cs="Times New Roman"/>
          <w:spacing w:val="4"/>
          <w:position w:val="12"/>
        </w:rPr>
        <w:t>L/</w:t>
      </w:r>
      <w:r>
        <w:rPr>
          <w:rFonts w:ascii="Times New Roman" w:eastAsia="Times New Roman" w:hAnsi="Times New Roman" w:cs="Times New Roman"/>
          <w:position w:val="12"/>
        </w:rPr>
        <w:t>min</w:t>
      </w:r>
      <w:r>
        <w:rPr>
          <w:rFonts w:ascii="Times New Roman" w:eastAsia="Times New Roman" w:hAnsi="Times New Roman" w:cs="Times New Roman"/>
          <w:spacing w:val="4"/>
          <w:position w:val="12"/>
        </w:rPr>
        <w:t>;</w:t>
      </w:r>
    </w:p>
    <w:p>
      <w:pPr>
        <w:pStyle w:val="BodyText"/>
        <w:spacing w:line="212" w:lineRule="auto"/>
        <w:ind w:left="900"/>
        <w:rPr>
          <w:rFonts w:ascii="Times New Roman" w:eastAsia="Times New Roman" w:hAnsi="Times New Roman" w:cs="Times New Roman"/>
        </w:rPr>
      </w:pPr>
      <w:r>
        <w:rPr>
          <w:rFonts w:ascii="Times New Roman" w:eastAsia="Times New Roman" w:hAnsi="Times New Roman" w:cs="Times New Roman"/>
          <w:spacing w:val="7"/>
        </w:rPr>
        <w:t>q</w:t>
      </w:r>
      <w:r>
        <w:rPr>
          <w:spacing w:val="7"/>
        </w:rPr>
        <w:t>际</w:t>
      </w:r>
      <w:r>
        <w:rPr>
          <w:rFonts w:ascii="SimHei" w:eastAsia="SimHei" w:hAnsi="SimHei" w:cs="SimHei"/>
          <w:spacing w:val="7"/>
        </w:rPr>
        <w:t>——被</w:t>
      </w:r>
      <w:r>
        <w:rPr>
          <w:spacing w:val="7"/>
        </w:rPr>
        <w:t>检粉尘采样器指示流量值，</w:t>
      </w:r>
      <w:r>
        <w:rPr>
          <w:rFonts w:ascii="Times New Roman" w:eastAsia="Times New Roman" w:hAnsi="Times New Roman" w:cs="Times New Roman"/>
          <w:spacing w:val="7"/>
        </w:rPr>
        <w:t>L/</w:t>
      </w:r>
      <w:r>
        <w:rPr>
          <w:rFonts w:ascii="Times New Roman" w:eastAsia="Times New Roman" w:hAnsi="Times New Roman" w:cs="Times New Roman"/>
        </w:rPr>
        <w:t>min</w:t>
      </w:r>
      <w:r>
        <w:rPr>
          <w:rFonts w:ascii="Times New Roman" w:eastAsia="Times New Roman" w:hAnsi="Times New Roman" w:cs="Times New Roman"/>
          <w:spacing w:val="7"/>
        </w:rPr>
        <w:t>;</w:t>
      </w:r>
    </w:p>
    <w:p>
      <w:pPr>
        <w:pStyle w:val="BodyText"/>
        <w:spacing w:before="116" w:line="212" w:lineRule="auto"/>
        <w:ind w:left="1039"/>
      </w:pPr>
      <w:r>
        <w:rPr>
          <w:rFonts w:ascii="Times New Roman" w:eastAsia="Times New Roman" w:hAnsi="Times New Roman" w:cs="Times New Roman"/>
        </w:rPr>
        <w:t>qv</w:t>
      </w:r>
      <w:r>
        <w:rPr>
          <w:rFonts w:ascii="Times New Roman" w:eastAsia="Times New Roman" w:hAnsi="Times New Roman" w:cs="Times New Roman"/>
          <w:spacing w:val="1"/>
        </w:rPr>
        <w:t>——</w:t>
      </w:r>
      <w:r>
        <w:rPr>
          <w:rFonts w:ascii="Times New Roman" w:eastAsia="Times New Roman" w:hAnsi="Times New Roman" w:cs="Times New Roman"/>
          <w:spacing w:val="-23"/>
        </w:rPr>
        <w:t xml:space="preserve"> </w:t>
      </w:r>
      <w:r>
        <w:rPr>
          <w:spacing w:val="1"/>
        </w:rPr>
        <w:t>两次采样流量测量值的平均值，</w:t>
      </w:r>
      <w:r>
        <w:rPr>
          <w:spacing w:val="-45"/>
        </w:rPr>
        <w:t xml:space="preserve"> </w:t>
      </w:r>
      <w:r>
        <w:rPr>
          <w:rFonts w:ascii="Times New Roman" w:eastAsia="Times New Roman" w:hAnsi="Times New Roman" w:cs="Times New Roman"/>
          <w:spacing w:val="1"/>
        </w:rPr>
        <w:t>L/</w:t>
      </w:r>
      <w:r>
        <w:rPr>
          <w:rFonts w:ascii="Times New Roman" w:eastAsia="Times New Roman" w:hAnsi="Times New Roman" w:cs="Times New Roman"/>
        </w:rPr>
        <w:t>min</w:t>
      </w:r>
      <w:r>
        <w:rPr>
          <w:spacing w:val="1"/>
        </w:rPr>
        <w:t>。</w:t>
      </w:r>
    </w:p>
    <w:p>
      <w:pPr>
        <w:pStyle w:val="BodyText"/>
        <w:spacing w:before="130" w:line="219" w:lineRule="auto"/>
        <w:ind w:left="540"/>
      </w:pPr>
      <w:r>
        <w:rPr>
          <w:spacing w:val="8"/>
        </w:rPr>
        <w:t>取各检定点中采样流量误差的最大值作为该台采样器的采样</w:t>
      </w:r>
      <w:r>
        <w:rPr>
          <w:spacing w:val="7"/>
        </w:rPr>
        <w:t>流量误差。</w:t>
      </w:r>
    </w:p>
    <w:p>
      <w:pPr>
        <w:pStyle w:val="BodyText"/>
        <w:spacing w:before="69" w:line="219" w:lineRule="auto"/>
        <w:ind w:left="50"/>
      </w:pPr>
      <w:r>
        <w:rPr>
          <w:spacing w:val="-4"/>
        </w:rPr>
        <w:t>6.3.3  负载能力</w:t>
      </w:r>
    </w:p>
    <w:p>
      <w:pPr>
        <w:pStyle w:val="BodyText"/>
        <w:spacing w:before="107" w:line="246" w:lineRule="auto"/>
        <w:ind w:left="50" w:right="39" w:hanging="10"/>
      </w:pPr>
      <w:hyperlink r:id="rId48" w:history="1">
        <w:r>
          <w:rPr>
            <w:spacing w:val="12"/>
          </w:rPr>
          <w:t>6.3.3.1</w:t>
        </w:r>
      </w:hyperlink>
      <w:r>
        <w:rPr>
          <w:spacing w:val="113"/>
        </w:rPr>
        <w:t xml:space="preserve"> </w:t>
      </w:r>
      <w:r>
        <w:rPr>
          <w:spacing w:val="12"/>
        </w:rPr>
        <w:t>对采样流量固定的粉尘采样器，检定固定流量点；对采样流量可调</w:t>
      </w:r>
      <w:r>
        <w:rPr>
          <w:spacing w:val="11"/>
        </w:rPr>
        <w:t>的粉尘采</w:t>
      </w:r>
      <w:r>
        <w:t xml:space="preserve"> </w:t>
      </w:r>
      <w:r>
        <w:rPr>
          <w:spacing w:val="3"/>
        </w:rPr>
        <w:t>样器，检定上限流量点。</w:t>
      </w:r>
    </w:p>
    <w:p>
      <w:pPr>
        <w:pStyle w:val="BodyText"/>
        <w:spacing w:before="97" w:line="260" w:lineRule="auto"/>
        <w:ind w:left="60" w:right="18"/>
      </w:pPr>
      <w:hyperlink r:id="rId49" w:history="1">
        <w:r>
          <w:rPr>
            <w:spacing w:val="16"/>
          </w:rPr>
          <w:t>6.3.3.2</w:t>
        </w:r>
      </w:hyperlink>
      <w:r>
        <w:rPr>
          <w:spacing w:val="80"/>
        </w:rPr>
        <w:t xml:space="preserve"> </w:t>
      </w:r>
      <w:r>
        <w:rPr>
          <w:spacing w:val="16"/>
        </w:rPr>
        <w:t>启动粉尘采样器，并将采样流量调节到</w:t>
      </w:r>
      <w:r>
        <w:rPr>
          <w:spacing w:val="15"/>
        </w:rPr>
        <w:t>待检定点，再按图4所示将三通、压</w:t>
      </w:r>
      <w:r>
        <w:t xml:space="preserve"> </w:t>
      </w:r>
      <w:r>
        <w:rPr>
          <w:spacing w:val="16"/>
        </w:rPr>
        <w:t>力计、调节阀连接在采样头上，然后逐渐关</w:t>
      </w:r>
      <w:r>
        <w:rPr>
          <w:spacing w:val="15"/>
        </w:rPr>
        <w:t>闭阀门，使采样流量下降5%时，立即读取</w:t>
      </w:r>
      <w:r>
        <w:t xml:space="preserve"> </w:t>
      </w:r>
      <w:r>
        <w:rPr>
          <w:spacing w:val="16"/>
        </w:rPr>
        <w:t>压力计示值，此时的阻力(压力)即为采样器的负载能力。</w:t>
      </w:r>
    </w:p>
    <w:p>
      <w:pPr>
        <w:spacing w:line="406" w:lineRule="auto"/>
        <w:rPr>
          <w:rFonts w:ascii="Arial"/>
          <w:sz w:val="21"/>
        </w:rPr>
      </w:pPr>
    </w:p>
    <w:p>
      <w:pPr>
        <w:spacing w:line="2260" w:lineRule="exact"/>
        <w:ind w:firstLine="2359"/>
        <w:sectPr>
          <w:headerReference w:type="default" r:id="rId50"/>
          <w:footerReference w:type="default" r:id="rId51"/>
          <w:pgSz w:w="11910" w:h="16840"/>
          <w:pgMar w:top="1499" w:right="1370" w:bottom="1322" w:left="1360" w:header="1235" w:footer="1163" w:gutter="0"/>
          <w:pgNumType w:start="11"/>
          <w:cols w:space="708"/>
        </w:sectPr>
      </w:pPr>
      <w:r>
        <w:rPr>
          <w:position w:val="-45"/>
        </w:rPr>
        <w:drawing>
          <wp:inline distT="0" distB="0" distL="0" distR="0">
            <wp:extent cx="2813077" cy="1435161"/>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2"/>
                    <a:stretch>
                      <a:fillRect/>
                    </a:stretch>
                  </pic:blipFill>
                  <pic:spPr>
                    <a:xfrm>
                      <a:off x="0" y="0"/>
                      <a:ext cx="2813077" cy="1435161"/>
                    </a:xfrm>
                    <a:prstGeom prst="rect">
                      <a:avLst/>
                    </a:prstGeom>
                  </pic:spPr>
                </pic:pic>
              </a:graphicData>
            </a:graphic>
          </wp:inline>
        </w:drawing>
      </w:r>
    </w:p>
    <w:p>
      <w:pPr>
        <w:spacing w:line="464" w:lineRule="auto"/>
        <w:rPr>
          <w:rFonts w:ascii="Arial"/>
          <w:sz w:val="21"/>
        </w:rPr>
      </w:pPr>
    </w:p>
    <w:p>
      <w:pPr>
        <w:pStyle w:val="BodyText"/>
        <w:spacing w:before="72" w:line="219" w:lineRule="auto"/>
        <w:ind w:left="3290"/>
        <w:rPr>
          <w:sz w:val="22"/>
          <w:szCs w:val="22"/>
        </w:rPr>
      </w:pPr>
      <w:r>
        <w:rPr>
          <w:spacing w:val="-12"/>
          <w:sz w:val="20"/>
          <w:szCs w:val="20"/>
        </w:rPr>
        <w:t>图</w:t>
      </w:r>
      <w:r>
        <w:rPr>
          <w:spacing w:val="-31"/>
          <w:sz w:val="20"/>
          <w:szCs w:val="20"/>
        </w:rPr>
        <w:t xml:space="preserve"> </w:t>
      </w:r>
      <w:r>
        <w:rPr>
          <w:spacing w:val="-12"/>
          <w:sz w:val="20"/>
          <w:szCs w:val="20"/>
        </w:rPr>
        <w:t>4</w:t>
      </w:r>
      <w:r>
        <w:rPr>
          <w:spacing w:val="83"/>
          <w:sz w:val="20"/>
          <w:szCs w:val="20"/>
        </w:rPr>
        <w:t xml:space="preserve"> </w:t>
      </w:r>
      <w:r>
        <w:rPr>
          <w:spacing w:val="-12"/>
          <w:sz w:val="22"/>
          <w:szCs w:val="22"/>
        </w:rPr>
        <w:t>测量负载能力的示意图</w:t>
      </w:r>
    </w:p>
    <w:p>
      <w:pPr>
        <w:pStyle w:val="BodyText"/>
        <w:spacing w:before="38" w:line="219" w:lineRule="auto"/>
        <w:ind w:left="1069"/>
        <w:rPr>
          <w:sz w:val="22"/>
          <w:szCs w:val="22"/>
        </w:rPr>
      </w:pPr>
      <w:r>
        <w:rPr>
          <w:spacing w:val="-20"/>
          <w:w w:val="91"/>
          <w:sz w:val="22"/>
          <w:szCs w:val="22"/>
        </w:rPr>
        <w:t>1—调节阀；2—三通；3—采样头；4—被检粉尘采样器；5—压力计或粉尘采样器检定装置</w:t>
      </w:r>
    </w:p>
    <w:p>
      <w:pPr>
        <w:pStyle w:val="BodyText"/>
        <w:spacing w:before="199" w:line="219" w:lineRule="auto"/>
        <w:ind w:left="30"/>
      </w:pPr>
      <w:r>
        <w:rPr>
          <w:spacing w:val="2"/>
        </w:rPr>
        <w:t>6.3.4  采样流量稳定性</w:t>
      </w:r>
    </w:p>
    <w:p>
      <w:pPr>
        <w:pStyle w:val="BodyText"/>
        <w:spacing w:before="89" w:line="242" w:lineRule="auto"/>
        <w:ind w:left="60" w:right="18" w:hanging="40"/>
      </w:pPr>
      <w:hyperlink r:id="rId53" w:history="1">
        <w:r>
          <w:rPr>
            <w:spacing w:val="13"/>
          </w:rPr>
          <w:t>6.3.4.1</w:t>
        </w:r>
      </w:hyperlink>
      <w:r>
        <w:rPr>
          <w:spacing w:val="4"/>
        </w:rPr>
        <w:t xml:space="preserve">  </w:t>
      </w:r>
      <w:r>
        <w:rPr>
          <w:spacing w:val="13"/>
        </w:rPr>
        <w:t>对采样流量固定的粉尘采样器检定固定流量点</w:t>
      </w:r>
      <w:r>
        <w:rPr>
          <w:spacing w:val="12"/>
        </w:rPr>
        <w:t>，对采样流量可调的粉尘采样</w:t>
      </w:r>
      <w:r>
        <w:t xml:space="preserve"> </w:t>
      </w:r>
      <w:r>
        <w:t>器检定上限流量点。</w:t>
      </w:r>
    </w:p>
    <w:p>
      <w:pPr>
        <w:spacing w:line="242"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https://d.book118.com/696142212033010033</w:t>
        </w:r>
      </w:hyperlink>
    </w:p>
    <w:p>
      <w:pPr>
        <w:spacing w:line="242" w:lineRule="auto"/>
      </w:pPr>
    </w:p>
    <w:sectPr>
      <w:headerReference w:type="default" r:id="rId55"/>
      <w:footerReference w:type="default" r:id="rId56"/>
      <w:type w:val="nextPage"/>
      <w:pgSz w:w="11910" w:h="16840"/>
      <w:pgMar w:top="1499" w:right="1370" w:bottom="1322" w:left="1360" w:header="1235" w:footer="1163"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69"/>
      <w:rPr>
        <w:sz w:val="17"/>
        <w:szCs w:val="17"/>
      </w:rPr>
    </w:pPr>
    <w:r>
      <w:rPr>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69"/>
      <w:rPr>
        <w:sz w:val="17"/>
        <w:szCs w:val="17"/>
      </w:rPr>
    </w:pPr>
    <w:r>
      <w:rPr>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5"/>
        <w:szCs w:val="15"/>
      </w:rPr>
    </w:pPr>
    <w:r>
      <w:rPr>
        <w:color w:val="159CF6"/>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5"/>
        <w:szCs w:val="15"/>
      </w:rPr>
    </w:pPr>
    <w:r>
      <w:rPr>
        <w:color w:val="159CF6"/>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79"/>
      <w:rPr>
        <w:sz w:val="16"/>
        <w:szCs w:val="16"/>
      </w:rPr>
    </w:pPr>
    <w:r>
      <w:rPr>
        <w:color w:val="E19B55"/>
        <w:sz w:val="16"/>
        <w:szCs w:val="1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79"/>
      <w:rPr>
        <w:sz w:val="16"/>
        <w:szCs w:val="16"/>
      </w:rPr>
    </w:pPr>
    <w:r>
      <w:rPr>
        <w:color w:val="E19B55"/>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49"/>
      <w:rPr>
        <w:sz w:val="17"/>
        <w:szCs w:val="17"/>
      </w:rPr>
    </w:pPr>
    <w:r>
      <w:rPr>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49"/>
      <w:rPr>
        <w:sz w:val="17"/>
        <w:szCs w:val="17"/>
      </w:rPr>
    </w:pPr>
    <w:r>
      <w:rPr>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79"/>
      <w:rPr>
        <w:sz w:val="16"/>
        <w:szCs w:val="16"/>
      </w:rPr>
    </w:pPr>
    <w:r>
      <w:rPr>
        <w:color w:val="E59216"/>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79"/>
      <w:rPr>
        <w:sz w:val="16"/>
        <w:szCs w:val="16"/>
      </w:rPr>
    </w:pPr>
    <w:r>
      <w:rPr>
        <w:color w:val="E59216"/>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9"/>
      <w:rPr>
        <w:sz w:val="16"/>
        <w:szCs w:val="16"/>
      </w:rPr>
    </w:pPr>
    <w:r>
      <w:rPr>
        <w:color w:val="162BE5"/>
        <w:sz w:val="16"/>
        <w:szCs w:val="16"/>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9"/>
      <w:rPr>
        <w:sz w:val="16"/>
        <w:szCs w:val="16"/>
      </w:rPr>
    </w:pPr>
    <w:r>
      <w:rPr>
        <w:color w:val="162BE5"/>
        <w:sz w:val="16"/>
        <w:szCs w:val="16"/>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00"/>
      <w:rPr>
        <w:rFonts w:ascii="Times New Roman" w:eastAsia="Times New Roman" w:hAnsi="Times New Roman" w:cs="Times New Roman"/>
        <w:sz w:val="19"/>
        <w:szCs w:val="19"/>
      </w:rPr>
    </w:pPr>
    <w:r>
      <w:drawing>
        <wp:anchor distT="0" distB="0" distL="0" distR="0" simplePos="0" relativeHeight="251658240"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rFonts w:ascii="Times New Roman" w:eastAsia="Times New Roman" w:hAnsi="Times New Roman" w:cs="Times New Roman"/>
        <w:spacing w:val="-2"/>
        <w:sz w:val="19"/>
        <w:szCs w:val="19"/>
      </w:rPr>
      <w:t>JJG</w:t>
    </w:r>
    <w:r>
      <w:rPr>
        <w:rFonts w:ascii="Times New Roman" w:eastAsia="Times New Roman" w:hAnsi="Times New Roman" w:cs="Times New Roman"/>
        <w:spacing w:val="8"/>
        <w:sz w:val="19"/>
        <w:szCs w:val="19"/>
      </w:rPr>
      <w:t xml:space="preserve">    </w:t>
    </w:r>
    <w:r>
      <w:rPr>
        <w:rFonts w:ascii="Times New Roman" w:eastAsia="Times New Roman" w:hAnsi="Times New Roman" w:cs="Times New Roman"/>
        <w:spacing w:val="-2"/>
        <w:sz w:val="19"/>
        <w:szCs w:val="19"/>
      </w:rPr>
      <w:t>520—2005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00"/>
      <w:rPr>
        <w:rFonts w:ascii="Times New Roman" w:eastAsia="Times New Roman" w:hAnsi="Times New Roman" w:cs="Times New Roman"/>
        <w:sz w:val="19"/>
        <w:szCs w:val="19"/>
      </w:rPr>
    </w:pPr>
    <w:r>
      <w:drawing>
        <wp:anchor distT="0" distB="0" distL="0" distR="0" simplePos="0" relativeHeight="251659264"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1876531638" name="IM 2"/>
          <wp:cNvGraphicFramePr/>
          <a:graphic xmlns:a="http://schemas.openxmlformats.org/drawingml/2006/main">
            <a:graphicData uri="http://schemas.openxmlformats.org/drawingml/2006/picture">
              <pic:pic xmlns:pic="http://schemas.openxmlformats.org/drawingml/2006/picture">
                <pic:nvPicPr>
                  <pic:cNvPr id="1876531638" name="IM 2"/>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rFonts w:ascii="Times New Roman" w:eastAsia="Times New Roman" w:hAnsi="Times New Roman" w:cs="Times New Roman"/>
        <w:spacing w:val="-2"/>
        <w:sz w:val="19"/>
        <w:szCs w:val="19"/>
      </w:rPr>
      <w:t>JJG</w:t>
    </w:r>
    <w:r>
      <w:rPr>
        <w:rFonts w:ascii="Times New Roman" w:eastAsia="Times New Roman" w:hAnsi="Times New Roman" w:cs="Times New Roman"/>
        <w:spacing w:val="8"/>
        <w:sz w:val="19"/>
        <w:szCs w:val="19"/>
      </w:rPr>
      <w:t xml:space="preserve">    </w:t>
    </w:r>
    <w:r>
      <w:rPr>
        <w:rFonts w:ascii="Times New Roman" w:eastAsia="Times New Roman" w:hAnsi="Times New Roman" w:cs="Times New Roman"/>
        <w:spacing w:val="-2"/>
        <w:sz w:val="19"/>
        <w:szCs w:val="19"/>
      </w:rPr>
      <w:t>520—2005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12"/>
      <w:rPr>
        <w:sz w:val="20"/>
        <w:szCs w:val="20"/>
      </w:rPr>
    </w:pPr>
    <w:r>
      <w:drawing>
        <wp:anchor distT="0" distB="0" distL="0" distR="0" simplePos="0" relativeHeight="251660288"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b/>
        <w:bCs/>
        <w:spacing w:val="-4"/>
        <w:sz w:val="20"/>
        <w:szCs w:val="20"/>
      </w:rPr>
      <w:t>JJG</w:t>
    </w:r>
    <w:r>
      <w:rPr>
        <w:spacing w:val="56"/>
        <w:sz w:val="20"/>
        <w:szCs w:val="20"/>
      </w:rPr>
      <w:t xml:space="preserve"> </w:t>
    </w:r>
    <w:r>
      <w:rPr>
        <w:b/>
        <w:bCs/>
        <w:spacing w:val="-4"/>
        <w:sz w:val="20"/>
        <w:szCs w:val="20"/>
      </w:rPr>
      <w:t>520—2005</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12"/>
      <w:rPr>
        <w:sz w:val="20"/>
        <w:szCs w:val="20"/>
      </w:rPr>
    </w:pPr>
    <w:r>
      <w:drawing>
        <wp:anchor distT="0" distB="0" distL="0" distR="0" simplePos="0" relativeHeight="251661312"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1424726591" name="IM 6"/>
          <wp:cNvGraphicFramePr/>
          <a:graphic xmlns:a="http://schemas.openxmlformats.org/drawingml/2006/main">
            <a:graphicData uri="http://schemas.openxmlformats.org/drawingml/2006/picture">
              <pic:pic xmlns:pic="http://schemas.openxmlformats.org/drawingml/2006/picture">
                <pic:nvPicPr>
                  <pic:cNvPr id="1424726591" name="IM 6"/>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b/>
        <w:bCs/>
        <w:spacing w:val="-4"/>
        <w:sz w:val="20"/>
        <w:szCs w:val="20"/>
      </w:rPr>
      <w:t>JJG</w:t>
    </w:r>
    <w:r>
      <w:rPr>
        <w:spacing w:val="56"/>
        <w:sz w:val="20"/>
        <w:szCs w:val="20"/>
      </w:rPr>
      <w:t xml:space="preserve"> </w:t>
    </w:r>
    <w:r>
      <w:rPr>
        <w:b/>
        <w:bCs/>
        <w:spacing w:val="-4"/>
        <w:sz w:val="20"/>
        <w:szCs w:val="20"/>
      </w:rPr>
      <w:t>520—2005</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13"/>
    </w:pPr>
    <w:r>
      <w:drawing>
        <wp:anchor distT="0" distB="0" distL="0" distR="0" simplePos="0" relativeHeight="251662336"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b/>
        <w:bCs/>
        <w:spacing w:val="-14"/>
      </w:rPr>
      <w:t>JJG</w:t>
    </w:r>
    <w:r>
      <w:rPr>
        <w:spacing w:val="-14"/>
      </w:rPr>
      <w:t xml:space="preserve"> </w:t>
    </w:r>
    <w:r>
      <w:rPr>
        <w:b/>
        <w:bCs/>
        <w:spacing w:val="-14"/>
      </w:rPr>
      <w:t>520—2005</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13"/>
    </w:pPr>
    <w:r>
      <w:drawing>
        <wp:anchor distT="0" distB="0" distL="0" distR="0" simplePos="0" relativeHeight="251663360"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1165539599" name="IM 8"/>
          <wp:cNvGraphicFramePr/>
          <a:graphic xmlns:a="http://schemas.openxmlformats.org/drawingml/2006/main">
            <a:graphicData uri="http://schemas.openxmlformats.org/drawingml/2006/picture">
              <pic:pic xmlns:pic="http://schemas.openxmlformats.org/drawingml/2006/picture">
                <pic:nvPicPr>
                  <pic:cNvPr id="1165539599" name="IM 8"/>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b/>
        <w:bCs/>
        <w:spacing w:val="-14"/>
      </w:rPr>
      <w:t>JJG</w:t>
    </w:r>
    <w:r>
      <w:rPr>
        <w:spacing w:val="-14"/>
      </w:rPr>
      <w:t xml:space="preserve"> </w:t>
    </w:r>
    <w:r>
      <w:rPr>
        <w:b/>
        <w:bCs/>
        <w:spacing w:val="-14"/>
      </w:rPr>
      <w:t>520—2005</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00"/>
      <w:rPr>
        <w:rFonts w:ascii="Times New Roman" w:eastAsia="Times New Roman" w:hAnsi="Times New Roman" w:cs="Times New Roman"/>
        <w:sz w:val="19"/>
        <w:szCs w:val="19"/>
      </w:rPr>
    </w:pPr>
    <w:r>
      <w:drawing>
        <wp:anchor distT="0" distB="0" distL="0" distR="0" simplePos="0" relativeHeight="251664384"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rFonts w:ascii="Times New Roman" w:eastAsia="Times New Roman" w:hAnsi="Times New Roman" w:cs="Times New Roman"/>
        <w:spacing w:val="-2"/>
        <w:sz w:val="19"/>
        <w:szCs w:val="19"/>
      </w:rPr>
      <w:t>JJG</w:t>
    </w:r>
    <w:r>
      <w:rPr>
        <w:rFonts w:ascii="Times New Roman" w:eastAsia="Times New Roman" w:hAnsi="Times New Roman" w:cs="Times New Roman"/>
        <w:spacing w:val="8"/>
        <w:sz w:val="19"/>
        <w:szCs w:val="19"/>
      </w:rPr>
      <w:t xml:space="preserve">    </w:t>
    </w:r>
    <w:r>
      <w:rPr>
        <w:rFonts w:ascii="Times New Roman" w:eastAsia="Times New Roman" w:hAnsi="Times New Roman" w:cs="Times New Roman"/>
        <w:spacing w:val="-2"/>
        <w:sz w:val="19"/>
        <w:szCs w:val="19"/>
      </w:rPr>
      <w:t>520—2005</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00"/>
      <w:rPr>
        <w:rFonts w:ascii="Times New Roman" w:eastAsia="Times New Roman" w:hAnsi="Times New Roman" w:cs="Times New Roman"/>
        <w:sz w:val="19"/>
        <w:szCs w:val="19"/>
      </w:rPr>
    </w:pPr>
    <w:r>
      <w:drawing>
        <wp:anchor distT="0" distB="0" distL="0" distR="0" simplePos="0" relativeHeight="251665408"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705151251" name="IM 10"/>
          <wp:cNvGraphicFramePr/>
          <a:graphic xmlns:a="http://schemas.openxmlformats.org/drawingml/2006/main">
            <a:graphicData uri="http://schemas.openxmlformats.org/drawingml/2006/picture">
              <pic:pic xmlns:pic="http://schemas.openxmlformats.org/drawingml/2006/picture">
                <pic:nvPicPr>
                  <pic:cNvPr id="705151251" name="IM 10"/>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rFonts w:ascii="Times New Roman" w:eastAsia="Times New Roman" w:hAnsi="Times New Roman" w:cs="Times New Roman"/>
        <w:spacing w:val="-2"/>
        <w:sz w:val="19"/>
        <w:szCs w:val="19"/>
      </w:rPr>
      <w:t>JJG</w:t>
    </w:r>
    <w:r>
      <w:rPr>
        <w:rFonts w:ascii="Times New Roman" w:eastAsia="Times New Roman" w:hAnsi="Times New Roman" w:cs="Times New Roman"/>
        <w:spacing w:val="8"/>
        <w:sz w:val="19"/>
        <w:szCs w:val="19"/>
      </w:rPr>
      <w:t xml:space="preserve">    </w:t>
    </w:r>
    <w:r>
      <w:rPr>
        <w:rFonts w:ascii="Times New Roman" w:eastAsia="Times New Roman" w:hAnsi="Times New Roman" w:cs="Times New Roman"/>
        <w:spacing w:val="-2"/>
        <w:sz w:val="19"/>
        <w:szCs w:val="19"/>
      </w:rPr>
      <w:t>520—2005</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00"/>
      <w:rPr>
        <w:rFonts w:ascii="Times New Roman" w:eastAsia="Times New Roman" w:hAnsi="Times New Roman" w:cs="Times New Roman"/>
        <w:sz w:val="23"/>
        <w:szCs w:val="23"/>
      </w:rPr>
    </w:pPr>
    <w:r>
      <w:drawing>
        <wp:anchor distT="0" distB="0" distL="0" distR="0" simplePos="0" relativeHeight="251666432"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rFonts w:ascii="Times New Roman" w:eastAsia="Times New Roman" w:hAnsi="Times New Roman" w:cs="Times New Roman"/>
        <w:spacing w:val="-8"/>
        <w:sz w:val="23"/>
        <w:szCs w:val="23"/>
      </w:rPr>
      <w:t>JJG 520—2005</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00"/>
      <w:rPr>
        <w:rFonts w:ascii="Times New Roman" w:eastAsia="Times New Roman" w:hAnsi="Times New Roman" w:cs="Times New Roman"/>
        <w:sz w:val="23"/>
        <w:szCs w:val="23"/>
      </w:rPr>
    </w:pPr>
    <w:r>
      <w:drawing>
        <wp:anchor distT="0" distB="0" distL="0" distR="0" simplePos="0" relativeHeight="251667456"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1661565767" name="IM 14"/>
          <wp:cNvGraphicFramePr/>
          <a:graphic xmlns:a="http://schemas.openxmlformats.org/drawingml/2006/main">
            <a:graphicData uri="http://schemas.openxmlformats.org/drawingml/2006/picture">
              <pic:pic xmlns:pic="http://schemas.openxmlformats.org/drawingml/2006/picture">
                <pic:nvPicPr>
                  <pic:cNvPr id="1661565767" name="IM 14"/>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rFonts w:ascii="Times New Roman" w:eastAsia="Times New Roman" w:hAnsi="Times New Roman" w:cs="Times New Roman"/>
        <w:spacing w:val="-8"/>
        <w:sz w:val="23"/>
        <w:szCs w:val="23"/>
      </w:rPr>
      <w:t>JJG 520—2005</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00"/>
      <w:rPr>
        <w:rFonts w:ascii="Times New Roman" w:eastAsia="Times New Roman" w:hAnsi="Times New Roman" w:cs="Times New Roman"/>
        <w:sz w:val="22"/>
        <w:szCs w:val="22"/>
      </w:rPr>
    </w:pPr>
    <w:r>
      <w:drawing>
        <wp:anchor distT="0" distB="0" distL="0" distR="0" simplePos="0" relativeHeight="251668480"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rFonts w:ascii="Times New Roman" w:eastAsia="Times New Roman" w:hAnsi="Times New Roman" w:cs="Times New Roman"/>
        <w:spacing w:val="-3"/>
        <w:sz w:val="22"/>
        <w:szCs w:val="22"/>
      </w:rPr>
      <w:t>JJG 520—2005</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00"/>
      <w:rPr>
        <w:rFonts w:ascii="Times New Roman" w:eastAsia="Times New Roman" w:hAnsi="Times New Roman" w:cs="Times New Roman"/>
        <w:sz w:val="22"/>
        <w:szCs w:val="22"/>
      </w:rPr>
    </w:pPr>
    <w:r>
      <w:drawing>
        <wp:anchor distT="0" distB="0" distL="0" distR="0" simplePos="0" relativeHeight="251669504" behindDoc="0" locked="0" layoutInCell="0" allowOverlap="1">
          <wp:simplePos x="0" y="0"/>
          <wp:positionH relativeFrom="page">
            <wp:posOffset>863601</wp:posOffset>
          </wp:positionH>
          <wp:positionV relativeFrom="page">
            <wp:posOffset>946132</wp:posOffset>
          </wp:positionV>
          <wp:extent cx="5829293" cy="6350"/>
          <wp:effectExtent l="0" t="0" r="0" b="0"/>
          <wp:wrapNone/>
          <wp:docPr id="626197608" name="IM 22"/>
          <wp:cNvGraphicFramePr/>
          <a:graphic xmlns:a="http://schemas.openxmlformats.org/drawingml/2006/main">
            <a:graphicData uri="http://schemas.openxmlformats.org/drawingml/2006/picture">
              <pic:pic xmlns:pic="http://schemas.openxmlformats.org/drawingml/2006/picture">
                <pic:nvPicPr>
                  <pic:cNvPr id="626197608" name="IM 22"/>
                  <pic:cNvPicPr/>
                </pic:nvPicPr>
                <pic:blipFill>
                  <a:blip xmlns:r="http://schemas.openxmlformats.org/officeDocument/2006/relationships" r:embed="rId1"/>
                  <a:stretch>
                    <a:fillRect/>
                  </a:stretch>
                </pic:blipFill>
                <pic:spPr>
                  <a:xfrm>
                    <a:off x="0" y="0"/>
                    <a:ext cx="5829293" cy="6350"/>
                  </a:xfrm>
                  <a:prstGeom prst="rect">
                    <a:avLst/>
                  </a:prstGeom>
                </pic:spPr>
              </pic:pic>
            </a:graphicData>
          </a:graphic>
        </wp:anchor>
      </w:drawing>
    </w:r>
    <w:r>
      <w:rPr>
        <w:rFonts w:ascii="Times New Roman" w:eastAsia="Times New Roman" w:hAnsi="Times New Roman" w:cs="Times New Roman"/>
        <w:spacing w:val="-3"/>
        <w:sz w:val="22"/>
        <w:szCs w:val="22"/>
      </w:rPr>
      <w:t>JJG 520—2005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yperlink" Target="6.1.1.1" TargetMode="External" /><Relationship Id="rId14" Type="http://schemas.openxmlformats.org/officeDocument/2006/relationships/hyperlink" Target="6.1.1.2" TargetMode="External" /><Relationship Id="rId15" Type="http://schemas.openxmlformats.org/officeDocument/2006/relationships/hyperlink" Target="6.1.2.1" TargetMode="External" /><Relationship Id="rId16" Type="http://schemas.openxmlformats.org/officeDocument/2006/relationships/hyperlink" Target="6.1.2.2" TargetMode="External" /><Relationship Id="rId17" Type="http://schemas.openxmlformats.org/officeDocument/2006/relationships/hyperlink" Target="6.1.2.3" TargetMode="External" /><Relationship Id="rId18" Type="http://schemas.openxmlformats.org/officeDocument/2006/relationships/hyperlink" Target="6.1.2.4" TargetMode="Externa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yperlink" Target="6.1.2.5" TargetMode="External" /><Relationship Id="rId22" Type="http://schemas.openxmlformats.org/officeDocument/2006/relationships/hyperlink" Target="6.1.2.6" TargetMode="External" /><Relationship Id="rId23" Type="http://schemas.openxmlformats.org/officeDocument/2006/relationships/hyperlink" Target="6.1.2.7" TargetMode="External" /><Relationship Id="rId24" Type="http://schemas.openxmlformats.org/officeDocument/2006/relationships/hyperlink" Target="6.1.2.8" TargetMode="External" /><Relationship Id="rId25" Type="http://schemas.openxmlformats.org/officeDocument/2006/relationships/hyperlink" Target="6.1.2.9" TargetMode="External"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image" Target="media/image3.png" /><Relationship Id="rId29" Type="http://schemas.openxmlformats.org/officeDocument/2006/relationships/hyperlink" Target="6.3.2.1" TargetMode="External" /><Relationship Id="rId3" Type="http://schemas.openxmlformats.org/officeDocument/2006/relationships/fontTable" Target="fontTable.xml" /><Relationship Id="rId30" Type="http://schemas.openxmlformats.org/officeDocument/2006/relationships/hyperlink" Target="6.3.2.2" TargetMode="External" /><Relationship Id="rId31" Type="http://schemas.openxmlformats.org/officeDocument/2006/relationships/hyperlink" Target="6.3.2.3" TargetMode="External" /><Relationship Id="rId32" Type="http://schemas.openxmlformats.org/officeDocument/2006/relationships/hyperlink" Target="6.3.2.4" TargetMode="External" /><Relationship Id="rId33" Type="http://schemas.openxmlformats.org/officeDocument/2006/relationships/header" Target="header7.xml" /><Relationship Id="rId34" Type="http://schemas.openxmlformats.org/officeDocument/2006/relationships/footer" Target="footer7.xml" /><Relationship Id="rId35" Type="http://schemas.openxmlformats.org/officeDocument/2006/relationships/header" Target="header8.xml" /><Relationship Id="rId36" Type="http://schemas.openxmlformats.org/officeDocument/2006/relationships/footer" Target="footer8.xml" /><Relationship Id="rId37" Type="http://schemas.openxmlformats.org/officeDocument/2006/relationships/image" Target="media/image4.png" /><Relationship Id="rId38" Type="http://schemas.openxmlformats.org/officeDocument/2006/relationships/image" Target="media/image5.jpeg" /><Relationship Id="rId39" Type="http://schemas.openxmlformats.org/officeDocument/2006/relationships/image" Target="media/image6.jpeg" /><Relationship Id="rId4" Type="http://schemas.openxmlformats.org/officeDocument/2006/relationships/image" Target="media/image1.png" /><Relationship Id="rId40" Type="http://schemas.openxmlformats.org/officeDocument/2006/relationships/hyperlink" Target="6.3.2.5" TargetMode="External" /><Relationship Id="rId41" Type="http://schemas.openxmlformats.org/officeDocument/2006/relationships/header" Target="header9.xml" /><Relationship Id="rId42" Type="http://schemas.openxmlformats.org/officeDocument/2006/relationships/footer" Target="footer9.xml" /><Relationship Id="rId43" Type="http://schemas.openxmlformats.org/officeDocument/2006/relationships/hyperlink" Target="6.3.2.6" TargetMode="External" /><Relationship Id="rId44" Type="http://schemas.openxmlformats.org/officeDocument/2006/relationships/header" Target="header10.xml" /><Relationship Id="rId45" Type="http://schemas.openxmlformats.org/officeDocument/2006/relationships/footer" Target="footer10.xml" /><Relationship Id="rId46" Type="http://schemas.openxmlformats.org/officeDocument/2006/relationships/image" Target="media/image7.png" /><Relationship Id="rId47" Type="http://schemas.openxmlformats.org/officeDocument/2006/relationships/image" Target="media/image8.jpeg" /><Relationship Id="rId48" Type="http://schemas.openxmlformats.org/officeDocument/2006/relationships/hyperlink" Target="6.3.3.1" TargetMode="External" /><Relationship Id="rId49" Type="http://schemas.openxmlformats.org/officeDocument/2006/relationships/hyperlink" Target="6.3.3.2" TargetMode="External" /><Relationship Id="rId5" Type="http://schemas.openxmlformats.org/officeDocument/2006/relationships/header" Target="header1.xml" /><Relationship Id="rId50" Type="http://schemas.openxmlformats.org/officeDocument/2006/relationships/header" Target="header11.xml" /><Relationship Id="rId51" Type="http://schemas.openxmlformats.org/officeDocument/2006/relationships/footer" Target="footer11.xml" /><Relationship Id="rId52" Type="http://schemas.openxmlformats.org/officeDocument/2006/relationships/image" Target="media/image9.jpeg" /><Relationship Id="rId53" Type="http://schemas.openxmlformats.org/officeDocument/2006/relationships/hyperlink" Target="6.3.4.1" TargetMode="External" /><Relationship Id="rId54" Type="http://schemas.openxmlformats.org/officeDocument/2006/relationships/hyperlink" Target="https://d.book118.com/696142212033010033" TargetMode="External" /><Relationship Id="rId55" Type="http://schemas.openxmlformats.org/officeDocument/2006/relationships/header" Target="header12.xml" /><Relationship Id="rId56" Type="http://schemas.openxmlformats.org/officeDocument/2006/relationships/footer" Target="footer12.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s>
</file>

<file path=word/_rels/header12.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2024-01-10T22:22:17Z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2024-01-10T22:22:19Z</vt:filetime>
  </property>
  <property fmtid="{D5CDD505-2E9C-101B-9397-08002B2CF9AE}" pid="3" name="CRO">
    <vt:lpwstr>wqlLaW5nc29mdCBQREYgdG8gV1BTIDkw</vt:lpwstr>
  </property>
  <property fmtid="{D5CDD505-2E9C-101B-9397-08002B2CF9AE}" pid="4" name="UsrData">
    <vt:lpwstr>659ea8164bc505001ff6c1c8wl</vt:lpwstr>
  </property>
</Properties>
</file>