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A15B9" w14:paraId="6FD0E6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15B9" w14:paraId="59E46E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15B9" w14:paraId="640769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A15B9" w:rsidRPr="002A15B9" w14:paraId="46E805AE" w14:textId="6954A12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A15B9">
        <w:rPr>
          <w:rFonts w:ascii="宋体" w:eastAsia="宋体" w:hAnsi="宋体" w:hint="eastAsia"/>
          <w:b/>
          <w:sz w:val="60"/>
        </w:rPr>
        <w:t>云物融合项目指标评估报告</w:t>
      </w:r>
    </w:p>
    <w:p w:rsidR="002A15B9" w:rsidP="002A15B9" w14:paraId="1CC5E279" w14:textId="71B4FA0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A15B9">
        <w:rPr>
          <w:rFonts w:ascii="仿宋" w:eastAsia="仿宋" w:hAnsi="仿宋" w:hint="eastAsia"/>
          <w:b/>
          <w:sz w:val="40"/>
        </w:rPr>
        <w:t>目录</w:t>
      </w:r>
    </w:p>
    <w:p w:rsidR="002A15B9" w14:paraId="76D461D3" w14:textId="366282F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15B9" w14:paraId="4CB9D14A" w14:textId="1075AD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15B9" w14:paraId="0F9EE49E" w14:textId="592F4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15B9" w14:paraId="5DB547FB" w14:textId="5D026E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A15B9" w14:paraId="0E974612" w14:textId="2E08C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15B9" w14:paraId="5C67EADE" w14:textId="2E297F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15B9" w14:paraId="19AA27AF" w14:textId="050DE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(一)、云物融合项目工程设计总体要求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15B9" w14:paraId="2FC120AB" w14:textId="17F19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A15B9" w14:paraId="1F0F0D86" w14:textId="4C2B7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A15B9" w14:paraId="1F869982" w14:textId="2D16E7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A15B9" w14:paraId="09BBE32D" w14:textId="7393B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A15B9" w14:paraId="0806EBC0" w14:textId="552E3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A15B9" w14:paraId="0C8ED349" w14:textId="729FF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A15B9" w14:paraId="5E4C4347" w14:textId="0A3F83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A15B9" w14:paraId="2EBDD7A1" w14:textId="73738E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A15B9" w14:paraId="4406175A" w14:textId="66614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A15B9" w14:paraId="38BAA5B2" w14:textId="6CDFA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A15B9" w14:paraId="6B737ADF" w14:textId="72585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A15B9" w14:paraId="483DBBB7" w14:textId="18E92A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A15B9" w14:paraId="03573B51" w14:textId="68EBE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A15B9" w14:paraId="448B521D" w14:textId="781FFAC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(二)、云物融合项目技术工艺简要分析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A15B9" w14:paraId="2FDA0B83" w14:textId="75A0D0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A15B9" w14:paraId="5AF8666C" w14:textId="5C06A5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(四)、云物融合项目技术流程简述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A15B9" w14:paraId="067E222B" w14:textId="31E77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_Toc153402394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A15B9" w14:paraId="2FF1726F" w14:textId="071A44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A15B9" w14:paraId="5CBFE99C" w14:textId="15F8B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A15B9" w14:paraId="4971E4FB" w14:textId="31304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A15B9" w14:paraId="316A4CD2" w14:textId="5381CF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_Toc153402398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A15B9" w14:paraId="5611F3BF" w14:textId="2EECC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_Toc153402399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A15B9" w14:paraId="09C0CFF7" w14:textId="6C6E3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_Toc153402400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A15B9" w14:paraId="44F6E795" w14:textId="657A8C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A15B9" w14:paraId="4F1F2974" w14:textId="1482E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_Toc153402402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A15B9" w14:paraId="79861750" w14:textId="4494A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A15B9" w14:paraId="28393F8A" w14:textId="2BC866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_Toc153402404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A15B9" w14:paraId="37476521" w14:textId="58FC98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A15B9" w14:paraId="48FF6E37" w14:textId="16AEB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A15B9" w14:paraId="0A341BE9" w14:textId="25AF7D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A15B9" w14:paraId="0C1F6AA7" w14:textId="6BAA43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_Toc153402408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A15B9" w14:paraId="2C4B3434" w14:textId="22278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_Toc153402409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A15B9" w14:paraId="5C1E76D2" w14:textId="6D286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A15B9" w14:paraId="17C13E84" w14:textId="1F9662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A15B9" w14:paraId="6B881AD4" w14:textId="3D445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A15B9" w14:paraId="5F7A1ECA" w14:textId="642D122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_Toc153402413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A15B9" w14:paraId="6AFC1B40" w14:textId="5BC3B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A15B9" w14:paraId="64AE475B" w14:textId="09EFC2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A15B9" w14:paraId="0CF4577C" w14:textId="6904D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A15B9" w14:paraId="14CCF954" w14:textId="2C3929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A15B9" w14:paraId="1685D7B8" w14:textId="2F99F6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A15B9" w14:paraId="27B17D45" w14:textId="04DD4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(一)、云物融合项目风险分析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A15B9" w14:paraId="5F1F8839" w14:textId="4AC6B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(二)、云物融合项目风险对策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A15B9" w14:paraId="57B9C979" w14:textId="67FDFF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A15B9" w14:paraId="0D730DD6" w14:textId="01BB4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_Toc153402422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A15B9" w14:paraId="11E68D48" w14:textId="4894D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A15B9" w14:paraId="54C6C205" w14:textId="4FC4DF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A15B9" w14:paraId="680E22DD" w14:textId="26603A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_Toc153402425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A15B9" w14:paraId="015C6B74" w14:textId="72EB1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A15B9" w14:paraId="5192FB95" w14:textId="6CB82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A15B9" w14:paraId="0ECA770C" w14:textId="45EA4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A15B9" w14:paraId="0845C63A" w14:textId="775623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_Toc153402429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A15B9" w14:paraId="77D261C1" w14:textId="0D6EB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A15B9" w14:paraId="5CFD1C47" w14:textId="4B19AC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_Toc153402431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A15B9" w14:paraId="7532B0AC" w14:textId="01E4A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_Toc153402432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A15B9" w14:paraId="34B0B15E" w14:textId="423438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_Toc153402433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A15B9" w14:paraId="799138CA" w14:textId="5E20A3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_Toc153402434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A15B9" w14:paraId="533C8ED3" w14:textId="516D0A2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A15B9" w14:paraId="55400ECA" w14:textId="0D54C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A15B9" w14:paraId="158448EE" w14:textId="73F68F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A15B9" w14:paraId="0EEE9B5F" w14:textId="63E26B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A15B9" w14:paraId="72CB34DF" w14:textId="0F581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A15B9" w14:paraId="78B8330A" w14:textId="4BFE3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_Toc153402440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A15B9" w:rsidP="002A15B9" w14:paraId="7FDBA510" w14:textId="4D8AF35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A15B9" w:rsidP="002A15B9" w14:paraId="4D2D361B" w14:textId="2F08CE35">
      <w:pPr>
        <w:pStyle w:val="Heading1"/>
        <w:jc w:val="center"/>
        <w:rPr>
          <w:rFonts w:hint="eastAsia"/>
        </w:rPr>
      </w:pPr>
      <w:bookmarkStart w:id="0" w:name="_Toc153402371"/>
      <w:r w:rsidRPr="002A15B9">
        <w:rPr>
          <w:rFonts w:hint="eastAsia"/>
        </w:rPr>
        <w:t>序言</w:t>
      </w:r>
      <w:bookmarkEnd w:id="0"/>
    </w:p>
    <w:p w:rsidR="002A15B9" w:rsidP="002A15B9" w14:paraId="68D6E219" w14:textId="16ACCE0C">
      <w:pPr>
        <w:ind w:firstLine="560" w:firstLineChars="200"/>
        <w:rPr>
          <w:rFonts w:ascii="仿宋" w:eastAsia="仿宋" w:hint="eastAsia"/>
          <w:sz w:val="28"/>
        </w:rPr>
      </w:pPr>
      <w:r w:rsidRPr="002A15B9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2A15B9" w:rsidP="002A15B9" w14:paraId="2D2B0098" w14:textId="65C283AF">
      <w:pPr>
        <w:pStyle w:val="Heading1"/>
        <w:rPr>
          <w:rFonts w:hint="eastAsia"/>
        </w:rPr>
      </w:pPr>
      <w:bookmarkStart w:id="1" w:name="_Toc153402372"/>
      <w:r w:rsidRPr="002A15B9">
        <w:rPr>
          <w:rFonts w:hint="eastAsia"/>
        </w:rPr>
        <w:t>一、社交媒体与在线营销</w:t>
      </w:r>
      <w:bookmarkEnd w:id="1"/>
    </w:p>
    <w:p w:rsidR="002A15B9" w:rsidP="002A15B9" w14:paraId="05EBEF84" w14:textId="4750497C">
      <w:pPr>
        <w:pStyle w:val="Heading2"/>
      </w:pPr>
      <w:bookmarkStart w:id="2" w:name="_Toc153402373"/>
      <w:r w:rsidRPr="002A15B9">
        <w:t>(一)、社交媒体策略</w:t>
      </w:r>
      <w:bookmarkEnd w:id="2"/>
    </w:p>
    <w:p w:rsidR="002A15B9" w:rsidRPr="002A15B9" w:rsidP="002A15B9" w14:paraId="5CFA830E" w14:textId="77777777">
      <w:pPr>
        <w:ind w:firstLine="560" w:firstLineChars="200"/>
        <w:rPr>
          <w:rFonts w:ascii="仿宋" w:eastAsia="仿宋" w:hAnsi="仿宋"/>
          <w:sz w:val="28"/>
        </w:rPr>
      </w:pPr>
      <w:r w:rsidRPr="002A15B9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2A15B9">
        <w:rPr>
          <w:rFonts w:ascii="仿宋" w:eastAsia="仿宋" w:hAnsi="仿宋"/>
          <w:sz w:val="28"/>
        </w:rPr>
        <w:t>XXXX等。</w:t>
      </w:r>
    </w:p>
    <w:p w:rsidR="002A15B9" w:rsidRPr="002A15B9" w:rsidP="002A15B9" w14:paraId="27028C43" w14:textId="77777777">
      <w:pPr>
        <w:ind w:firstLine="560" w:firstLineChars="200"/>
        <w:rPr>
          <w:rFonts w:ascii="仿宋" w:eastAsia="仿宋" w:hAnsi="仿宋"/>
          <w:sz w:val="28"/>
        </w:rPr>
      </w:pPr>
      <w:r w:rsidRPr="002A15B9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2A15B9" w:rsidRPr="002A15B9" w:rsidP="002A15B9" w14:paraId="38E4626B" w14:textId="77777777">
      <w:pPr>
        <w:ind w:firstLine="560" w:firstLineChars="200"/>
        <w:rPr>
          <w:rFonts w:ascii="仿宋" w:eastAsia="仿宋" w:hAnsi="仿宋"/>
          <w:sz w:val="28"/>
        </w:rPr>
      </w:pPr>
      <w:r w:rsidRPr="002A15B9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2A15B9" w:rsidP="002A15B9" w14:paraId="59B40A75" w14:textId="2CA06ACE">
      <w:pPr>
        <w:ind w:firstLine="560" w:firstLineChars="200"/>
        <w:rPr>
          <w:rFonts w:ascii="仿宋" w:eastAsia="仿宋" w:hAnsi="仿宋" w:hint="eastAsia"/>
          <w:sz w:val="28"/>
        </w:rPr>
      </w:pPr>
      <w:r w:rsidRPr="002A15B9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2A15B9" w:rsidP="002A15B9" w14:paraId="01F5F9E8" w14:textId="5480FAB1">
      <w:pPr>
        <w:pStyle w:val="Heading2"/>
      </w:pPr>
      <w:bookmarkStart w:id="3" w:name="_Toc153402374"/>
      <w:r w:rsidRPr="002A15B9">
        <w:t>(二)、在线广告与内容营销</w:t>
      </w:r>
      <w:bookmarkEnd w:id="3"/>
    </w:p>
    <w:p w:rsidR="002A15B9" w:rsidRPr="002A15B9" w:rsidP="002A15B9" w14:paraId="5FD21B1B" w14:textId="77777777">
      <w:pPr>
        <w:ind w:firstLine="560" w:firstLineChars="200"/>
        <w:rPr>
          <w:rFonts w:ascii="仿宋" w:eastAsia="仿宋" w:hAnsi="仿宋"/>
          <w:sz w:val="28"/>
        </w:rPr>
      </w:pPr>
      <w:r w:rsidRPr="002A15B9">
        <w:rPr>
          <w:rFonts w:ascii="仿宋" w:eastAsia="仿宋" w:hAnsi="仿宋" w:hint="eastAsia"/>
          <w:sz w:val="28"/>
        </w:rPr>
        <w:t>选择合适的在线广告渠道，如</w:t>
      </w:r>
      <w:r w:rsidRPr="002A15B9">
        <w:rPr>
          <w:rFonts w:ascii="仿宋" w:eastAsia="仿宋" w:hAnsi="仿宋"/>
          <w:sz w:val="28"/>
        </w:rPr>
        <w:t>xxx、社交媒体广告等。</w:t>
      </w:r>
    </w:p>
    <w:p w:rsidR="002A15B9" w:rsidRPr="002A15B9" w:rsidP="002A15B9" w14:paraId="0D241D6F" w14:textId="77777777">
      <w:pPr>
        <w:ind w:firstLine="560" w:firstLineChars="200"/>
        <w:rPr>
          <w:rFonts w:ascii="仿宋" w:eastAsia="仿宋" w:hAnsi="仿宋"/>
          <w:sz w:val="28"/>
        </w:rPr>
      </w:pPr>
      <w:r w:rsidRPr="002A15B9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2A15B9" w:rsidRPr="002A15B9" w:rsidP="002A15B9" w14:paraId="0768FEC4" w14:textId="77777777">
      <w:pPr>
        <w:ind w:firstLine="560" w:firstLineChars="200"/>
        <w:rPr>
          <w:rFonts w:ascii="仿宋" w:eastAsia="仿宋" w:hAnsi="仿宋"/>
          <w:sz w:val="28"/>
        </w:rPr>
      </w:pPr>
      <w:r w:rsidRPr="002A15B9">
        <w:rPr>
          <w:rFonts w:ascii="仿宋" w:eastAsia="仿宋" w:hAnsi="仿宋" w:hint="eastAsia"/>
          <w:sz w:val="28"/>
        </w:rPr>
        <w:t>制定广告预算并管理广告开支。</w:t>
      </w:r>
    </w:p>
    <w:p w:rsidR="002A15B9" w:rsidRPr="002A15B9" w:rsidP="002A15B9" w14:paraId="1EB7520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A15B9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2A15B9" w:rsidP="002A15B9" w14:paraId="6BC0B1DC" w14:textId="79D29122">
      <w:pPr>
        <w:ind w:firstLine="560" w:firstLineChars="200"/>
        <w:rPr>
          <w:rFonts w:ascii="仿宋" w:eastAsia="仿宋" w:hAnsi="仿宋" w:hint="eastAsia"/>
          <w:sz w:val="28"/>
        </w:rPr>
      </w:pPr>
      <w:r w:rsidRPr="002A15B9">
        <w:rPr>
          <w:rFonts w:ascii="仿宋" w:eastAsia="仿宋" w:hAnsi="仿宋" w:hint="eastAsia"/>
          <w:sz w:val="28"/>
        </w:rPr>
        <w:t>优化网站以提高在搜索引擎上的可见性。</w:t>
      </w:r>
    </w:p>
    <w:p w:rsidR="002A15B9" w:rsidP="002A15B9" w14:paraId="6AE4E77C" w14:textId="6A9178D4">
      <w:pPr>
        <w:pStyle w:val="Heading2"/>
      </w:pPr>
      <w:bookmarkStart w:id="4" w:name="_Toc153402375"/>
      <w:r w:rsidRPr="002A15B9">
        <w:t>(三)、社交媒体分析与ROI</w:t>
      </w:r>
      <w:bookmarkEnd w:id="4"/>
    </w:p>
    <w:p w:rsidR="002A15B9" w:rsidRPr="002A15B9" w:rsidP="002A15B9" w14:paraId="4C32D084" w14:textId="77777777">
      <w:pPr>
        <w:ind w:firstLine="560" w:firstLineChars="200"/>
        <w:rPr>
          <w:rFonts w:ascii="仿宋" w:eastAsia="仿宋" w:hAnsi="仿宋"/>
          <w:sz w:val="28"/>
        </w:rPr>
      </w:pPr>
      <w:r w:rsidRPr="002A15B9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2A15B9" w:rsidRPr="002A15B9" w:rsidP="002A15B9" w14:paraId="22158EB1" w14:textId="77777777">
      <w:pPr>
        <w:ind w:firstLine="560" w:firstLineChars="200"/>
        <w:rPr>
          <w:rFonts w:ascii="仿宋" w:eastAsia="仿宋" w:hAnsi="仿宋"/>
          <w:sz w:val="28"/>
        </w:rPr>
      </w:pPr>
      <w:r w:rsidRPr="002A15B9">
        <w:rPr>
          <w:rFonts w:ascii="仿宋" w:eastAsia="仿宋" w:hAnsi="仿宋" w:hint="eastAsia"/>
          <w:sz w:val="28"/>
        </w:rPr>
        <w:t>使用分析工具如</w:t>
      </w:r>
      <w:r w:rsidRPr="002A15B9">
        <w:rPr>
          <w:rFonts w:ascii="仿宋" w:eastAsia="仿宋" w:hAnsi="仿宋"/>
          <w:sz w:val="28"/>
        </w:rPr>
        <w:t>XXX、社交媒体分析工具来监测表现。</w:t>
      </w:r>
    </w:p>
    <w:p w:rsidR="002A15B9" w:rsidP="002A15B9" w14:paraId="38468BF3" w14:textId="300FE0DD">
      <w:pPr>
        <w:ind w:firstLine="560" w:firstLineChars="200"/>
        <w:rPr>
          <w:rFonts w:ascii="仿宋" w:eastAsia="仿宋" w:hAnsi="仿宋" w:hint="eastAsia"/>
          <w:sz w:val="28"/>
        </w:rPr>
      </w:pPr>
      <w:r w:rsidRPr="002A15B9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2A15B9" w:rsidP="002A15B9" w14:paraId="5DD3EA31" w14:textId="25CC30CB">
      <w:pPr>
        <w:pStyle w:val="Heading1"/>
        <w:rPr>
          <w:rFonts w:hint="eastAsia"/>
        </w:rPr>
      </w:pPr>
      <w:bookmarkStart w:id="5" w:name="_Toc153402376"/>
      <w:r w:rsidRPr="002A15B9">
        <w:rPr>
          <w:rFonts w:hint="eastAsia"/>
        </w:rPr>
        <w:t>二、建筑技术方案说明</w:t>
      </w:r>
      <w:bookmarkEnd w:id="5"/>
    </w:p>
    <w:p w:rsidR="002A15B9" w:rsidP="002A15B9" w14:paraId="223174CC" w14:textId="5E5A7619">
      <w:pPr>
        <w:pStyle w:val="Heading2"/>
      </w:pPr>
      <w:bookmarkStart w:id="6" w:name="_Toc153402377"/>
      <w:r w:rsidRPr="002A15B9">
        <w:t>(一)、云物融合项目工程设计总体要求</w:t>
      </w:r>
      <w:bookmarkEnd w:id="6"/>
    </w:p>
    <w:p w:rsidR="002A15B9" w:rsidRPr="002A15B9" w:rsidP="002A15B9" w14:paraId="31438240" w14:textId="77777777">
      <w:pPr>
        <w:ind w:firstLine="560" w:firstLineChars="200"/>
        <w:rPr>
          <w:rFonts w:ascii="仿宋" w:eastAsia="仿宋" w:hAnsi="仿宋"/>
          <w:sz w:val="28"/>
        </w:rPr>
      </w:pPr>
      <w:r w:rsidRPr="002A15B9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2A15B9" w:rsidRPr="002A15B9" w:rsidP="002A15B9" w14:paraId="51BDA3FF" w14:textId="77777777">
      <w:pPr>
        <w:ind w:firstLine="560" w:firstLineChars="200"/>
        <w:rPr>
          <w:rFonts w:ascii="仿宋" w:eastAsia="仿宋" w:hAnsi="仿宋"/>
          <w:sz w:val="28"/>
        </w:rPr>
      </w:pPr>
      <w:r w:rsidRPr="002A15B9">
        <w:rPr>
          <w:rFonts w:ascii="仿宋" w:eastAsia="仿宋" w:hAnsi="仿宋" w:hint="eastAsia"/>
          <w:sz w:val="28"/>
        </w:rPr>
        <w:t>工程施工进度要合理，以确保云物融合项目按计划完成，包括起始日期和完工日期。</w:t>
      </w:r>
    </w:p>
    <w:p w:rsidR="002A15B9" w:rsidRPr="002A15B9" w:rsidP="002A15B9" w14:paraId="749EA403" w14:textId="77777777">
      <w:pPr>
        <w:ind w:firstLine="560" w:firstLineChars="200"/>
        <w:rPr>
          <w:rFonts w:ascii="仿宋" w:eastAsia="仿宋" w:hAnsi="仿宋"/>
          <w:sz w:val="28"/>
        </w:rPr>
      </w:pPr>
      <w:r w:rsidRPr="002A15B9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2A15B9" w:rsidP="002A15B9" w14:paraId="4F9E4563" w14:textId="0506F922">
      <w:pPr>
        <w:ind w:firstLine="560" w:firstLineChars="200"/>
        <w:rPr>
          <w:rFonts w:ascii="仿宋" w:eastAsia="仿宋" w:hAnsi="仿宋" w:hint="eastAsia"/>
          <w:sz w:val="28"/>
        </w:rPr>
      </w:pPr>
      <w:r w:rsidRPr="002A15B9">
        <w:rPr>
          <w:rFonts w:ascii="仿宋" w:eastAsia="仿宋" w:hAnsi="仿宋" w:hint="eastAsia"/>
          <w:sz w:val="28"/>
        </w:rPr>
        <w:t>云物融合项目的施工和运营要考虑社会和环境的可持续性，以降低不利影响。</w:t>
      </w:r>
    </w:p>
    <w:p w:rsidR="002A15B9" w:rsidP="002A15B9" w14:paraId="76BA382A" w14:textId="610995AC">
      <w:pPr>
        <w:pStyle w:val="Heading2"/>
      </w:pPr>
      <w:bookmarkStart w:id="7" w:name="_Toc153402378"/>
      <w:r w:rsidRPr="002A15B9">
        <w:t>(二)、建设方案</w:t>
      </w:r>
      <w:bookmarkEnd w:id="7"/>
    </w:p>
    <w:p w:rsidR="002A15B9" w:rsidRPr="002A15B9" w:rsidP="002A15B9" w14:paraId="3368C058" w14:textId="77777777">
      <w:pPr>
        <w:ind w:firstLine="560" w:firstLineChars="200"/>
        <w:rPr>
          <w:rFonts w:ascii="仿宋" w:eastAsia="仿宋" w:hAnsi="仿宋"/>
          <w:sz w:val="28"/>
        </w:rPr>
      </w:pPr>
      <w:r w:rsidRPr="002A15B9">
        <w:rPr>
          <w:rFonts w:ascii="仿宋" w:eastAsia="仿宋" w:hAnsi="仿宋"/>
          <w:sz w:val="28"/>
        </w:rPr>
        <w:t>(一) 结构方案</w:t>
      </w:r>
      <w:r w:rsidRPr="002A15B9">
        <w:rPr>
          <w:rFonts w:ascii="仿宋" w:eastAsia="仿宋" w:hAnsi="仿宋"/>
          <w:sz w:val="28"/>
        </w:rPr>
        <w:br/>
      </w:r>
      <w:r w:rsidRPr="002A15B9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https://d.book118.com/696241023020010040</w:t>
        </w:r>
      </w:hyperlink>
    </w:p>
    <w:p w:rsidR="002A15B9" w:rsidRPr="002A15B9" w:rsidP="002A15B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:rsidP="001D5723" w14:paraId="2894C8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15B9" w14:paraId="60E1F81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:rsidP="001D5723" w14:paraId="6EE4ED31" w14:textId="5E9400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A15B9" w14:paraId="37EB463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14:paraId="36919EE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:rsidP="001D57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15B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:rsidP="001D5723" w14:textId="5E9400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A15B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:rsidP="001D57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15B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:rsidP="001D5723" w14:textId="5E9400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A15B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:rsidP="001D57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15B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:rsidP="001D5723" w14:textId="5E9400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A15B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:rsidP="001D57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15B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:rsidP="001D5723" w14:textId="5E9400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A15B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:rsidP="001D57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15B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:rsidP="001D5723" w14:textId="5E9400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A15B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:rsidP="001D57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15B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:rsidP="001D5723" w14:textId="5E9400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A15B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14:paraId="7A4C4F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:rsidRPr="002A15B9" w:rsidP="002A15B9" w14:paraId="508F7E68" w14:textId="0B8A48FC">
    <w:pPr>
      <w:pStyle w:val="Header"/>
      <w:rPr>
        <w:rFonts w:ascii="仿宋" w:eastAsia="仿宋" w:hAnsi="仿宋"/>
      </w:rPr>
    </w:pPr>
    <w:r w:rsidRPr="002A15B9">
      <w:rPr>
        <w:rFonts w:ascii="仿宋" w:eastAsia="仿宋" w:hAnsi="仿宋" w:hint="eastAsia"/>
      </w:rPr>
      <w:t>云物融合项目指标评估报告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14:paraId="64745F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:rsidRPr="002A15B9" w:rsidP="002A15B9" w14:textId="0B8A48FC">
    <w:pPr>
      <w:pStyle w:val="Header"/>
      <w:rPr>
        <w:rFonts w:ascii="仿宋" w:eastAsia="仿宋" w:hAnsi="仿宋"/>
      </w:rPr>
    </w:pPr>
    <w:r w:rsidRPr="002A15B9">
      <w:rPr>
        <w:rFonts w:ascii="仿宋" w:eastAsia="仿宋" w:hAnsi="仿宋" w:hint="eastAsia"/>
      </w:rPr>
      <w:t>云物融合项目指标评估报告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:rsidRPr="002A15B9" w:rsidP="002A15B9" w14:textId="0B8A48FC">
    <w:pPr>
      <w:pStyle w:val="Header"/>
      <w:rPr>
        <w:rFonts w:ascii="仿宋" w:eastAsia="仿宋" w:hAnsi="仿宋"/>
      </w:rPr>
    </w:pPr>
    <w:r w:rsidRPr="002A15B9">
      <w:rPr>
        <w:rFonts w:ascii="仿宋" w:eastAsia="仿宋" w:hAnsi="仿宋" w:hint="eastAsia"/>
      </w:rPr>
      <w:t>云物融合项目指标评估报告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:rsidRPr="002A15B9" w:rsidP="002A15B9" w14:textId="0B8A48FC">
    <w:pPr>
      <w:pStyle w:val="Header"/>
      <w:rPr>
        <w:rFonts w:ascii="仿宋" w:eastAsia="仿宋" w:hAnsi="仿宋"/>
      </w:rPr>
    </w:pPr>
    <w:r w:rsidRPr="002A15B9">
      <w:rPr>
        <w:rFonts w:ascii="仿宋" w:eastAsia="仿宋" w:hAnsi="仿宋" w:hint="eastAsia"/>
      </w:rPr>
      <w:t>云物融合项目指标评估报告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:rsidRPr="002A15B9" w:rsidP="002A15B9" w14:textId="0B8A48FC">
    <w:pPr>
      <w:pStyle w:val="Header"/>
      <w:rPr>
        <w:rFonts w:ascii="仿宋" w:eastAsia="仿宋" w:hAnsi="仿宋"/>
      </w:rPr>
    </w:pPr>
    <w:r w:rsidRPr="002A15B9">
      <w:rPr>
        <w:rFonts w:ascii="仿宋" w:eastAsia="仿宋" w:hAnsi="仿宋" w:hint="eastAsia"/>
      </w:rPr>
      <w:t>云物融合项目指标评估报告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:rsidRPr="002A15B9" w:rsidP="002A15B9" w14:textId="0B8A48FC">
    <w:pPr>
      <w:pStyle w:val="Header"/>
      <w:rPr>
        <w:rFonts w:ascii="仿宋" w:eastAsia="仿宋" w:hAnsi="仿宋"/>
      </w:rPr>
    </w:pPr>
    <w:r w:rsidRPr="002A15B9">
      <w:rPr>
        <w:rFonts w:ascii="仿宋" w:eastAsia="仿宋" w:hAnsi="仿宋" w:hint="eastAsia"/>
      </w:rPr>
      <w:t>云物融合项目指标评估报告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:rsidRPr="002A15B9" w:rsidP="002A15B9" w14:textId="0B8A48FC">
    <w:pPr>
      <w:pStyle w:val="Header"/>
      <w:rPr>
        <w:rFonts w:ascii="仿宋" w:eastAsia="仿宋" w:hAnsi="仿宋"/>
      </w:rPr>
    </w:pPr>
    <w:r w:rsidRPr="002A15B9">
      <w:rPr>
        <w:rFonts w:ascii="仿宋" w:eastAsia="仿宋" w:hAnsi="仿宋" w:hint="eastAsia"/>
      </w:rPr>
      <w:t>云物融合项目指标评估报告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15B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5B9"/>
    <w:rsid w:val="001D5723"/>
    <w:rsid w:val="002A15B9"/>
    <w:rsid w:val="00FE4E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31290D"/>
  <w15:chartTrackingRefBased/>
  <w15:docId w15:val="{4698D225-A0BD-4294-A5B9-DEE3BCD03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A15B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A15B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A15B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A15B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A15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A15B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A15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A15B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A15B9"/>
  </w:style>
  <w:style w:type="paragraph" w:styleId="TOC1">
    <w:name w:val="toc 1"/>
    <w:basedOn w:val="Normal"/>
    <w:next w:val="Normal"/>
    <w:autoRedefine/>
    <w:uiPriority w:val="39"/>
    <w:unhideWhenUsed/>
    <w:rsid w:val="002A15B9"/>
  </w:style>
  <w:style w:type="paragraph" w:styleId="TOC2">
    <w:name w:val="toc 2"/>
    <w:basedOn w:val="Normal"/>
    <w:next w:val="Normal"/>
    <w:autoRedefine/>
    <w:uiPriority w:val="39"/>
    <w:unhideWhenUsed/>
    <w:rsid w:val="002A15B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9624102302001004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3217</Words>
  <Characters>18343</Characters>
  <Application>Microsoft Office Word</Application>
  <DocSecurity>0</DocSecurity>
  <Lines>152</Lines>
  <Paragraphs>43</Paragraphs>
  <ScaleCrop>false</ScaleCrop>
  <Company/>
  <LinksUpToDate>false</LinksUpToDate>
  <CharactersWithSpaces>21517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2023-12-13T15:25:00Z</dcterms:created>
  <dcterms:modified xsi:type="dcterms:W3CDTF">2023-12-13T15:25:00Z</dcterms:modified>
</cp:coreProperties>
</file>