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18"/>
        <w:ind w:left="569" w:right="1148" w:firstLine="0"/>
        <w:jc w:val="center"/>
        <w:rPr>
          <w:rFonts w:ascii="华文中宋" w:eastAsia="华文中宋" w:hint="eastAsia"/>
          <w:sz w:val="108"/>
        </w:rPr>
      </w:pPr>
      <w:r>
        <w:rPr>
          <w:rFonts w:ascii="华文中宋" w:eastAsia="华文中宋" w:hint="eastAsia"/>
          <w:sz w:val="108"/>
        </w:rPr>
        <w:t>成都锦里</w:t>
      </w:r>
    </w:p>
    <w:p>
      <w:pPr>
        <w:pStyle w:val="Title"/>
      </w:pPr>
      <w:r>
        <w:rPr>
          <w:spacing w:val="-26"/>
        </w:rPr>
        <w:t>民 俗 风 情 商 业 街 区</w:t>
      </w:r>
    </w:p>
    <w:p>
      <w:pPr>
        <w:spacing w:before="663"/>
        <w:ind w:left="569" w:right="1148" w:firstLine="0"/>
        <w:jc w:val="center"/>
        <w:rPr>
          <w:rFonts w:ascii="幼圆" w:eastAsia="幼圆" w:hint="eastAsia"/>
          <w:sz w:val="108"/>
        </w:rPr>
      </w:pPr>
      <w:r>
        <w:rPr>
          <w:rFonts w:ascii="幼圆" w:eastAsia="幼圆" w:hint="eastAsia"/>
          <w:sz w:val="108"/>
        </w:rPr>
        <w:t>筹划方案</w:t>
      </w:r>
    </w:p>
    <w:p>
      <w:pPr>
        <w:spacing w:after="0"/>
        <w:jc w:val="center"/>
        <w:rPr>
          <w:rFonts w:ascii="幼圆" w:eastAsia="幼圆" w:hint="eastAsia"/>
          <w:sz w:val="108"/>
        </w:rPr>
        <w:sectPr>
          <w:footerReference w:type="default" r:id="rId4"/>
          <w:type w:val="continuous"/>
          <w:pgSz w:w="17860" w:h="25260"/>
          <w:pgMar w:top="2420" w:right="1480" w:bottom="2340" w:left="2320" w:header="708" w:footer="2147"/>
          <w:cols w:space="708"/>
        </w:sectPr>
      </w:pPr>
    </w:p>
    <w:p>
      <w:pPr>
        <w:pStyle w:val="Heading1"/>
        <w:spacing w:before="3"/>
      </w:pPr>
      <w:r>
        <w:rPr>
          <w:w w:val="95"/>
        </w:rPr>
        <w:t>一、工程名称：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"/>
        <w:rPr>
          <w:rFonts w:ascii="黑体"/>
          <w:sz w:val="19"/>
        </w:rPr>
      </w:pPr>
    </w:p>
    <w:p>
      <w:pPr>
        <w:tabs>
          <w:tab w:val="left" w:pos="5997"/>
        </w:tabs>
        <w:spacing w:before="101" w:line="573" w:lineRule="auto"/>
        <w:ind w:left="1071" w:right="4229" w:firstLine="3485"/>
        <w:jc w:val="left"/>
        <w:rPr>
          <w:rFonts w:ascii="黑体" w:eastAsia="黑体" w:hint="eastAsia"/>
          <w:sz w:val="48"/>
        </w:rPr>
      </w:pPr>
      <w:r>
        <w:rPr>
          <w:rFonts w:ascii="幼圆" w:eastAsia="幼圆" w:hint="eastAsia"/>
          <w:sz w:val="48"/>
          <w:vertAlign w:val="superscript"/>
        </w:rPr>
        <w:t>锦里</w:t>
      </w:r>
      <w:r>
        <w:rPr>
          <w:rFonts w:ascii="幼圆" w:eastAsia="幼圆" w:hint="eastAsia"/>
          <w:sz w:val="48"/>
          <w:vertAlign w:val="baseline"/>
        </w:rPr>
        <w:tab/>
      </w:r>
      <w:r>
        <w:rPr>
          <w:rFonts w:ascii="黑体" w:eastAsia="黑体" w:hint="eastAsia"/>
          <w:spacing w:val="-2"/>
          <w:sz w:val="48"/>
          <w:vertAlign w:val="baseline"/>
        </w:rPr>
        <w:t>民俗风情商</w:t>
      </w:r>
      <w:r>
        <w:rPr>
          <w:rFonts w:ascii="黑体" w:eastAsia="黑体" w:hint="eastAsia"/>
          <w:spacing w:val="-1"/>
          <w:sz w:val="48"/>
          <w:vertAlign w:val="baseline"/>
        </w:rPr>
        <w:t>业街区</w:t>
      </w:r>
      <w:r>
        <w:rPr>
          <w:rFonts w:ascii="黑体" w:eastAsia="黑体" w:hint="eastAsia"/>
          <w:sz w:val="48"/>
          <w:vertAlign w:val="baseline"/>
        </w:rPr>
        <w:t>二、地块核心竞争力：</w:t>
      </w:r>
    </w:p>
    <w:p>
      <w:pPr>
        <w:pStyle w:val="Heading2"/>
        <w:spacing w:line="389" w:lineRule="exact"/>
      </w:pPr>
      <w:r>
        <w:rPr>
          <w:w w:val="95"/>
        </w:rPr>
        <w:t>此地块开发游/购/吃/住/玩一条龙的综合工程,与旅游产业链紧</w:t>
      </w:r>
    </w:p>
    <w:p>
      <w:pPr>
        <w:pStyle w:val="BodyText"/>
        <w:rPr>
          <w:b/>
          <w:sz w:val="31"/>
        </w:rPr>
      </w:pPr>
    </w:p>
    <w:p>
      <w:pPr>
        <w:spacing w:before="1" w:line="420" w:lineRule="auto"/>
        <w:ind w:left="110" w:right="1298" w:firstLine="0"/>
        <w:jc w:val="left"/>
        <w:rPr>
          <w:rFonts w:ascii="黑体" w:eastAsia="黑体" w:hint="eastAsia"/>
          <w:sz w:val="42"/>
        </w:rPr>
      </w:pPr>
      <w:r>
        <w:rPr>
          <w:b/>
          <w:w w:val="95"/>
          <w:sz w:val="42"/>
        </w:rPr>
        <w:t>密相连,使成都的商业物业上台阶,是最大限度表现地块竞争力的方</w:t>
      </w:r>
      <w:r>
        <w:rPr>
          <w:b/>
          <w:spacing w:val="11"/>
          <w:w w:val="95"/>
          <w:sz w:val="42"/>
        </w:rPr>
        <w:t xml:space="preserve"> </w:t>
      </w:r>
      <w:r>
        <w:rPr>
          <w:b/>
          <w:sz w:val="42"/>
        </w:rPr>
        <w:t>式</w:t>
      </w:r>
      <w:r>
        <w:rPr>
          <w:rFonts w:ascii="黑体" w:eastAsia="黑体" w:hint="eastAsia"/>
          <w:sz w:val="42"/>
        </w:rPr>
        <w:t>.</w:t>
      </w:r>
    </w:p>
    <w:p>
      <w:pPr>
        <w:pStyle w:val="Heading1"/>
        <w:spacing w:before="200"/>
      </w:pPr>
      <w:r>
        <w:rPr>
          <w:w w:val="95"/>
        </w:rPr>
        <w:t>三、投资方案：</w:t>
      </w:r>
    </w:p>
    <w:p>
      <w:pPr>
        <w:pStyle w:val="BodyText"/>
        <w:spacing w:before="6"/>
        <w:rPr>
          <w:rFonts w:ascii="黑体"/>
          <w:sz w:val="55"/>
        </w:rPr>
      </w:pPr>
    </w:p>
    <w:p>
      <w:pPr>
        <w:spacing w:before="1" w:line="417" w:lineRule="auto"/>
        <w:ind w:left="110" w:right="1310" w:firstLine="842"/>
        <w:jc w:val="both"/>
        <w:rPr>
          <w:b/>
          <w:sz w:val="42"/>
        </w:rPr>
      </w:pPr>
      <w:r>
        <w:rPr>
          <w:b/>
          <w:spacing w:val="-1"/>
          <w:sz w:val="42"/>
        </w:rPr>
        <w:t>先开发主题旅游景观，带旺人气，为商业物业配备马力强劲的消费驱动引擎，使临街商铺地带成为郫县的消费热点地区，带动整个地块的进展。最终将建成包括一个中心、一条景观带及四个组团的旅</w:t>
      </w:r>
      <w:r>
        <w:rPr>
          <w:b/>
          <w:sz w:val="42"/>
        </w:rPr>
        <w:t>游街区。</w:t>
      </w:r>
    </w:p>
    <w:p>
      <w:pPr>
        <w:pStyle w:val="Heading1"/>
        <w:spacing w:before="210"/>
      </w:pPr>
      <w:r>
        <w:rPr>
          <w:w w:val="95"/>
        </w:rPr>
        <w:t>四、首期投资方向：</w:t>
      </w:r>
    </w:p>
    <w:p>
      <w:pPr>
        <w:pStyle w:val="BodyText"/>
        <w:spacing w:before="2"/>
        <w:rPr>
          <w:rFonts w:ascii="黑体"/>
          <w:sz w:val="55"/>
        </w:rPr>
      </w:pPr>
    </w:p>
    <w:p>
      <w:pPr>
        <w:spacing w:before="1" w:line="420" w:lineRule="auto"/>
        <w:ind w:left="110" w:right="1511" w:firstLine="842"/>
        <w:jc w:val="left"/>
        <w:rPr>
          <w:b/>
          <w:sz w:val="42"/>
        </w:rPr>
      </w:pPr>
      <w:r>
        <w:rPr>
          <w:b/>
          <w:w w:val="95"/>
          <w:sz w:val="42"/>
        </w:rPr>
        <w:t>商业风情街+民俗广场+停车场+局部别墅，首期共建约一万多平</w:t>
      </w:r>
      <w:r>
        <w:rPr>
          <w:b/>
          <w:spacing w:val="1"/>
          <w:w w:val="95"/>
          <w:sz w:val="42"/>
        </w:rPr>
        <w:t xml:space="preserve"> </w:t>
      </w:r>
      <w:r>
        <w:rPr>
          <w:b/>
          <w:sz w:val="42"/>
        </w:rPr>
        <w:t>方米的商业物业。</w:t>
      </w:r>
    </w:p>
    <w:p>
      <w:pPr>
        <w:pStyle w:val="Heading1"/>
        <w:spacing w:before="203"/>
      </w:pPr>
      <w:r>
        <w:rPr>
          <w:w w:val="95"/>
        </w:rPr>
        <w:t>五、营销主题：</w:t>
      </w:r>
    </w:p>
    <w:p>
      <w:pPr>
        <w:pStyle w:val="BodyText"/>
        <w:spacing w:before="7"/>
        <w:rPr>
          <w:rFonts w:ascii="黑体"/>
          <w:sz w:val="55"/>
        </w:rPr>
      </w:pPr>
    </w:p>
    <w:p>
      <w:pPr>
        <w:pStyle w:val="Heading2"/>
        <w:spacing w:line="549" w:lineRule="auto"/>
        <w:ind w:left="3276" w:right="6990" w:hanging="15"/>
      </w:pPr>
      <w:r>
        <w:t>感受锦里的文化底蕴</w:t>
      </w:r>
      <w:r>
        <w:rPr>
          <w:spacing w:val="-1"/>
        </w:rPr>
        <w:t>瓜分锦里的商业财宝</w:t>
      </w:r>
    </w:p>
    <w:p>
      <w:pPr>
        <w:spacing w:after="0" w:line="549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https://d.book118.com/696242220231010031</w:t>
        </w:r>
      </w:hyperlink>
    </w:p>
    <w:p>
      <w:pPr>
        <w:spacing w:after="0" w:line="549" w:lineRule="auto"/>
      </w:pPr>
    </w:p>
    <w:sectPr>
      <w:footerReference w:type="default" r:id="rId6"/>
      <w:pgSz w:w="17860" w:h="25260"/>
      <w:pgMar w:top="1500" w:right="1480" w:bottom="2340" w:left="2320" w:header="0" w:footer="214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nsolas">
    <w:altName w:val="Consolas"/>
    <w:charset w:val="00"/>
    <w:family w:val="modern"/>
    <w:pitch w:val="fixed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85pt;height:15.5pt;margin-top:1144.55pt;margin-left:750.3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85pt;height:15.5pt;margin-top:1144.55pt;margin-left:750.3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D7656"/>
    <w:multiLevelType w:val="hybridMultilevel"/>
    <w:tmpl w:val="00000000"/>
    <w:lvl w:ilvl="0">
      <w:start w:val="1"/>
      <w:numFmt w:val="decimal"/>
      <w:lvlText w:val="%1."/>
      <w:lvlJc w:val="left"/>
      <w:pPr>
        <w:ind w:left="1460" w:hanging="630"/>
        <w:jc w:val="left"/>
      </w:pPr>
      <w:rPr>
        <w:rFonts w:ascii="Calibri" w:eastAsia="Calibri" w:hAnsi="Calibri" w:cs="Calibri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71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630"/>
      </w:pPr>
      <w:rPr>
        <w:rFonts w:hint="default"/>
      </w:rPr>
    </w:lvl>
  </w:abstractNum>
  <w:abstractNum w:abstractNumId="1">
    <w:nsid w:val="2DAC2509"/>
    <w:multiLevelType w:val="hybridMultilevel"/>
    <w:tmpl w:val="00000000"/>
    <w:lvl w:ilvl="0">
      <w:start w:val="0"/>
      <w:numFmt w:val="bullet"/>
      <w:lvlText w:val=""/>
      <w:lvlJc w:val="left"/>
      <w:pPr>
        <w:ind w:left="2631" w:hanging="631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1">
      <w:start w:val="0"/>
      <w:numFmt w:val="bullet"/>
      <w:lvlText w:val=""/>
      <w:lvlJc w:val="left"/>
      <w:pPr>
        <w:ind w:left="3261" w:hanging="631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44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631"/>
      </w:pPr>
      <w:rPr>
        <w:rFonts w:hint="default"/>
      </w:rPr>
    </w:lvl>
  </w:abstractNum>
  <w:abstractNum w:abstractNumId="2">
    <w:nsid w:val="3CB38C40"/>
    <w:multiLevelType w:val="hybridMultilevel"/>
    <w:tmpl w:val="00000000"/>
    <w:lvl w:ilvl="0">
      <w:start w:val="0"/>
      <w:numFmt w:val="bullet"/>
      <w:lvlText w:val=""/>
      <w:lvlJc w:val="left"/>
      <w:pPr>
        <w:ind w:left="380" w:hanging="602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1">
      <w:start w:val="0"/>
      <w:numFmt w:val="bullet"/>
      <w:lvlText w:val=""/>
      <w:lvlJc w:val="left"/>
      <w:pPr>
        <w:ind w:left="650" w:hanging="332"/>
      </w:pPr>
      <w:rPr>
        <w:rFonts w:ascii="Wingdings" w:eastAsia="Wingdings" w:hAnsi="Wingdings" w:cs="Wingdings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2148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7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6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5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4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1" w:hanging="332"/>
      </w:pPr>
      <w:rPr>
        <w:rFonts w:hint="default"/>
      </w:rPr>
    </w:lvl>
  </w:abstractNum>
  <w:abstractNum w:abstractNumId="3">
    <w:nsid w:val="73917035"/>
    <w:multiLevelType w:val="hybridMultilevel"/>
    <w:tmpl w:val="00000000"/>
    <w:lvl w:ilvl="0">
      <w:start w:val="2"/>
      <w:numFmt w:val="decimal"/>
      <w:lvlText w:val="%1）"/>
      <w:lvlJc w:val="left"/>
      <w:pPr>
        <w:ind w:left="1418" w:hanging="498"/>
        <w:jc w:val="left"/>
      </w:pPr>
      <w:rPr>
        <w:rFonts w:ascii="Calibri" w:eastAsia="Calibri" w:hAnsi="Calibri" w:cs="Calibri" w:hint="default"/>
        <w:b/>
        <w:bCs/>
        <w:spacing w:val="-3"/>
        <w:w w:val="99"/>
        <w:sz w:val="31"/>
        <w:szCs w:val="31"/>
      </w:rPr>
    </w:lvl>
    <w:lvl w:ilvl="1">
      <w:start w:val="1"/>
      <w:numFmt w:val="lowerRoman"/>
      <w:lvlText w:val="%2."/>
      <w:lvlJc w:val="left"/>
      <w:pPr>
        <w:ind w:left="1640" w:hanging="6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33"/>
        <w:szCs w:val="33"/>
      </w:rPr>
    </w:lvl>
    <w:lvl w:ilvl="2">
      <w:start w:val="1"/>
      <w:numFmt w:val="decimal"/>
      <w:lvlText w:val="（%3）"/>
      <w:lvlJc w:val="left"/>
      <w:pPr>
        <w:ind w:left="1933" w:hanging="833"/>
        <w:jc w:val="right"/>
      </w:pPr>
      <w:rPr>
        <w:rFonts w:ascii="宋体" w:eastAsia="宋体" w:hAnsi="宋体" w:cs="宋体" w:hint="default"/>
        <w:w w:val="100"/>
        <w:sz w:val="31"/>
        <w:szCs w:val="31"/>
      </w:rPr>
    </w:lvl>
    <w:lvl w:ilvl="3">
      <w:start w:val="1"/>
      <w:numFmt w:val="decimal"/>
      <w:lvlText w:val="%4）"/>
      <w:lvlJc w:val="left"/>
      <w:pPr>
        <w:ind w:left="1620" w:hanging="498"/>
        <w:jc w:val="right"/>
      </w:pPr>
      <w:rPr>
        <w:rFonts w:ascii="Calibri" w:eastAsia="Calibri" w:hAnsi="Calibri" w:cs="Calibri" w:hint="default"/>
        <w:b/>
        <w:bCs/>
        <w:spacing w:val="-3"/>
        <w:w w:val="99"/>
        <w:sz w:val="31"/>
        <w:szCs w:val="31"/>
      </w:rPr>
    </w:lvl>
    <w:lvl w:ilvl="4">
      <w:start w:val="1"/>
      <w:numFmt w:val="decimal"/>
      <w:lvlText w:val="（%5）"/>
      <w:lvlJc w:val="left"/>
      <w:pPr>
        <w:ind w:left="4791" w:hanging="1232"/>
        <w:jc w:val="left"/>
      </w:pPr>
      <w:rPr>
        <w:rFonts w:ascii="宋体" w:eastAsia="宋体" w:hAnsi="宋体" w:cs="宋体" w:hint="default"/>
        <w:w w:val="100"/>
        <w:sz w:val="33"/>
        <w:szCs w:val="33"/>
      </w:rPr>
    </w:lvl>
    <w:lvl w:ilvl="5">
      <w:start w:val="0"/>
      <w:numFmt w:val="bullet"/>
      <w:lvlText w:val="•"/>
      <w:lvlJc w:val="left"/>
      <w:pPr>
        <w:ind w:left="6343" w:hanging="12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6" w:hanging="12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12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3" w:hanging="1232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customStyle="1" w:styleId="Heading1">
    <w:name w:val="Heading 1"/>
    <w:basedOn w:val="Normal"/>
    <w:uiPriority w:val="1"/>
    <w:qFormat/>
    <w:pPr>
      <w:spacing w:before="13"/>
      <w:ind w:left="1071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953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834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4">
    <w:name w:val="Heading 4"/>
    <w:basedOn w:val="Normal"/>
    <w:uiPriority w:val="1"/>
    <w:qFormat/>
    <w:pPr>
      <w:ind w:left="1125"/>
      <w:outlineLvl w:val="4"/>
    </w:pPr>
    <w:rPr>
      <w:rFonts w:ascii="宋体" w:eastAsia="宋体" w:hAnsi="宋体" w:cs="宋体"/>
      <w:b/>
      <w:bCs/>
      <w:sz w:val="33"/>
      <w:szCs w:val="33"/>
    </w:rPr>
  </w:style>
  <w:style w:type="paragraph" w:styleId="Title">
    <w:name w:val="Title"/>
    <w:basedOn w:val="Normal"/>
    <w:uiPriority w:val="1"/>
    <w:qFormat/>
    <w:pPr>
      <w:spacing w:before="580"/>
      <w:ind w:left="569" w:right="1304"/>
      <w:jc w:val="center"/>
    </w:pPr>
    <w:rPr>
      <w:rFonts w:ascii="华文中宋" w:eastAsia="华文中宋" w:hAnsi="华文中宋" w:cs="华文中宋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460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96242220231010031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2023-10-24T07:22:37Z</dcterms:created>
  <dcterms:modified xsi:type="dcterms:W3CDTF">2023-10-24T07:22:37Z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2023-10-24T00:00:00Z</vt:filetime>
  </property>
</Properties>
</file>