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0"/>
        <w:jc w:val="center"/>
        <w:rPr>
          <w:rFonts w:eastAsia="黑体" w:hint="eastAsia"/>
          <w:b/>
          <w:sz w:val="48"/>
        </w:rPr>
      </w:pPr>
      <w:bookmarkStart w:id="0" w:name="_GoBack"/>
      <w:bookmarkEnd w:id="0"/>
      <w:r>
        <w:rPr>
          <w:rFonts w:eastAsia="黑体" w:hint="eastAsia"/>
          <w:b/>
          <w:sz w:val="48"/>
        </w:rPr>
        <w:t>长</w:t>
      </w:r>
    </w:p>
    <w:p>
      <w:pPr>
        <w:pStyle w:val="Normal0"/>
        <w:jc w:val="center"/>
        <w:rPr>
          <w:rFonts w:eastAsia="黑体" w:hint="eastAsia"/>
          <w:b/>
          <w:sz w:val="48"/>
        </w:rPr>
      </w:pPr>
      <w:r>
        <w:rPr>
          <w:rFonts w:eastAsia="黑体" w:hint="eastAsia"/>
          <w:b/>
          <w:sz w:val="48"/>
        </w:rPr>
        <w:t>安</w:t>
      </w:r>
    </w:p>
    <w:p>
      <w:pPr>
        <w:pStyle w:val="Normal0"/>
        <w:jc w:val="center"/>
        <w:rPr>
          <w:rFonts w:eastAsia="黑体" w:hint="eastAsia"/>
          <w:b/>
          <w:sz w:val="48"/>
        </w:rPr>
      </w:pPr>
      <w:r>
        <w:rPr>
          <w:rFonts w:eastAsia="黑体" w:hint="eastAsia"/>
          <w:b/>
          <w:sz w:val="48"/>
        </w:rPr>
        <w:t>明</w:t>
      </w:r>
    </w:p>
    <w:p>
      <w:pPr>
        <w:pStyle w:val="Normal0"/>
        <w:jc w:val="center"/>
        <w:rPr>
          <w:rFonts w:eastAsia="黑体" w:hint="eastAsia"/>
          <w:b/>
          <w:sz w:val="48"/>
        </w:rPr>
      </w:pPr>
      <w:r>
        <w:rPr>
          <w:rFonts w:eastAsia="黑体" w:hint="eastAsia"/>
          <w:b/>
          <w:sz w:val="48"/>
        </w:rPr>
        <w:t>珠</w:t>
      </w:r>
    </w:p>
    <w:p>
      <w:pPr>
        <w:pStyle w:val="Normal0"/>
        <w:jc w:val="center"/>
        <w:rPr>
          <w:rFonts w:eastAsia="黑体" w:hint="eastAsia"/>
          <w:b/>
          <w:sz w:val="48"/>
        </w:rPr>
      </w:pPr>
      <w:r>
        <w:rPr>
          <w:rFonts w:eastAsia="黑体" w:hint="eastAsia"/>
          <w:b/>
          <w:sz w:val="48"/>
        </w:rPr>
        <w:t>国</w:t>
      </w:r>
    </w:p>
    <w:p>
      <w:pPr>
        <w:pStyle w:val="Normal0"/>
        <w:jc w:val="center"/>
        <w:rPr>
          <w:rFonts w:eastAsia="黑体" w:hint="eastAsia"/>
          <w:b/>
          <w:sz w:val="48"/>
        </w:rPr>
      </w:pPr>
      <w:r>
        <w:rPr>
          <w:rFonts w:eastAsia="黑体" w:hint="eastAsia"/>
          <w:b/>
          <w:sz w:val="48"/>
        </w:rPr>
        <w:t>际</w:t>
      </w:r>
    </w:p>
    <w:p>
      <w:pPr>
        <w:pStyle w:val="Normal0"/>
        <w:jc w:val="center"/>
        <w:rPr>
          <w:rFonts w:eastAsia="黑体" w:hint="eastAsia"/>
          <w:b/>
          <w:sz w:val="48"/>
        </w:rPr>
      </w:pPr>
      <w:r>
        <w:rPr>
          <w:rFonts w:eastAsia="黑体" w:hint="eastAsia"/>
          <w:b/>
          <w:sz w:val="48"/>
        </w:rPr>
        <w:t>广</w:t>
      </w:r>
    </w:p>
    <w:p>
      <w:pPr>
        <w:pStyle w:val="Normal0"/>
        <w:jc w:val="center"/>
        <w:rPr>
          <w:rFonts w:eastAsia="黑体" w:hint="eastAsia"/>
          <w:b/>
          <w:sz w:val="48"/>
        </w:rPr>
      </w:pPr>
      <w:r>
        <w:rPr>
          <w:rFonts w:eastAsia="黑体" w:hint="eastAsia"/>
          <w:b/>
          <w:sz w:val="48"/>
        </w:rPr>
        <w:t>场</w:t>
      </w:r>
    </w:p>
    <w:p>
      <w:pPr>
        <w:pStyle w:val="Normal0"/>
        <w:jc w:val="center"/>
        <w:rPr>
          <w:rFonts w:eastAsia="黑体" w:hint="eastAsia"/>
          <w:b/>
          <w:sz w:val="48"/>
        </w:rPr>
      </w:pPr>
      <w:r>
        <w:rPr>
          <w:rFonts w:eastAsia="黑体" w:hint="eastAsia"/>
          <w:b/>
          <w:sz w:val="48"/>
        </w:rPr>
        <w:t>整</w:t>
      </w:r>
    </w:p>
    <w:p>
      <w:pPr>
        <w:pStyle w:val="Normal0"/>
        <w:jc w:val="center"/>
        <w:rPr>
          <w:rFonts w:eastAsia="黑体" w:hint="eastAsia"/>
          <w:b/>
          <w:sz w:val="48"/>
        </w:rPr>
      </w:pPr>
      <w:r>
        <w:rPr>
          <w:rFonts w:eastAsia="黑体" w:hint="eastAsia"/>
          <w:b/>
          <w:sz w:val="48"/>
        </w:rPr>
        <w:t>体</w:t>
      </w:r>
    </w:p>
    <w:p>
      <w:pPr>
        <w:pStyle w:val="Normal0"/>
        <w:jc w:val="center"/>
        <w:rPr>
          <w:rFonts w:eastAsia="黑体" w:hint="eastAsia"/>
          <w:b/>
          <w:sz w:val="48"/>
        </w:rPr>
      </w:pPr>
      <w:r>
        <w:rPr>
          <w:rFonts w:eastAsia="黑体" w:hint="eastAsia"/>
          <w:b/>
          <w:sz w:val="48"/>
        </w:rPr>
        <w:t>推</w:t>
      </w:r>
    </w:p>
    <w:p>
      <w:pPr>
        <w:pStyle w:val="Normal0"/>
        <w:jc w:val="center"/>
        <w:rPr>
          <w:rFonts w:eastAsia="黑体" w:hint="eastAsia"/>
          <w:b/>
          <w:sz w:val="48"/>
        </w:rPr>
      </w:pPr>
      <w:r>
        <w:rPr>
          <w:rFonts w:eastAsia="黑体" w:hint="eastAsia"/>
          <w:b/>
          <w:sz w:val="48"/>
        </w:rPr>
        <w:t>广</w:t>
      </w:r>
    </w:p>
    <w:p>
      <w:pPr>
        <w:pStyle w:val="Normal0"/>
        <w:jc w:val="center"/>
        <w:rPr>
          <w:rFonts w:eastAsia="黑体" w:hint="eastAsia"/>
          <w:b/>
          <w:sz w:val="48"/>
        </w:rPr>
      </w:pPr>
      <w:r>
        <w:rPr>
          <w:rFonts w:eastAsia="黑体" w:hint="eastAsia"/>
          <w:b/>
          <w:sz w:val="48"/>
        </w:rPr>
        <w:t>策</w:t>
      </w:r>
    </w:p>
    <w:p>
      <w:pPr>
        <w:pStyle w:val="Normal0"/>
        <w:jc w:val="center"/>
        <w:rPr>
          <w:rFonts w:eastAsia="黑体" w:hint="eastAsia"/>
          <w:b/>
          <w:sz w:val="48"/>
        </w:rPr>
      </w:pPr>
      <w:r>
        <w:rPr>
          <w:rFonts w:eastAsia="黑体" w:hint="eastAsia"/>
          <w:b/>
          <w:sz w:val="48"/>
        </w:rPr>
        <w:t>略</w:t>
      </w:r>
    </w:p>
    <w:p>
      <w:pPr>
        <w:pStyle w:val="Normal0"/>
        <w:jc w:val="center"/>
        <w:rPr>
          <w:rFonts w:eastAsia="黑体"/>
          <w:b/>
          <w:sz w:val="32"/>
        </w:rPr>
      </w:pPr>
    </w:p>
    <w:p>
      <w:pPr>
        <w:pStyle w:val="Normal0"/>
        <w:jc w:val="center"/>
        <w:rPr>
          <w:rFonts w:eastAsia="黑体" w:hint="eastAsia"/>
          <w:b/>
          <w:sz w:val="52"/>
        </w:rPr>
      </w:pPr>
      <w:r>
        <w:rPr>
          <w:rFonts w:eastAsia="黑体" w:hint="eastAsia"/>
          <w:b/>
          <w:sz w:val="52"/>
        </w:rPr>
        <w:t>目  录</w:t>
      </w:r>
    </w:p>
    <w:p>
      <w:pPr>
        <w:pStyle w:val="Normal0"/>
        <w:jc w:val="center"/>
        <w:rPr>
          <w:rFonts w:eastAsia="黑体" w:hint="eastAsia"/>
          <w:b/>
          <w:sz w:val="44"/>
        </w:rPr>
      </w:pPr>
      <w:r>
        <w:rPr>
          <w:rFonts w:eastAsia="黑体" w:hint="eastAsia"/>
          <w:b/>
          <w:sz w:val="44"/>
        </w:rPr>
        <w:t>明珠国际广场商业经营定位</w:t>
      </w:r>
    </w:p>
    <w:p>
      <w:pPr>
        <w:pStyle w:val="Normal0"/>
        <w:numPr>
          <w:ilvl w:val="0"/>
          <w:numId w:val="3"/>
        </w:numPr>
        <w:rPr>
          <w:rFonts w:hint="eastAsia"/>
          <w:b/>
          <w:sz w:val="30"/>
        </w:rPr>
      </w:pPr>
      <w:r>
        <w:rPr>
          <w:rFonts w:hint="eastAsia"/>
          <w:b/>
          <w:sz w:val="30"/>
        </w:rPr>
        <w:t>长安商业近况</w:t>
      </w:r>
    </w:p>
    <w:p>
      <w:pPr>
        <w:pStyle w:val="Normal0"/>
        <w:numPr>
          <w:ilvl w:val="0"/>
          <w:numId w:val="3"/>
        </w:numPr>
        <w:rPr>
          <w:rFonts w:hint="eastAsia"/>
          <w:b/>
          <w:sz w:val="30"/>
        </w:rPr>
      </w:pPr>
      <w:r>
        <w:rPr>
          <w:rFonts w:hint="eastAsia"/>
          <w:b/>
          <w:sz w:val="30"/>
        </w:rPr>
        <w:t>商业经营定位阐述</w:t>
      </w:r>
    </w:p>
    <w:p>
      <w:pPr>
        <w:pStyle w:val="Normal0"/>
        <w:numPr>
          <w:ilvl w:val="0"/>
          <w:numId w:val="3"/>
        </w:numPr>
        <w:rPr>
          <w:rFonts w:hint="eastAsia"/>
          <w:b/>
          <w:sz w:val="30"/>
        </w:rPr>
      </w:pPr>
      <w:r>
        <w:rPr>
          <w:rFonts w:hint="eastAsia"/>
          <w:b/>
          <w:sz w:val="30"/>
        </w:rPr>
        <w:t>商业推广主题阐述：</w:t>
      </w:r>
    </w:p>
    <w:p>
      <w:pPr>
        <w:pStyle w:val="Normal0"/>
        <w:tabs>
          <w:tab w:val="left" w:pos="720"/>
        </w:tabs>
        <w:rPr>
          <w:rFonts w:hint="eastAsia"/>
          <w:bCs/>
          <w:sz w:val="28"/>
        </w:rPr>
        <w:sectPr>
          <w:headerReference w:type="default" r:id="rId5"/>
          <w:footerReference w:type="default" r:id="rId6"/>
          <w:pgSz w:w="11906" w:h="16838"/>
          <w:pgMar w:top="1440" w:right="1418" w:bottom="1440" w:left="1797" w:header="851" w:footer="992" w:gutter="0"/>
          <w:cols w:num="1" w:space="425"/>
          <w:docGrid w:type="lines" w:linePitch="312" w:charSpace="0"/>
        </w:sectPr>
      </w:pPr>
      <w:r>
        <w:rPr>
          <w:rFonts w:hint="eastAsia"/>
          <w:b/>
          <w:sz w:val="30"/>
        </w:rPr>
        <w:t>四、招商销售整体策略</w:t>
      </w:r>
    </w:p>
    <w:p>
      <w:pPr>
        <w:pStyle w:val="Normal0"/>
        <w:numPr>
          <w:ilvl w:val="0"/>
          <w:numId w:val="4"/>
        </w:numPr>
        <w:spacing w:after="156" w:line="360" w:lineRule="auto"/>
        <w:rPr>
          <w:rFonts w:hint="eastAsia"/>
          <w:b/>
          <w:sz w:val="28"/>
        </w:rPr>
      </w:pPr>
      <w:r>
        <w:rPr>
          <w:rFonts w:hint="eastAsia"/>
          <w:b/>
          <w:sz w:val="28"/>
        </w:rPr>
        <w:t>出租策略</w:t>
      </w:r>
    </w:p>
    <w:p>
      <w:pPr>
        <w:pStyle w:val="BodyTextIndent3"/>
        <w:numPr>
          <w:ilvl w:val="0"/>
          <w:numId w:val="4"/>
        </w:numPr>
        <w:spacing w:line="360" w:lineRule="auto"/>
        <w:rPr>
          <w:rFonts w:hint="eastAsia"/>
          <w:b/>
          <w:bCs/>
        </w:rPr>
      </w:pPr>
      <w:r>
        <w:rPr>
          <w:rFonts w:hint="eastAsia"/>
          <w:b/>
          <w:bCs/>
        </w:rPr>
        <w:t>销售策略</w:t>
      </w:r>
    </w:p>
    <w:p>
      <w:pPr>
        <w:pStyle w:val="Normal0"/>
        <w:numPr>
          <w:ilvl w:val="0"/>
          <w:numId w:val="3"/>
        </w:numPr>
        <w:rPr>
          <w:rFonts w:hint="eastAsia"/>
          <w:b/>
          <w:sz w:val="30"/>
        </w:rPr>
      </w:pPr>
      <w:r>
        <w:rPr>
          <w:rFonts w:hint="eastAsia"/>
          <w:b/>
          <w:sz w:val="30"/>
        </w:rPr>
        <w:t>价位策略</w:t>
      </w:r>
    </w:p>
    <w:p>
      <w:pPr>
        <w:pStyle w:val="Normal0"/>
        <w:rPr>
          <w:rFonts w:hint="eastAsia"/>
          <w:b/>
          <w:sz w:val="30"/>
        </w:rPr>
      </w:pPr>
    </w:p>
    <w:p>
      <w:pPr>
        <w:pStyle w:val="Normal0"/>
        <w:spacing w:line="480" w:lineRule="auto"/>
        <w:jc w:val="center"/>
        <w:outlineLvl w:val="0"/>
        <w:rPr>
          <w:rFonts w:hint="eastAsia"/>
          <w:b/>
          <w:sz w:val="44"/>
        </w:rPr>
      </w:pPr>
      <w:r>
        <w:rPr>
          <w:rFonts w:hint="eastAsia"/>
          <w:b/>
          <w:sz w:val="44"/>
        </w:rPr>
        <w:t>长安明珠国际广场招商策略</w:t>
      </w:r>
    </w:p>
    <w:p>
      <w:pPr>
        <w:pStyle w:val="Normal0"/>
        <w:tabs>
          <w:tab w:val="left" w:pos="360"/>
          <w:tab w:val="left" w:pos="720"/>
        </w:tabs>
        <w:spacing w:line="360" w:lineRule="auto"/>
        <w:rPr>
          <w:rFonts w:hint="eastAsia"/>
          <w:b/>
          <w:bCs/>
          <w:sz w:val="28"/>
        </w:rPr>
      </w:pPr>
      <w:r>
        <w:rPr>
          <w:rFonts w:hint="eastAsia"/>
          <w:b/>
          <w:bCs/>
          <w:sz w:val="28"/>
        </w:rPr>
        <w:t>长安明珠国际广场</w:t>
      </w:r>
      <w:r>
        <w:rPr>
          <w:rFonts w:hint="eastAsia"/>
          <w:b/>
          <w:bCs/>
          <w:sz w:val="28"/>
          <w:lang w:eastAsia="zh-CN"/>
        </w:rPr>
        <w:t>相关项目</w:t>
      </w:r>
      <w:r>
        <w:rPr>
          <w:rFonts w:hint="eastAsia"/>
          <w:b/>
          <w:bCs/>
          <w:sz w:val="28"/>
        </w:rPr>
        <w:t>定位</w:t>
      </w:r>
    </w:p>
    <w:p>
      <w:pPr>
        <w:pStyle w:val="Normal0"/>
        <w:numPr>
          <w:ilvl w:val="0"/>
          <w:numId w:val="5"/>
        </w:numPr>
        <w:spacing w:line="360" w:lineRule="auto"/>
        <w:rPr>
          <w:rFonts w:hint="eastAsia"/>
          <w:sz w:val="28"/>
        </w:rPr>
      </w:pPr>
      <w:r>
        <w:rPr>
          <w:rFonts w:hint="eastAsia"/>
          <w:b/>
          <w:sz w:val="28"/>
        </w:rPr>
        <w:t>目标商家素质要求</w:t>
      </w:r>
    </w:p>
    <w:p>
      <w:pPr>
        <w:pStyle w:val="Normal0"/>
        <w:numPr>
          <w:ilvl w:val="0"/>
          <w:numId w:val="5"/>
        </w:numPr>
        <w:spacing w:line="360" w:lineRule="auto"/>
        <w:rPr>
          <w:rFonts w:hint="eastAsia"/>
          <w:b/>
          <w:sz w:val="28"/>
        </w:rPr>
      </w:pPr>
      <w:r>
        <w:rPr>
          <w:rFonts w:hint="eastAsia"/>
          <w:b/>
          <w:bCs/>
          <w:sz w:val="28"/>
        </w:rPr>
        <w:t>招商主导方向</w:t>
      </w:r>
    </w:p>
    <w:p>
      <w:pPr>
        <w:pStyle w:val="Normal0"/>
        <w:numPr>
          <w:ilvl w:val="0"/>
          <w:numId w:val="5"/>
        </w:numPr>
        <w:spacing w:line="360" w:lineRule="auto"/>
        <w:rPr>
          <w:rFonts w:hint="eastAsia"/>
          <w:b/>
          <w:bCs/>
          <w:sz w:val="28"/>
        </w:rPr>
      </w:pPr>
      <w:r>
        <w:rPr>
          <w:rFonts w:hint="eastAsia"/>
          <w:b/>
          <w:bCs/>
          <w:sz w:val="28"/>
        </w:rPr>
        <w:t>招商各阶段的推广</w:t>
      </w:r>
    </w:p>
    <w:p>
      <w:pPr>
        <w:pStyle w:val="Normal0"/>
        <w:spacing w:line="360" w:lineRule="auto"/>
        <w:rPr>
          <w:rFonts w:hint="eastAsia"/>
          <w:b/>
          <w:bCs/>
          <w:sz w:val="28"/>
        </w:rPr>
      </w:pPr>
      <w:r>
        <w:rPr>
          <w:rFonts w:ascii="宋体" w:hAnsi="宋体" w:hint="eastAsia"/>
          <w:b/>
          <w:bCs/>
          <w:sz w:val="28"/>
        </w:rPr>
        <w:t>1、前期内部招商</w:t>
      </w:r>
      <w:r>
        <w:rPr>
          <w:rFonts w:hint="eastAsia"/>
          <w:b/>
          <w:bCs/>
          <w:sz w:val="28"/>
        </w:rPr>
        <w:t xml:space="preserve">：                             </w:t>
      </w:r>
    </w:p>
    <w:p>
      <w:pPr>
        <w:pStyle w:val="Normal0"/>
        <w:ind w:left="-2"/>
        <w:jc w:val="left"/>
        <w:rPr>
          <w:rFonts w:ascii="宋体" w:hAnsi="宋体" w:hint="eastAsia"/>
          <w:b/>
          <w:bCs/>
          <w:sz w:val="28"/>
        </w:rPr>
      </w:pPr>
      <w:r>
        <w:rPr>
          <w:rFonts w:ascii="宋体" w:hAnsi="宋体" w:hint="eastAsia"/>
          <w:b/>
          <w:bCs/>
          <w:sz w:val="28"/>
        </w:rPr>
        <w:t xml:space="preserve">2、公开招商                     </w:t>
      </w:r>
    </w:p>
    <w:p>
      <w:pPr>
        <w:pStyle w:val="Normal0"/>
        <w:tabs>
          <w:tab w:val="left" w:pos="3002"/>
        </w:tabs>
        <w:spacing w:line="480" w:lineRule="auto"/>
        <w:rPr>
          <w:rFonts w:ascii="宋体" w:hAnsi="宋体" w:hint="eastAsia"/>
          <w:sz w:val="28"/>
        </w:rPr>
      </w:pPr>
      <w:r>
        <w:rPr>
          <w:rFonts w:ascii="宋体" w:hAnsi="宋体" w:hint="eastAsia"/>
          <w:b/>
          <w:bCs/>
          <w:sz w:val="28"/>
        </w:rPr>
        <w:t>3、后续招商</w:t>
      </w:r>
    </w:p>
    <w:p>
      <w:pPr>
        <w:pStyle w:val="Normal0"/>
        <w:tabs>
          <w:tab w:val="left" w:pos="3002"/>
        </w:tabs>
        <w:spacing w:line="480" w:lineRule="auto"/>
        <w:rPr>
          <w:rFonts w:hint="eastAsia"/>
          <w:b/>
          <w:bCs/>
          <w:sz w:val="28"/>
        </w:rPr>
      </w:pPr>
      <w:r>
        <w:rPr>
          <w:rFonts w:hint="eastAsia"/>
          <w:b/>
          <w:bCs/>
          <w:sz w:val="28"/>
        </w:rPr>
        <w:t>4、招商前准备工作</w:t>
      </w:r>
    </w:p>
    <w:p>
      <w:pPr>
        <w:pStyle w:val="Normal0"/>
        <w:numPr>
          <w:ilvl w:val="0"/>
          <w:numId w:val="5"/>
        </w:numPr>
        <w:spacing w:line="360" w:lineRule="auto"/>
        <w:rPr>
          <w:rFonts w:hint="eastAsia"/>
          <w:b/>
          <w:bCs/>
          <w:sz w:val="28"/>
        </w:rPr>
      </w:pPr>
      <w:r>
        <w:rPr>
          <w:rFonts w:hint="eastAsia"/>
          <w:b/>
          <w:bCs/>
          <w:sz w:val="28"/>
        </w:rPr>
        <w:t>招商流程</w:t>
      </w:r>
    </w:p>
    <w:p>
      <w:pPr>
        <w:pStyle w:val="Normal0"/>
        <w:numPr>
          <w:ilvl w:val="0"/>
          <w:numId w:val="5"/>
        </w:numPr>
        <w:spacing w:line="360" w:lineRule="auto"/>
        <w:rPr>
          <w:rFonts w:hint="eastAsia"/>
          <w:b/>
          <w:bCs/>
          <w:sz w:val="28"/>
        </w:rPr>
      </w:pPr>
      <w:r>
        <w:rPr>
          <w:rFonts w:hint="eastAsia"/>
          <w:b/>
          <w:bCs/>
          <w:sz w:val="28"/>
        </w:rPr>
        <w:t>招商措施建议</w:t>
      </w:r>
    </w:p>
    <w:p>
      <w:pPr>
        <w:pStyle w:val="Normal0"/>
        <w:spacing w:line="360" w:lineRule="auto"/>
        <w:rPr>
          <w:rFonts w:hint="eastAsia"/>
          <w:b/>
          <w:bCs/>
          <w:sz w:val="28"/>
        </w:rPr>
      </w:pPr>
    </w:p>
    <w:p>
      <w:pPr>
        <w:pStyle w:val="Normal0"/>
        <w:jc w:val="center"/>
        <w:rPr>
          <w:rFonts w:hint="eastAsia"/>
          <w:b/>
          <w:bCs/>
          <w:sz w:val="44"/>
        </w:rPr>
      </w:pPr>
      <w:r>
        <w:rPr>
          <w:rFonts w:hint="eastAsia"/>
          <w:b/>
          <w:bCs/>
          <w:sz w:val="44"/>
        </w:rPr>
        <w:t>明珠国际广场销售策略</w:t>
      </w:r>
    </w:p>
    <w:p>
      <w:pPr>
        <w:pStyle w:val="Normal0"/>
        <w:rPr>
          <w:rFonts w:hint="eastAsia"/>
          <w:b/>
          <w:bCs/>
          <w:sz w:val="28"/>
        </w:rPr>
      </w:pPr>
      <w:r>
        <w:rPr>
          <w:rFonts w:hint="eastAsia"/>
          <w:b/>
          <w:bCs/>
          <w:sz w:val="28"/>
        </w:rPr>
        <w:t>一、总体策略：</w:t>
      </w:r>
    </w:p>
    <w:p>
      <w:pPr>
        <w:pStyle w:val="Normal0"/>
        <w:rPr>
          <w:rFonts w:hint="eastAsia"/>
          <w:b/>
          <w:bCs/>
          <w:sz w:val="28"/>
        </w:rPr>
      </w:pPr>
      <w:r>
        <w:rPr>
          <w:rFonts w:hint="eastAsia"/>
          <w:b/>
          <w:bCs/>
          <w:sz w:val="28"/>
        </w:rPr>
        <w:t>二、营销核心策略：</w:t>
      </w:r>
    </w:p>
    <w:p>
      <w:pPr>
        <w:pStyle w:val="Normal0"/>
        <w:rPr>
          <w:rFonts w:eastAsia="华文彩云" w:hint="eastAsia"/>
          <w:b/>
          <w:color w:val="FF6600"/>
          <w:sz w:val="48"/>
        </w:rPr>
      </w:pPr>
      <w:r>
        <w:rPr>
          <w:rFonts w:hint="eastAsia"/>
          <w:b/>
          <w:bCs/>
          <w:sz w:val="28"/>
        </w:rPr>
        <w:t>三、营销推广主题</w:t>
      </w:r>
    </w:p>
    <w:p>
      <w:pPr>
        <w:pStyle w:val="Normal0"/>
        <w:rPr>
          <w:rFonts w:ascii="宋体" w:hAnsi="宋体" w:hint="eastAsia"/>
          <w:b/>
          <w:bCs/>
          <w:sz w:val="28"/>
        </w:rPr>
        <w:sectPr>
          <w:headerReference w:type="default" r:id="rId7"/>
          <w:footerReference w:type="default" r:id="rId8"/>
          <w:type w:val="nextPage"/>
          <w:pgSz w:w="11906" w:h="16838"/>
          <w:pgMar w:top="1440" w:right="1418" w:bottom="1440" w:left="1797" w:header="851" w:footer="992" w:gutter="0"/>
          <w:pgNumType w:start="2"/>
          <w:cols w:num="1" w:space="425"/>
          <w:titlePg w:val="0"/>
          <w:docGrid w:type="lines" w:linePitch="312" w:charSpace="0"/>
        </w:sectPr>
      </w:pPr>
      <w:r>
        <w:rPr>
          <w:rFonts w:ascii="宋体" w:hAnsi="宋体" w:hint="eastAsia"/>
          <w:b/>
          <w:bCs/>
          <w:sz w:val="28"/>
        </w:rPr>
        <w:t>四、推广策略</w:t>
      </w:r>
    </w:p>
    <w:p>
      <w:pPr>
        <w:pStyle w:val="Normal0"/>
        <w:rPr>
          <w:rFonts w:ascii="宋体" w:hAnsi="宋体" w:hint="eastAsia"/>
          <w:b/>
          <w:bCs/>
          <w:sz w:val="28"/>
        </w:rPr>
      </w:pPr>
      <w:r>
        <w:rPr>
          <w:rFonts w:ascii="宋体" w:hAnsi="宋体" w:hint="eastAsia"/>
          <w:b/>
          <w:bCs/>
          <w:sz w:val="28"/>
        </w:rPr>
        <w:t>五、客户定位</w:t>
      </w:r>
    </w:p>
    <w:p>
      <w:pPr>
        <w:pStyle w:val="BodyTextIndent"/>
        <w:ind w:left="0"/>
        <w:rPr>
          <w:rFonts w:hint="eastAsia"/>
          <w:b/>
          <w:bCs/>
        </w:rPr>
      </w:pPr>
      <w:r>
        <w:rPr>
          <w:rFonts w:hint="eastAsia"/>
          <w:b/>
          <w:bCs/>
        </w:rPr>
        <w:t>六、销售时机与阶段安排</w:t>
      </w:r>
    </w:p>
    <w:p>
      <w:pPr>
        <w:pStyle w:val="Normal0"/>
        <w:rPr>
          <w:rFonts w:eastAsia="黑体"/>
          <w:b/>
          <w:sz w:val="32"/>
        </w:rPr>
      </w:pPr>
      <w:r>
        <w:rPr>
          <w:rFonts w:hint="eastAsia"/>
          <w:b/>
          <w:bCs/>
          <w:sz w:val="28"/>
        </w:rPr>
        <w:t>七、阶段性推广安排</w:t>
      </w:r>
    </w:p>
    <w:p>
      <w:pPr>
        <w:pStyle w:val="Normal0"/>
        <w:jc w:val="center"/>
        <w:rPr>
          <w:rFonts w:eastAsia="黑体"/>
          <w:b/>
          <w:sz w:val="32"/>
        </w:rPr>
      </w:pPr>
    </w:p>
    <w:p>
      <w:pPr>
        <w:pStyle w:val="Normal0"/>
        <w:jc w:val="center"/>
        <w:rPr>
          <w:rFonts w:eastAsia="黑体"/>
          <w:b/>
          <w:sz w:val="32"/>
        </w:rPr>
      </w:pPr>
    </w:p>
    <w:p>
      <w:pPr>
        <w:pStyle w:val="Normal0"/>
        <w:jc w:val="center"/>
        <w:rPr>
          <w:rFonts w:eastAsia="黑体"/>
          <w:b/>
          <w:sz w:val="32"/>
        </w:rPr>
      </w:pPr>
    </w:p>
    <w:p>
      <w:pPr>
        <w:pStyle w:val="Normal0"/>
        <w:jc w:val="center"/>
        <w:rPr>
          <w:rFonts w:eastAsia="黑体"/>
          <w:b/>
          <w:sz w:val="32"/>
        </w:rPr>
      </w:pPr>
    </w:p>
    <w:p>
      <w:pPr>
        <w:pStyle w:val="Normal0"/>
        <w:jc w:val="center"/>
        <w:rPr>
          <w:rFonts w:eastAsia="黑体"/>
          <w:b/>
          <w:sz w:val="32"/>
        </w:rPr>
      </w:pPr>
    </w:p>
    <w:p>
      <w:pPr>
        <w:pStyle w:val="Normal0"/>
        <w:jc w:val="center"/>
        <w:rPr>
          <w:rFonts w:eastAsia="黑体"/>
          <w:b/>
          <w:sz w:val="32"/>
        </w:rPr>
      </w:pPr>
    </w:p>
    <w:p>
      <w:pPr>
        <w:pStyle w:val="Normal0"/>
        <w:jc w:val="center"/>
        <w:rPr>
          <w:rFonts w:eastAsia="黑体"/>
          <w:b/>
          <w:sz w:val="32"/>
        </w:rPr>
      </w:pPr>
    </w:p>
    <w:p>
      <w:pPr>
        <w:pStyle w:val="Normal0"/>
        <w:jc w:val="center"/>
        <w:rPr>
          <w:rFonts w:eastAsia="黑体"/>
          <w:b/>
          <w:sz w:val="32"/>
        </w:rPr>
      </w:pPr>
    </w:p>
    <w:p>
      <w:pPr>
        <w:pStyle w:val="Normal0"/>
        <w:jc w:val="center"/>
        <w:rPr>
          <w:rFonts w:eastAsia="黑体"/>
          <w:b/>
          <w:sz w:val="32"/>
        </w:rPr>
      </w:pPr>
    </w:p>
    <w:p>
      <w:pPr>
        <w:pStyle w:val="Normal0"/>
        <w:jc w:val="center"/>
        <w:rPr>
          <w:rFonts w:eastAsia="黑体"/>
          <w:b/>
          <w:sz w:val="32"/>
        </w:rPr>
      </w:pPr>
    </w:p>
    <w:p>
      <w:pPr>
        <w:pStyle w:val="Normal0"/>
        <w:jc w:val="center"/>
        <w:rPr>
          <w:rFonts w:eastAsia="黑体"/>
          <w:b/>
          <w:sz w:val="32"/>
        </w:rPr>
      </w:pPr>
    </w:p>
    <w:p>
      <w:pPr>
        <w:pStyle w:val="Normal0"/>
        <w:jc w:val="center"/>
        <w:rPr>
          <w:rFonts w:eastAsia="黑体"/>
          <w:b/>
          <w:sz w:val="32"/>
        </w:rPr>
      </w:pPr>
    </w:p>
    <w:p>
      <w:pPr>
        <w:pStyle w:val="Normal0"/>
        <w:rPr>
          <w:rFonts w:eastAsia="黑体" w:hint="eastAsia"/>
          <w:b/>
          <w:sz w:val="32"/>
        </w:rPr>
      </w:pPr>
    </w:p>
    <w:p>
      <w:pPr>
        <w:pStyle w:val="Normal0"/>
        <w:jc w:val="center"/>
        <w:rPr>
          <w:rFonts w:eastAsia="黑体" w:hint="eastAsia"/>
          <w:b/>
          <w:sz w:val="44"/>
        </w:rPr>
      </w:pPr>
      <w:r>
        <w:rPr>
          <w:rFonts w:eastAsia="黑体" w:hint="eastAsia"/>
          <w:b/>
          <w:sz w:val="44"/>
        </w:rPr>
        <w:t>明珠国际广场商业经营定位</w:t>
      </w:r>
    </w:p>
    <w:p>
      <w:pPr>
        <w:pStyle w:val="Normal0"/>
        <w:jc w:val="center"/>
        <w:rPr>
          <w:rFonts w:eastAsia="黑体" w:hint="eastAsia"/>
          <w:b/>
          <w:sz w:val="44"/>
        </w:rPr>
      </w:pPr>
    </w:p>
    <w:p>
      <w:pPr>
        <w:pStyle w:val="Normal0"/>
        <w:rPr>
          <w:rFonts w:hint="eastAsia"/>
          <w:b/>
          <w:sz w:val="30"/>
        </w:rPr>
      </w:pPr>
      <w:r>
        <w:rPr>
          <w:rFonts w:hint="eastAsia"/>
          <w:b/>
          <w:sz w:val="30"/>
        </w:rPr>
        <w:t>一、长安商业近况</w:t>
      </w:r>
    </w:p>
    <w:p>
      <w:pPr>
        <w:pStyle w:val="Normal0"/>
        <w:ind w:firstLine="560"/>
        <w:rPr>
          <w:rFonts w:hint="eastAsia"/>
          <w:sz w:val="28"/>
        </w:rPr>
        <w:sectPr>
          <w:headerReference w:type="default" r:id="rId9"/>
          <w:footerReference w:type="default" r:id="rId10"/>
          <w:type w:val="nextPage"/>
          <w:pgSz w:w="11906" w:h="16838"/>
          <w:pgMar w:top="1440" w:right="1418" w:bottom="1440" w:left="1797" w:header="851" w:footer="992" w:gutter="0"/>
          <w:pgNumType w:start="3"/>
          <w:cols w:num="1" w:space="425"/>
          <w:titlePg w:val="0"/>
          <w:docGrid w:type="lines" w:linePitch="312" w:charSpace="0"/>
        </w:sectPr>
      </w:pPr>
    </w:p>
    <w:p>
      <w:pPr>
        <w:pStyle w:val="Normal0"/>
        <w:ind w:firstLine="560"/>
        <w:rPr>
          <w:rFonts w:hint="eastAsia"/>
          <w:sz w:val="28"/>
        </w:rPr>
      </w:pPr>
      <w:r>
        <w:rPr>
          <w:rFonts w:hint="eastAsia"/>
          <w:sz w:val="28"/>
        </w:rPr>
        <w:t>根据长安区域商铺投资调查分析，当前长安商业物业的总体经营处于疲软状态.原因归结为两方面，一是长安的投资客对目前东莞市场不十分看好，对投资商铺愈加慎重；二是长安现有投资型商铺较少，外界对长安的市场不十分认同，导致客户层较为狭窄。</w:t>
      </w:r>
    </w:p>
    <w:p>
      <w:pPr>
        <w:pStyle w:val="Normal0"/>
        <w:ind w:firstLine="560"/>
        <w:rPr>
          <w:rFonts w:hint="eastAsia"/>
          <w:sz w:val="28"/>
        </w:rPr>
      </w:pPr>
      <w:r>
        <w:rPr>
          <w:rFonts w:hint="eastAsia"/>
          <w:sz w:val="28"/>
        </w:rPr>
        <w:t>与长安其他商场比较，本</w:t>
      </w:r>
      <w:r>
        <w:rPr>
          <w:rFonts w:hint="eastAsia"/>
          <w:sz w:val="28"/>
          <w:lang w:eastAsia="zh-CN"/>
        </w:rPr>
        <w:t>相关项目</w:t>
      </w:r>
      <w:r>
        <w:rPr>
          <w:rFonts w:hint="eastAsia"/>
          <w:sz w:val="28"/>
        </w:rPr>
        <w:t>位置较好，但人流不十分旺盛,要在整体市场疲软的大环境、人气不旺的小环境中脱颖而出，取得较好的经营与销售业绩，美联建议：</w:t>
      </w:r>
    </w:p>
    <w:p>
      <w:pPr>
        <w:pStyle w:val="Normal0"/>
        <w:numPr>
          <w:ilvl w:val="0"/>
          <w:numId w:val="6"/>
        </w:numPr>
        <w:rPr>
          <w:rFonts w:hint="eastAsia"/>
          <w:sz w:val="28"/>
        </w:rPr>
      </w:pPr>
      <w:r>
        <w:rPr>
          <w:rFonts w:hint="eastAsia"/>
          <w:sz w:val="28"/>
        </w:rPr>
        <w:t>提前招商，引进品牌经营者入场，重新树立消费者购买信心，将长安本地中高档消费能力截留在当地；</w:t>
      </w:r>
    </w:p>
    <w:p>
      <w:pPr>
        <w:pStyle w:val="Normal0"/>
        <w:numPr>
          <w:ilvl w:val="0"/>
          <w:numId w:val="6"/>
        </w:numPr>
        <w:rPr>
          <w:rFonts w:hint="eastAsia"/>
          <w:sz w:val="28"/>
        </w:rPr>
      </w:pPr>
      <w:r>
        <w:rPr>
          <w:rFonts w:hint="eastAsia"/>
          <w:sz w:val="28"/>
        </w:rPr>
        <w:t>内铺实行返租，使商场顺利过渡到商业成熟期，树立投资信心；</w:t>
      </w:r>
    </w:p>
    <w:p>
      <w:pPr>
        <w:pStyle w:val="Normal0"/>
        <w:numPr>
          <w:ilvl w:val="0"/>
          <w:numId w:val="6"/>
        </w:numPr>
        <w:rPr>
          <w:rFonts w:hint="eastAsia"/>
          <w:sz w:val="28"/>
        </w:rPr>
      </w:pPr>
      <w:r>
        <w:rPr>
          <w:rFonts w:hint="eastAsia"/>
          <w:sz w:val="28"/>
        </w:rPr>
        <w:t>店铺小分割，压缩铺位投资总额；</w:t>
      </w:r>
    </w:p>
    <w:p>
      <w:pPr>
        <w:pStyle w:val="Normal0"/>
        <w:numPr>
          <w:ilvl w:val="0"/>
          <w:numId w:val="6"/>
        </w:numPr>
        <w:rPr>
          <w:rFonts w:hint="eastAsia"/>
          <w:sz w:val="28"/>
        </w:rPr>
      </w:pPr>
      <w:r>
        <w:rPr>
          <w:rFonts w:hint="eastAsia"/>
          <w:sz w:val="28"/>
        </w:rPr>
        <w:t>付款方式优惠，降低投资门槛；</w:t>
      </w:r>
    </w:p>
    <w:p>
      <w:pPr>
        <w:pStyle w:val="Normal0"/>
        <w:numPr>
          <w:ilvl w:val="0"/>
          <w:numId w:val="6"/>
        </w:numPr>
        <w:rPr>
          <w:rFonts w:hint="eastAsia"/>
          <w:sz w:val="28"/>
        </w:rPr>
      </w:pPr>
      <w:r>
        <w:rPr>
          <w:rFonts w:hint="eastAsia"/>
          <w:sz w:val="28"/>
        </w:rPr>
        <w:t>统一经营，提供完善的“代租代管代收”服务，免除投资者后顾之忧。</w:t>
      </w:r>
    </w:p>
    <w:p>
      <w:pPr>
        <w:pStyle w:val="Normal0"/>
        <w:ind w:left="560"/>
        <w:rPr>
          <w:sz w:val="28"/>
        </w:rPr>
      </w:pPr>
    </w:p>
    <w:p>
      <w:pPr>
        <w:pStyle w:val="Normal0"/>
        <w:rPr>
          <w:rFonts w:hint="eastAsia"/>
          <w:b/>
          <w:sz w:val="30"/>
        </w:rPr>
      </w:pPr>
      <w:r>
        <w:rPr>
          <w:rFonts w:hint="eastAsia"/>
          <w:b/>
          <w:sz w:val="30"/>
        </w:rPr>
        <w:t>二、商业经营定位阐述</w:t>
      </w:r>
    </w:p>
    <w:p>
      <w:pPr>
        <w:pStyle w:val="Normal0"/>
        <w:rPr>
          <w:rFonts w:hint="eastAsia"/>
          <w:b/>
          <w:sz w:val="28"/>
          <w:shd w:val="pct10" w:color="auto" w:fill="FFFFFF"/>
        </w:rPr>
      </w:pPr>
      <w:r>
        <w:rPr>
          <w:rFonts w:hint="eastAsia"/>
          <w:b/>
          <w:sz w:val="28"/>
        </w:rPr>
        <w:t>1、商业主题定位：</w:t>
      </w:r>
      <w:r>
        <w:rPr>
          <w:rFonts w:hint="eastAsia"/>
          <w:b/>
          <w:sz w:val="28"/>
          <w:shd w:val="pct10" w:color="auto" w:fill="FFFFFF"/>
        </w:rPr>
        <w:t>综合性高档大型购物休闲中心</w:t>
      </w:r>
    </w:p>
    <w:p>
      <w:pPr>
        <w:pStyle w:val="Normal0"/>
        <w:numPr>
          <w:ilvl w:val="1"/>
          <w:numId w:val="3"/>
        </w:numPr>
        <w:tabs>
          <w:tab w:val="left" w:pos="-105"/>
          <w:tab w:val="left" w:pos="0"/>
          <w:tab w:val="left" w:pos="315"/>
        </w:tabs>
        <w:spacing w:before="50" w:line="500" w:lineRule="exact"/>
        <w:rPr>
          <w:rFonts w:ascii="宋体" w:hint="eastAsia"/>
          <w:sz w:val="28"/>
        </w:rPr>
      </w:pPr>
      <w:r>
        <w:rPr>
          <w:rFonts w:ascii="宋体" w:hint="eastAsia"/>
          <w:sz w:val="28"/>
        </w:rPr>
        <w:t>体现在商场的面积和业态的齐全</w:t>
      </w:r>
    </w:p>
    <w:p>
      <w:pPr>
        <w:pStyle w:val="Normal0"/>
        <w:numPr>
          <w:ilvl w:val="1"/>
          <w:numId w:val="3"/>
        </w:numPr>
        <w:tabs>
          <w:tab w:val="left" w:pos="-105"/>
          <w:tab w:val="left" w:pos="0"/>
          <w:tab w:val="left" w:pos="315"/>
        </w:tabs>
        <w:spacing w:before="50" w:line="500" w:lineRule="exact"/>
        <w:rPr>
          <w:rFonts w:ascii="宋体" w:hint="eastAsia"/>
          <w:sz w:val="28"/>
        </w:rPr>
      </w:pPr>
      <w:r>
        <w:rPr>
          <w:rFonts w:ascii="宋体" w:hint="eastAsia"/>
          <w:sz w:val="28"/>
        </w:rPr>
        <w:t>与长安广场相融，周边毗邻高尚豪宅区，更体现品味休闲、品味文化的购物乐趣</w:t>
      </w:r>
    </w:p>
    <w:p>
      <w:pPr>
        <w:pStyle w:val="Normal0"/>
        <w:spacing w:before="50" w:line="500" w:lineRule="exact"/>
        <w:rPr>
          <w:rFonts w:ascii="宋体" w:hint="eastAsia"/>
          <w:b/>
          <w:sz w:val="28"/>
        </w:rPr>
      </w:pPr>
      <w:r>
        <w:rPr>
          <w:rFonts w:ascii="宋体" w:hint="eastAsia"/>
          <w:b/>
          <w:sz w:val="28"/>
        </w:rPr>
        <w:t>商业经营档次：以时尚精品为主，辅以少量中偏高档次品牌</w:t>
      </w:r>
    </w:p>
    <w:p>
      <w:pPr>
        <w:pStyle w:val="Normal0"/>
        <w:numPr>
          <w:ilvl w:val="0"/>
          <w:numId w:val="7"/>
        </w:numPr>
        <w:tabs>
          <w:tab w:val="left" w:pos="-105"/>
          <w:tab w:val="left" w:pos="0"/>
          <w:tab w:val="left" w:pos="315"/>
        </w:tabs>
        <w:spacing w:before="50" w:line="500" w:lineRule="exact"/>
        <w:rPr>
          <w:rFonts w:ascii="宋体" w:hint="eastAsia"/>
          <w:sz w:val="28"/>
        </w:rPr>
        <w:sectPr>
          <w:headerReference w:type="default" r:id="rId11"/>
          <w:footerReference w:type="default" r:id="rId12"/>
          <w:type w:val="nextPage"/>
          <w:pgSz w:w="11906" w:h="16838"/>
          <w:pgMar w:top="1440" w:right="1418" w:bottom="1440" w:left="1797" w:header="851" w:footer="992" w:gutter="0"/>
          <w:pgNumType w:start="4"/>
          <w:cols w:num="1" w:space="425"/>
          <w:titlePg w:val="0"/>
          <w:docGrid w:type="lines" w:linePitch="312" w:charSpace="0"/>
        </w:sectPr>
      </w:pPr>
    </w:p>
    <w:p>
      <w:pPr>
        <w:pStyle w:val="Normal0"/>
        <w:numPr>
          <w:ilvl w:val="0"/>
          <w:numId w:val="0"/>
        </w:numPr>
        <w:tabs>
          <w:tab w:val="left" w:pos="-105"/>
          <w:tab w:val="left" w:pos="0"/>
          <w:tab w:val="left" w:pos="315"/>
        </w:tabs>
        <w:spacing w:before="50" w:line="500" w:lineRule="exact"/>
        <w:ind w:left="979"/>
        <w:rPr>
          <w:rFonts w:ascii="宋体" w:hint="eastAsia"/>
          <w:sz w:val="28"/>
        </w:rPr>
      </w:pPr>
      <w:r>
        <w:rPr>
          <w:rFonts w:ascii="宋体" w:hint="eastAsia"/>
          <w:sz w:val="28"/>
        </w:rPr>
        <w:t>从目前长安当地已有商场物业及其所经营的商品类型分析，现时所经营的商品种类已较为丰富，人流相对地较为集中，在此情况下，如果本</w:t>
      </w:r>
      <w:r>
        <w:rPr>
          <w:rFonts w:ascii="宋体" w:hint="eastAsia"/>
          <w:sz w:val="28"/>
          <w:lang w:eastAsia="zh-CN"/>
        </w:rPr>
        <w:t>相关项目</w:t>
      </w:r>
      <w:r>
        <w:rPr>
          <w:rFonts w:ascii="宋体" w:hint="eastAsia"/>
          <w:sz w:val="28"/>
        </w:rPr>
        <w:t>仍然走“大众化”经营路线，恐怕难以突围而出；</w:t>
      </w:r>
    </w:p>
    <w:p>
      <w:pPr>
        <w:pStyle w:val="Normal0"/>
        <w:numPr>
          <w:ilvl w:val="0"/>
          <w:numId w:val="7"/>
        </w:numPr>
        <w:tabs>
          <w:tab w:val="left" w:pos="-105"/>
          <w:tab w:val="left" w:pos="0"/>
          <w:tab w:val="left" w:pos="315"/>
        </w:tabs>
        <w:spacing w:before="50" w:line="500" w:lineRule="exact"/>
        <w:rPr>
          <w:rFonts w:ascii="宋体" w:hint="eastAsia"/>
          <w:sz w:val="28"/>
        </w:rPr>
      </w:pPr>
      <w:r>
        <w:rPr>
          <w:rFonts w:ascii="宋体" w:hint="eastAsia"/>
          <w:sz w:val="28"/>
        </w:rPr>
        <w:t>本</w:t>
      </w:r>
      <w:r>
        <w:rPr>
          <w:rFonts w:ascii="宋体" w:hint="eastAsia"/>
          <w:sz w:val="28"/>
          <w:lang w:eastAsia="zh-CN"/>
        </w:rPr>
        <w:t>相关项目</w:t>
      </w:r>
      <w:r>
        <w:rPr>
          <w:rFonts w:ascii="宋体" w:hint="eastAsia"/>
          <w:sz w:val="28"/>
        </w:rPr>
        <w:t>的形象应该切底地利用本</w:t>
      </w:r>
      <w:r>
        <w:rPr>
          <w:rFonts w:ascii="宋体" w:hint="eastAsia"/>
          <w:sz w:val="28"/>
          <w:lang w:eastAsia="zh-CN"/>
        </w:rPr>
        <w:t>相关项目</w:t>
      </w:r>
      <w:r>
        <w:rPr>
          <w:rFonts w:ascii="宋体" w:hint="eastAsia"/>
          <w:sz w:val="28"/>
        </w:rPr>
        <w:t>地处高尚住宅区、邻近长安广场的有利条件，营造档次比已有的同类型物业更高一筹的形象，并有利于与住宅的高档次相呼应。</w:t>
      </w:r>
    </w:p>
    <w:p>
      <w:pPr>
        <w:pStyle w:val="Normal0"/>
        <w:spacing w:before="50" w:line="500" w:lineRule="exact"/>
        <w:rPr>
          <w:rFonts w:ascii="宋体" w:hint="eastAsia"/>
          <w:sz w:val="28"/>
        </w:rPr>
      </w:pPr>
      <w:r>
        <w:rPr>
          <w:rFonts w:ascii="宋体" w:hint="eastAsia"/>
          <w:b/>
          <w:sz w:val="28"/>
        </w:rPr>
        <w:t>经营主题：</w:t>
      </w:r>
      <w:r>
        <w:rPr>
          <w:rFonts w:ascii="宋体" w:hint="eastAsia"/>
          <w:sz w:val="28"/>
        </w:rPr>
        <w:t>根据前期市场调查分析，</w:t>
      </w:r>
      <w:r>
        <w:rPr>
          <w:rFonts w:ascii="宋体" w:hint="eastAsia"/>
          <w:sz w:val="28"/>
          <w:lang w:eastAsia="zh-CN"/>
        </w:rPr>
        <w:t>相关项目</w:t>
      </w:r>
      <w:r>
        <w:rPr>
          <w:rFonts w:ascii="宋体" w:hint="eastAsia"/>
          <w:sz w:val="28"/>
        </w:rPr>
        <w:t>经营商品主题的市场空间有六种：</w:t>
      </w:r>
    </w:p>
    <w:p>
      <w:pPr>
        <w:pStyle w:val="Normal0"/>
        <w:numPr>
          <w:ilvl w:val="0"/>
          <w:numId w:val="8"/>
        </w:numPr>
        <w:spacing w:line="580" w:lineRule="exact"/>
        <w:rPr>
          <w:rFonts w:hint="eastAsia"/>
          <w:sz w:val="28"/>
        </w:rPr>
      </w:pPr>
      <w:r>
        <w:rPr>
          <w:rFonts w:hint="eastAsia"/>
          <w:sz w:val="28"/>
        </w:rPr>
        <w:t>高档次精品时尚购物店；</w:t>
      </w:r>
    </w:p>
    <w:p>
      <w:pPr>
        <w:pStyle w:val="Normal0"/>
        <w:numPr>
          <w:ilvl w:val="0"/>
          <w:numId w:val="8"/>
        </w:numPr>
        <w:spacing w:line="580" w:lineRule="exact"/>
        <w:rPr>
          <w:rFonts w:hint="eastAsia"/>
          <w:sz w:val="28"/>
        </w:rPr>
      </w:pPr>
      <w:r>
        <w:rPr>
          <w:rFonts w:hint="eastAsia"/>
          <w:sz w:val="28"/>
        </w:rPr>
        <w:t>综合性超市;</w:t>
      </w:r>
    </w:p>
    <w:p>
      <w:pPr>
        <w:pStyle w:val="Normal0"/>
        <w:numPr>
          <w:ilvl w:val="0"/>
          <w:numId w:val="8"/>
        </w:numPr>
        <w:spacing w:line="580" w:lineRule="exact"/>
        <w:rPr>
          <w:rFonts w:hint="eastAsia"/>
          <w:sz w:val="28"/>
        </w:rPr>
      </w:pPr>
      <w:r>
        <w:rPr>
          <w:rFonts w:ascii="宋体" w:hAnsi="宋体" w:hint="eastAsia"/>
          <w:sz w:val="28"/>
        </w:rPr>
        <w:t>专业主题市场；</w:t>
      </w:r>
    </w:p>
    <w:p>
      <w:pPr>
        <w:pStyle w:val="Normal0"/>
        <w:numPr>
          <w:ilvl w:val="0"/>
          <w:numId w:val="8"/>
        </w:numPr>
        <w:spacing w:line="580" w:lineRule="exact"/>
        <w:rPr>
          <w:rFonts w:hint="eastAsia"/>
          <w:sz w:val="28"/>
        </w:rPr>
      </w:pPr>
      <w:r>
        <w:rPr>
          <w:rFonts w:ascii="宋体" w:hAnsi="宋体" w:hint="eastAsia"/>
          <w:sz w:val="28"/>
        </w:rPr>
        <w:t>休闲中心;</w:t>
      </w:r>
    </w:p>
    <w:p>
      <w:pPr>
        <w:pStyle w:val="Normal0"/>
        <w:numPr>
          <w:ilvl w:val="0"/>
          <w:numId w:val="8"/>
        </w:numPr>
        <w:spacing w:line="580" w:lineRule="exact"/>
        <w:rPr>
          <w:rFonts w:hint="eastAsia"/>
          <w:sz w:val="28"/>
        </w:rPr>
      </w:pPr>
      <w:r>
        <w:rPr>
          <w:rFonts w:ascii="宋体" w:hAnsi="宋体" w:hint="eastAsia"/>
          <w:sz w:val="28"/>
        </w:rPr>
        <w:t>中高档餐饮机构;</w:t>
      </w:r>
    </w:p>
    <w:p>
      <w:pPr>
        <w:pStyle w:val="Normal0"/>
        <w:numPr>
          <w:ilvl w:val="0"/>
          <w:numId w:val="8"/>
        </w:numPr>
        <w:spacing w:line="580" w:lineRule="exact"/>
        <w:rPr>
          <w:rFonts w:hint="eastAsia"/>
          <w:sz w:val="28"/>
        </w:rPr>
      </w:pPr>
      <w:r>
        <w:rPr>
          <w:rFonts w:hint="eastAsia"/>
          <w:sz w:val="28"/>
        </w:rPr>
        <w:t>稍高档次的娱乐城。</w:t>
      </w:r>
    </w:p>
    <w:p>
      <w:pPr>
        <w:pStyle w:val="Normal0"/>
        <w:ind w:left="560"/>
        <w:rPr>
          <w:rFonts w:hint="eastAsia"/>
          <w:sz w:val="28"/>
        </w:rPr>
      </w:pPr>
      <w:r>
        <w:rPr>
          <w:rFonts w:hint="eastAsia"/>
          <w:sz w:val="28"/>
        </w:rPr>
        <w:t>经营最终业态需根据商家进驻情况和招商情况确定。</w:t>
      </w:r>
    </w:p>
    <w:p>
      <w:pPr>
        <w:pStyle w:val="Normal0"/>
        <w:ind w:left="560"/>
        <w:rPr>
          <w:rFonts w:hint="eastAsia"/>
          <w:sz w:val="28"/>
        </w:rPr>
      </w:pPr>
    </w:p>
    <w:p>
      <w:pPr>
        <w:pStyle w:val="Normal0"/>
        <w:rPr>
          <w:rFonts w:hint="eastAsia"/>
          <w:b/>
          <w:sz w:val="30"/>
        </w:rPr>
      </w:pPr>
      <w:r>
        <w:rPr>
          <w:rFonts w:hint="eastAsia"/>
          <w:b/>
          <w:sz w:val="30"/>
        </w:rPr>
        <w:t>三、商业推广主题阐述：</w:t>
      </w:r>
    </w:p>
    <w:p>
      <w:pPr>
        <w:pStyle w:val="Normal0"/>
        <w:ind w:firstLine="843"/>
        <w:rPr>
          <w:rFonts w:hint="eastAsia"/>
          <w:b/>
          <w:sz w:val="30"/>
        </w:rPr>
      </w:pPr>
      <w:r>
        <w:rPr>
          <w:rFonts w:hint="eastAsia"/>
          <w:b/>
          <w:sz w:val="30"/>
        </w:rPr>
        <w:t>提供稳定回报、巨大升值潜力的投资型商城</w:t>
      </w:r>
    </w:p>
    <w:p>
      <w:pPr>
        <w:pStyle w:val="Normal0"/>
        <w:ind w:firstLine="843"/>
        <w:rPr>
          <w:rFonts w:hint="eastAsia"/>
          <w:b/>
          <w:sz w:val="28"/>
          <w:shd w:val="pct10" w:color="auto" w:fill="FFFFFF"/>
        </w:rPr>
      </w:pPr>
      <w:r>
        <w:rPr>
          <w:rFonts w:hint="eastAsia"/>
          <w:b/>
          <w:sz w:val="30"/>
        </w:rPr>
        <w:t>长安中心商圈，未来CBD金坐标</w:t>
      </w:r>
    </w:p>
    <w:p>
      <w:pPr>
        <w:pStyle w:val="Normal0"/>
        <w:ind w:left="-315" w:firstLine="840" w:leftChars="-150" w:firstLineChars="300"/>
        <w:rPr>
          <w:rFonts w:hint="eastAsia"/>
          <w:b/>
          <w:sz w:val="28"/>
        </w:rPr>
      </w:pPr>
      <w:r>
        <w:rPr>
          <w:rFonts w:hint="eastAsia"/>
          <w:b/>
          <w:sz w:val="28"/>
        </w:rPr>
        <w:t>突出投资价值，以商铺的投资性作为推广重心。</w:t>
      </w:r>
    </w:p>
    <w:p>
      <w:pPr>
        <w:pStyle w:val="Normal0"/>
        <w:ind w:left="359" w:firstLine="179" w:leftChars="171" w:firstLineChars="64"/>
        <w:rPr>
          <w:rFonts w:hint="eastAsia"/>
          <w:sz w:val="28"/>
        </w:rPr>
      </w:pPr>
      <w:r>
        <w:rPr>
          <w:rFonts w:hint="eastAsia"/>
          <w:sz w:val="28"/>
        </w:rPr>
        <w:t>从以下几方面支撑本</w:t>
      </w:r>
      <w:r>
        <w:rPr>
          <w:rFonts w:hint="eastAsia"/>
          <w:sz w:val="28"/>
          <w:lang w:eastAsia="zh-CN"/>
        </w:rPr>
        <w:t>相关项目</w:t>
      </w:r>
      <w:r>
        <w:rPr>
          <w:rFonts w:hint="eastAsia"/>
          <w:sz w:val="28"/>
        </w:rPr>
        <w:t>的投资价值：</w:t>
      </w:r>
    </w:p>
    <w:p>
      <w:pPr>
        <w:pStyle w:val="Normal0"/>
        <w:numPr>
          <w:ilvl w:val="2"/>
          <w:numId w:val="6"/>
        </w:numPr>
        <w:rPr>
          <w:rFonts w:hint="eastAsia"/>
          <w:sz w:val="28"/>
        </w:rPr>
        <w:sectPr>
          <w:headerReference w:type="default" r:id="rId13"/>
          <w:footerReference w:type="default" r:id="rId14"/>
          <w:type w:val="nextPage"/>
          <w:pgSz w:w="11906" w:h="16838"/>
          <w:pgMar w:top="1440" w:right="1418" w:bottom="1440" w:left="1797" w:header="851" w:footer="992" w:gutter="0"/>
          <w:pgNumType w:start="5"/>
          <w:cols w:num="1" w:space="425"/>
          <w:titlePg w:val="0"/>
          <w:docGrid w:type="lines" w:linePitch="312" w:charSpace="0"/>
        </w:sectPr>
      </w:pPr>
      <w:r>
        <w:rPr>
          <w:rFonts w:hint="eastAsia"/>
          <w:sz w:val="28"/>
        </w:rPr>
        <w:t>地段优越：</w:t>
      </w:r>
      <w:r>
        <w:rPr>
          <w:rFonts w:hint="eastAsia"/>
          <w:sz w:val="28"/>
          <w:lang w:eastAsia="zh-CN"/>
        </w:rPr>
        <w:t>相关项目</w:t>
      </w:r>
    </w:p>
    <w:p>
      <w:pPr>
        <w:pStyle w:val="Normal0"/>
        <w:numPr>
          <w:ilvl w:val="0"/>
          <w:numId w:val="0"/>
        </w:numPr>
        <w:ind w:left="2120"/>
        <w:rPr>
          <w:rFonts w:hint="eastAsia"/>
          <w:sz w:val="28"/>
        </w:rPr>
      </w:pPr>
      <w:r>
        <w:rPr>
          <w:rFonts w:hint="eastAsia"/>
          <w:sz w:val="28"/>
        </w:rPr>
        <w:t>处于长安中心区，邻近镇政府，长安广场所在区域为长安未来经济、政治、文化及豪宅居住中心。该区规划起点高，有利于投资客户产生认同感。</w:t>
      </w:r>
    </w:p>
    <w:p>
      <w:pPr>
        <w:pStyle w:val="Normal0"/>
        <w:numPr>
          <w:ilvl w:val="2"/>
          <w:numId w:val="6"/>
        </w:numPr>
        <w:rPr>
          <w:rFonts w:hint="eastAsia"/>
          <w:sz w:val="28"/>
        </w:rPr>
      </w:pPr>
      <w:r>
        <w:rPr>
          <w:rFonts w:hint="eastAsia"/>
          <w:sz w:val="28"/>
        </w:rPr>
        <w:t>未来中心商圈：</w:t>
      </w:r>
      <w:r>
        <w:rPr>
          <w:rFonts w:hint="eastAsia"/>
          <w:sz w:val="28"/>
          <w:lang w:eastAsia="zh-CN"/>
        </w:rPr>
        <w:t>相关项目</w:t>
      </w:r>
      <w:r>
        <w:rPr>
          <w:rFonts w:hint="eastAsia"/>
          <w:sz w:val="28"/>
        </w:rPr>
        <w:t>周边有汽车总站、长安国际酒店等大型</w:t>
      </w:r>
      <w:r>
        <w:rPr>
          <w:rFonts w:hint="eastAsia"/>
          <w:sz w:val="28"/>
          <w:lang w:eastAsia="zh-CN"/>
        </w:rPr>
        <w:t>相关项目</w:t>
      </w:r>
      <w:r>
        <w:rPr>
          <w:rFonts w:hint="eastAsia"/>
          <w:sz w:val="28"/>
        </w:rPr>
        <w:t>,将带动</w:t>
      </w:r>
      <w:r>
        <w:rPr>
          <w:rFonts w:hint="eastAsia"/>
          <w:sz w:val="28"/>
          <w:lang w:eastAsia="zh-CN"/>
        </w:rPr>
        <w:t>相关项目</w:t>
      </w:r>
      <w:r>
        <w:rPr>
          <w:rFonts w:hint="eastAsia"/>
          <w:sz w:val="28"/>
        </w:rPr>
        <w:t>的人流发展,加上步行街的实施，将进一步带动</w:t>
      </w:r>
      <w:r>
        <w:rPr>
          <w:rFonts w:hint="eastAsia"/>
          <w:sz w:val="28"/>
          <w:lang w:eastAsia="zh-CN"/>
        </w:rPr>
        <w:t>相关项目</w:t>
      </w:r>
      <w:r>
        <w:rPr>
          <w:rFonts w:hint="eastAsia"/>
          <w:sz w:val="28"/>
        </w:rPr>
        <w:t>价值的提升,将形成围绕长安广场的中心商业圈。</w:t>
      </w:r>
    </w:p>
    <w:p>
      <w:pPr>
        <w:pStyle w:val="Normal0"/>
        <w:numPr>
          <w:ilvl w:val="2"/>
          <w:numId w:val="6"/>
        </w:numPr>
        <w:rPr>
          <w:rFonts w:hint="eastAsia"/>
          <w:sz w:val="28"/>
        </w:rPr>
      </w:pPr>
      <w:r>
        <w:rPr>
          <w:rFonts w:hint="eastAsia"/>
          <w:sz w:val="28"/>
        </w:rPr>
        <w:t>投资前景：将目前销售、租金水平，与建设成熟后的中心区价值预期比较，给客户充分展现良好的升值前景。</w:t>
      </w:r>
    </w:p>
    <w:p>
      <w:pPr>
        <w:pStyle w:val="Normal0"/>
        <w:numPr>
          <w:ilvl w:val="2"/>
          <w:numId w:val="6"/>
        </w:numPr>
        <w:rPr>
          <w:rFonts w:hint="eastAsia"/>
          <w:sz w:val="28"/>
        </w:rPr>
      </w:pPr>
      <w:r>
        <w:rPr>
          <w:rFonts w:hint="eastAsia"/>
          <w:sz w:val="28"/>
        </w:rPr>
        <w:t>经营品牌：由招商活动最后落实。</w:t>
      </w:r>
    </w:p>
    <w:p>
      <w:pPr>
        <w:pStyle w:val="Normal0"/>
        <w:numPr>
          <w:ilvl w:val="4"/>
          <w:numId w:val="6"/>
        </w:numPr>
        <w:rPr>
          <w:rFonts w:hint="eastAsia"/>
          <w:sz w:val="28"/>
        </w:rPr>
      </w:pPr>
      <w:r>
        <w:rPr>
          <w:rFonts w:hint="eastAsia"/>
          <w:sz w:val="28"/>
        </w:rPr>
        <w:t>根据长安当地商业调查所得，目前长安商业经营状况较差，较主要的原因就是缺乏统一的、良好的商业经营</w:t>
      </w:r>
      <w:r>
        <w:rPr>
          <w:rFonts w:hint="eastAsia"/>
          <w:sz w:val="28"/>
          <w:lang w:eastAsia="zh-CN"/>
        </w:rPr>
        <w:t>管理管控</w:t>
      </w:r>
      <w:r>
        <w:rPr>
          <w:rFonts w:hint="eastAsia"/>
          <w:sz w:val="28"/>
        </w:rPr>
        <w:t>，以及较高的市场诚信度，如不少商城由于分散经营、各自为政，或是统一经营的商场由于产品缺乏特色、对消费者的承诺难以兑现，导致在日渐剧烈的商业竞争环境下，逐渐遭消费者遗弃。</w:t>
      </w:r>
    </w:p>
    <w:p>
      <w:pPr>
        <w:pStyle w:val="Normal0"/>
        <w:numPr>
          <w:ilvl w:val="4"/>
          <w:numId w:val="6"/>
        </w:numPr>
        <w:rPr>
          <w:rFonts w:hint="eastAsia"/>
          <w:sz w:val="28"/>
        </w:rPr>
        <w:sectPr>
          <w:headerReference w:type="default" r:id="rId15"/>
          <w:footerReference w:type="default" r:id="rId16"/>
          <w:type w:val="nextPage"/>
          <w:pgSz w:w="11906" w:h="16838"/>
          <w:pgMar w:top="1440" w:right="1418" w:bottom="1440" w:left="1797" w:header="851" w:footer="992" w:gutter="0"/>
          <w:pgNumType w:start="6"/>
          <w:cols w:num="1" w:space="425"/>
          <w:titlePg w:val="0"/>
          <w:docGrid w:type="lines" w:linePitch="312" w:charSpace="0"/>
        </w:sectPr>
      </w:pPr>
      <w:r>
        <w:rPr>
          <w:rFonts w:hint="eastAsia"/>
          <w:sz w:val="28"/>
        </w:rPr>
        <w:t>美联建议由品牌良好的机构进行全面的商业布局规划、商业推广和物业</w:t>
      </w:r>
      <w:r>
        <w:rPr>
          <w:rFonts w:hint="eastAsia"/>
          <w:sz w:val="28"/>
          <w:lang w:eastAsia="zh-CN"/>
        </w:rPr>
        <w:t>管理管控</w:t>
      </w:r>
      <w:r>
        <w:rPr>
          <w:rFonts w:hint="eastAsia"/>
          <w:sz w:val="28"/>
        </w:rPr>
        <w:t>，由此可在较大程度上确保本</w:t>
      </w:r>
      <w:r>
        <w:rPr>
          <w:rFonts w:hint="eastAsia"/>
          <w:sz w:val="28"/>
          <w:lang w:eastAsia="zh-CN"/>
        </w:rPr>
        <w:t>相关项目</w:t>
      </w:r>
    </w:p>
    <w:p>
      <w:pPr>
        <w:pStyle w:val="Normal0"/>
        <w:numPr>
          <w:ilvl w:val="0"/>
          <w:numId w:val="0"/>
        </w:numPr>
        <w:ind w:left="2690"/>
        <w:rPr>
          <w:rFonts w:hint="eastAsia"/>
          <w:sz w:val="28"/>
        </w:rPr>
      </w:pPr>
      <w:r>
        <w:rPr>
          <w:rFonts w:hint="eastAsia"/>
          <w:sz w:val="28"/>
        </w:rPr>
        <w:t>的商业经营能在较为疲软的市场状况下逆市生存，为商场确立良好的经营引导，并建立较高的商界知名度和消费者心目中的品牌知名度。</w:t>
      </w:r>
    </w:p>
    <w:p>
      <w:pPr>
        <w:pStyle w:val="Normal0"/>
        <w:numPr>
          <w:ilvl w:val="2"/>
          <w:numId w:val="6"/>
        </w:numPr>
        <w:rPr>
          <w:rFonts w:hint="eastAsia"/>
          <w:sz w:val="28"/>
        </w:rPr>
      </w:pPr>
      <w:r>
        <w:rPr>
          <w:rFonts w:hint="eastAsia"/>
          <w:sz w:val="28"/>
        </w:rPr>
        <w:t>租金回报：美联建议本</w:t>
      </w:r>
      <w:r>
        <w:rPr>
          <w:rFonts w:hint="eastAsia"/>
          <w:sz w:val="28"/>
          <w:lang w:eastAsia="zh-CN"/>
        </w:rPr>
        <w:t>相关项目</w:t>
      </w:r>
      <w:r>
        <w:rPr>
          <w:rFonts w:hint="eastAsia"/>
          <w:sz w:val="28"/>
        </w:rPr>
        <w:t>在片区商业成熟过渡期间提供</w:t>
      </w:r>
      <w:r>
        <w:rPr>
          <w:color w:val="000000"/>
          <w:sz w:val="28"/>
        </w:rPr>
        <w:t>5</w:t>
      </w:r>
      <w:r>
        <w:rPr>
          <w:rFonts w:hint="eastAsia"/>
          <w:sz w:val="28"/>
        </w:rPr>
        <w:t>年以上租金回报保证。</w:t>
      </w:r>
    </w:p>
    <w:p>
      <w:pPr>
        <w:pStyle w:val="Normal0"/>
        <w:ind w:left="1400" w:firstLine="705"/>
        <w:rPr>
          <w:rFonts w:hint="eastAsia"/>
          <w:sz w:val="28"/>
        </w:rPr>
      </w:pPr>
      <w:r>
        <w:rPr>
          <w:rFonts w:hint="eastAsia"/>
          <w:sz w:val="28"/>
        </w:rPr>
        <w:t>租金回报有利于：</w:t>
      </w:r>
    </w:p>
    <w:p>
      <w:pPr>
        <w:pStyle w:val="Normal0"/>
        <w:numPr>
          <w:ilvl w:val="4"/>
          <w:numId w:val="6"/>
        </w:numPr>
        <w:rPr>
          <w:rFonts w:hint="eastAsia"/>
          <w:sz w:val="28"/>
        </w:rPr>
      </w:pPr>
      <w:r>
        <w:rPr>
          <w:rFonts w:hint="eastAsia"/>
          <w:sz w:val="28"/>
        </w:rPr>
        <w:t>充分展示发展商的实力和对本</w:t>
      </w:r>
      <w:r>
        <w:rPr>
          <w:rFonts w:hint="eastAsia"/>
          <w:sz w:val="28"/>
          <w:lang w:eastAsia="zh-CN"/>
        </w:rPr>
        <w:t>相关项目</w:t>
      </w:r>
      <w:r>
        <w:rPr>
          <w:rFonts w:hint="eastAsia"/>
          <w:sz w:val="28"/>
        </w:rPr>
        <w:t>的信心；</w:t>
      </w:r>
    </w:p>
    <w:p>
      <w:pPr>
        <w:pStyle w:val="Normal0"/>
        <w:numPr>
          <w:ilvl w:val="4"/>
          <w:numId w:val="6"/>
        </w:numPr>
        <w:rPr>
          <w:rFonts w:hint="eastAsia"/>
          <w:sz w:val="28"/>
        </w:rPr>
      </w:pPr>
      <w:r>
        <w:rPr>
          <w:rFonts w:hint="eastAsia"/>
          <w:sz w:val="28"/>
        </w:rPr>
        <w:t>增强对投资客户的吸引力，客户相当于只付出实际73%的铺面价格，即可拥有所购商铺，在中心片区商业成熟后，本</w:t>
      </w:r>
      <w:r>
        <w:rPr>
          <w:rFonts w:hint="eastAsia"/>
          <w:sz w:val="28"/>
          <w:lang w:eastAsia="zh-CN"/>
        </w:rPr>
        <w:t>相关项目</w:t>
      </w:r>
      <w:r>
        <w:rPr>
          <w:rFonts w:hint="eastAsia"/>
          <w:sz w:val="28"/>
        </w:rPr>
        <w:t>的商业知名度亦已建立，而商业经营状况亦已步正轨后，有更大的升值空间获利；</w:t>
      </w:r>
    </w:p>
    <w:p>
      <w:pPr>
        <w:pStyle w:val="Normal0"/>
        <w:numPr>
          <w:ilvl w:val="4"/>
          <w:numId w:val="6"/>
        </w:numPr>
        <w:rPr>
          <w:rFonts w:hint="eastAsia"/>
          <w:sz w:val="28"/>
        </w:rPr>
      </w:pPr>
      <w:r>
        <w:rPr>
          <w:rFonts w:hint="eastAsia"/>
          <w:sz w:val="28"/>
        </w:rPr>
        <w:t>对于本</w:t>
      </w:r>
      <w:r>
        <w:rPr>
          <w:rFonts w:hint="eastAsia"/>
          <w:sz w:val="28"/>
          <w:lang w:eastAsia="zh-CN"/>
        </w:rPr>
        <w:t>相关项目</w:t>
      </w:r>
      <w:r>
        <w:rPr>
          <w:rFonts w:hint="eastAsia"/>
          <w:sz w:val="28"/>
        </w:rPr>
        <w:t>70年的商铺经营期，以前五年为商业经营起步时期，换取稳定的租金回报和良好商场规划经营，对投资者而言，有较大的吸引力。</w:t>
      </w:r>
    </w:p>
    <w:p>
      <w:pPr>
        <w:pStyle w:val="Normal0"/>
        <w:ind w:firstLine="560" w:firstLineChars="200"/>
        <w:rPr>
          <w:rFonts w:hint="eastAsia"/>
          <w:b/>
          <w:sz w:val="28"/>
        </w:rPr>
      </w:pPr>
      <w:r>
        <w:rPr>
          <w:rFonts w:hint="eastAsia"/>
          <w:b/>
          <w:sz w:val="28"/>
        </w:rPr>
        <w:t>突出投资前景，以“中心区发展前景”为信心保证。</w:t>
      </w:r>
    </w:p>
    <w:p>
      <w:pPr>
        <w:pStyle w:val="Normal0"/>
        <w:ind w:left="-315" w:firstLine="854" w:leftChars="-150" w:firstLineChars="305"/>
        <w:rPr>
          <w:rFonts w:hint="eastAsia"/>
          <w:sz w:val="28"/>
        </w:rPr>
      </w:pPr>
      <w:r>
        <w:rPr>
          <w:rFonts w:hint="eastAsia"/>
          <w:sz w:val="28"/>
        </w:rPr>
        <w:t>让客户购买的不但是实际的商铺，更购买了中心区良好的投资前景：</w:t>
      </w:r>
    </w:p>
    <w:p>
      <w:pPr>
        <w:pStyle w:val="Normal0"/>
        <w:numPr>
          <w:ilvl w:val="4"/>
          <w:numId w:val="8"/>
        </w:numPr>
        <w:rPr>
          <w:rFonts w:ascii="宋体" w:hAnsi="宋体" w:hint="eastAsia"/>
          <w:sz w:val="28"/>
        </w:rPr>
      </w:pPr>
      <w:r>
        <w:rPr>
          <w:rFonts w:ascii="宋体" w:hAnsi="宋体" w:hint="eastAsia"/>
          <w:sz w:val="28"/>
        </w:rPr>
        <w:t>作为东莞经济最具发展的城镇之一，经济发展迅猛,在经济高速发展的前景下,必然带动商业及地产的发展；</w:t>
      </w:r>
    </w:p>
    <w:p>
      <w:pPr>
        <w:pStyle w:val="Normal0"/>
        <w:numPr>
          <w:ilvl w:val="4"/>
          <w:numId w:val="8"/>
        </w:numPr>
        <w:rPr>
          <w:rFonts w:ascii="宋体" w:hAnsi="宋体" w:hint="eastAsia"/>
          <w:sz w:val="28"/>
        </w:rPr>
      </w:pPr>
      <w:r>
        <w:rPr>
          <w:rFonts w:hint="eastAsia"/>
          <w:sz w:val="28"/>
        </w:rPr>
        <w:t>说明长安镇中心区的未来规划细节，分析</w:t>
      </w:r>
      <w:r>
        <w:rPr>
          <w:rFonts w:ascii="宋体" w:hAnsi="宋体" w:hint="eastAsia"/>
          <w:sz w:val="28"/>
        </w:rPr>
        <w:t>长安中心商圈的前景；</w:t>
      </w:r>
    </w:p>
    <w:p>
      <w:pPr>
        <w:pStyle w:val="Normal0"/>
        <w:numPr>
          <w:ilvl w:val="4"/>
          <w:numId w:val="8"/>
        </w:numPr>
        <w:rPr>
          <w:rFonts w:hint="eastAsia"/>
          <w:sz w:val="28"/>
        </w:rPr>
        <w:sectPr>
          <w:headerReference w:type="default" r:id="rId17"/>
          <w:footerReference w:type="default" r:id="rId18"/>
          <w:type w:val="nextPage"/>
          <w:pgSz w:w="11906" w:h="16838"/>
          <w:pgMar w:top="1440" w:right="1418" w:bottom="1440" w:left="1797" w:header="851" w:footer="992" w:gutter="0"/>
          <w:pgNumType w:start="7"/>
          <w:cols w:num="1" w:space="425"/>
          <w:titlePg w:val="0"/>
          <w:docGrid w:type="lines" w:linePitch="312" w:charSpace="0"/>
        </w:sectPr>
      </w:pPr>
    </w:p>
    <w:p>
      <w:pPr>
        <w:pStyle w:val="Normal0"/>
        <w:numPr>
          <w:ilvl w:val="0"/>
          <w:numId w:val="0"/>
        </w:numPr>
        <w:ind w:left="2400"/>
        <w:rPr>
          <w:rFonts w:hint="eastAsia"/>
          <w:sz w:val="28"/>
        </w:rPr>
      </w:pPr>
      <w:r>
        <w:rPr>
          <w:rFonts w:hint="eastAsia"/>
          <w:sz w:val="28"/>
        </w:rPr>
        <w:t>厚街、常平、樟木头、虎门等中心区发展情况作对比，说明中心区规划的未来价值，尤其通过对上述等地中心区建设前后商铺租金比较的实例，给商铺投资者展现一个“看得见的回报前景”。</w:t>
      </w:r>
    </w:p>
    <w:p>
      <w:pPr>
        <w:pStyle w:val="Normal0"/>
        <w:tabs>
          <w:tab w:val="left" w:pos="720"/>
        </w:tabs>
        <w:ind w:firstLine="560" w:firstLineChars="200"/>
        <w:rPr>
          <w:rFonts w:hint="eastAsia"/>
          <w:b/>
          <w:sz w:val="28"/>
        </w:rPr>
      </w:pPr>
      <w:r>
        <w:rPr>
          <w:rFonts w:hint="eastAsia"/>
          <w:b/>
          <w:sz w:val="28"/>
        </w:rPr>
        <w:t>突出经营前景，由招商活动最后落实。</w:t>
      </w:r>
    </w:p>
    <w:p>
      <w:pPr>
        <w:pStyle w:val="Normal0"/>
        <w:tabs>
          <w:tab w:val="left" w:pos="720"/>
        </w:tabs>
        <w:ind w:firstLine="570"/>
        <w:rPr>
          <w:rFonts w:hint="eastAsia"/>
          <w:bCs/>
          <w:sz w:val="28"/>
        </w:rPr>
      </w:pPr>
      <w:r>
        <w:rPr>
          <w:rFonts w:hint="eastAsia"/>
          <w:bCs/>
          <w:sz w:val="28"/>
        </w:rPr>
        <w:t>招商的最终目的是利于销售和</w:t>
      </w:r>
      <w:r>
        <w:rPr>
          <w:rFonts w:hint="eastAsia"/>
          <w:bCs/>
          <w:sz w:val="28"/>
          <w:lang w:eastAsia="zh-CN"/>
        </w:rPr>
        <w:t>相关项目</w:t>
      </w:r>
      <w:r>
        <w:rPr>
          <w:rFonts w:hint="eastAsia"/>
          <w:bCs/>
          <w:sz w:val="28"/>
        </w:rPr>
        <w:t>自身的发展，所以针对</w:t>
      </w:r>
      <w:r>
        <w:rPr>
          <w:rFonts w:hint="eastAsia"/>
          <w:bCs/>
          <w:sz w:val="28"/>
          <w:lang w:eastAsia="zh-CN"/>
        </w:rPr>
        <w:t>相关项目</w:t>
      </w:r>
      <w:r>
        <w:rPr>
          <w:rFonts w:hint="eastAsia"/>
          <w:bCs/>
          <w:sz w:val="28"/>
        </w:rPr>
        <w:t>情况，应充分运用一切利我因素。</w:t>
      </w:r>
    </w:p>
    <w:p>
      <w:pPr>
        <w:pStyle w:val="Normal0"/>
        <w:tabs>
          <w:tab w:val="left" w:pos="720"/>
        </w:tabs>
        <w:ind w:firstLine="570"/>
        <w:rPr>
          <w:rFonts w:hint="eastAsia"/>
          <w:bCs/>
          <w:sz w:val="28"/>
        </w:rPr>
      </w:pPr>
      <w:r>
        <w:rPr>
          <w:rFonts w:hint="eastAsia"/>
          <w:bCs/>
          <w:sz w:val="28"/>
        </w:rPr>
        <w:t>1、对于大型主力商家的确定，是整个运作的前提。确定主力商家的目的在于通过主力商家的影响，带动整体的运作及价值的提升。</w:t>
      </w:r>
    </w:p>
    <w:p>
      <w:pPr>
        <w:pStyle w:val="Normal0"/>
        <w:tabs>
          <w:tab w:val="left" w:pos="720"/>
        </w:tabs>
        <w:ind w:firstLine="570"/>
        <w:rPr>
          <w:rFonts w:hint="eastAsia"/>
          <w:bCs/>
          <w:sz w:val="28"/>
        </w:rPr>
      </w:pPr>
      <w:r>
        <w:rPr>
          <w:rFonts w:hint="eastAsia"/>
          <w:bCs/>
          <w:sz w:val="28"/>
        </w:rPr>
        <w:t>2、在确定主力商家的基础上确定次主力大型商家和安排销售</w:t>
      </w:r>
      <w:r>
        <w:rPr>
          <w:rFonts w:hint="eastAsia"/>
          <w:bCs/>
          <w:sz w:val="28"/>
          <w:lang w:eastAsia="zh-CN"/>
        </w:rPr>
        <w:t>合适的方案</w:t>
      </w:r>
      <w:r>
        <w:rPr>
          <w:rFonts w:hint="eastAsia"/>
          <w:bCs/>
          <w:sz w:val="28"/>
        </w:rPr>
        <w:t>。通过次主力商家的确立，基本确定商场整体的业态组合和经营架构；通过销售策略的制定，</w:t>
      </w:r>
      <w:r>
        <w:rPr>
          <w:rFonts w:hint="eastAsia"/>
          <w:bCs/>
          <w:sz w:val="28"/>
          <w:lang w:eastAsia="zh-CN"/>
        </w:rPr>
        <w:t>相关项目</w:t>
      </w:r>
      <w:r>
        <w:rPr>
          <w:rFonts w:hint="eastAsia"/>
          <w:bCs/>
          <w:sz w:val="28"/>
        </w:rPr>
        <w:t>进入销售的主要操作阶段。</w:t>
      </w:r>
    </w:p>
    <w:p>
      <w:pPr>
        <w:pStyle w:val="Normal0"/>
        <w:tabs>
          <w:tab w:val="left" w:pos="720"/>
        </w:tabs>
        <w:ind w:firstLine="570"/>
        <w:rPr>
          <w:rFonts w:hint="eastAsia"/>
          <w:bCs/>
          <w:sz w:val="28"/>
        </w:rPr>
      </w:pPr>
      <w:r>
        <w:rPr>
          <w:rFonts w:hint="eastAsia"/>
          <w:bCs/>
          <w:sz w:val="28"/>
        </w:rPr>
        <w:t>3、对于小型商家经营区域，成立商业经营公司。该经营公司在名称上同明珠广场区别开，通过虚拟的品牌概念，带动整体的招商运作和销售运作，给投资者以经营上的信心保证。</w:t>
      </w:r>
    </w:p>
    <w:p>
      <w:pPr>
        <w:pStyle w:val="Normal0"/>
        <w:tabs>
          <w:tab w:val="left" w:pos="720"/>
        </w:tabs>
        <w:ind w:firstLine="570"/>
        <w:rPr>
          <w:rFonts w:hint="eastAsia"/>
          <w:bCs/>
          <w:sz w:val="28"/>
        </w:rPr>
      </w:pPr>
      <w:r>
        <w:rPr>
          <w:rFonts w:hint="eastAsia"/>
          <w:bCs/>
          <w:sz w:val="28"/>
        </w:rPr>
        <w:t>4、根据运作阶段的招商情况和运作情况，确定阶段招商</w:t>
      </w:r>
      <w:r>
        <w:rPr>
          <w:rFonts w:hint="eastAsia"/>
          <w:bCs/>
          <w:sz w:val="28"/>
          <w:lang w:eastAsia="zh-CN"/>
        </w:rPr>
        <w:t>相关计划</w:t>
      </w:r>
      <w:r>
        <w:rPr>
          <w:rFonts w:hint="eastAsia"/>
          <w:bCs/>
          <w:sz w:val="28"/>
        </w:rPr>
        <w:t>和销售</w:t>
      </w:r>
      <w:r>
        <w:rPr>
          <w:rFonts w:hint="eastAsia"/>
          <w:bCs/>
          <w:sz w:val="28"/>
          <w:lang w:eastAsia="zh-CN"/>
        </w:rPr>
        <w:t>相关计划</w:t>
      </w:r>
      <w:r>
        <w:rPr>
          <w:rFonts w:hint="eastAsia"/>
          <w:bCs/>
          <w:sz w:val="28"/>
        </w:rPr>
        <w:t>。</w:t>
      </w:r>
    </w:p>
    <w:p>
      <w:pPr>
        <w:pStyle w:val="Normal0"/>
        <w:tabs>
          <w:tab w:val="left" w:pos="720"/>
        </w:tabs>
        <w:ind w:firstLine="570"/>
        <w:rPr>
          <w:rFonts w:hint="eastAsia"/>
          <w:bCs/>
          <w:sz w:val="28"/>
        </w:rPr>
      </w:pPr>
    </w:p>
    <w:p>
      <w:pPr>
        <w:pStyle w:val="Normal0"/>
        <w:tabs>
          <w:tab w:val="left" w:pos="720"/>
        </w:tabs>
        <w:rPr>
          <w:rFonts w:hint="eastAsia"/>
          <w:b/>
          <w:sz w:val="30"/>
        </w:rPr>
      </w:pPr>
      <w:r>
        <w:rPr>
          <w:rFonts w:hint="eastAsia"/>
          <w:b/>
          <w:sz w:val="30"/>
        </w:rPr>
        <w:t>四、招商销售整体策略</w:t>
      </w:r>
    </w:p>
    <w:p>
      <w:pPr>
        <w:pStyle w:val="Normal0"/>
        <w:spacing w:after="156"/>
        <w:ind w:firstLine="560" w:firstLineChars="200"/>
        <w:rPr>
          <w:rFonts w:hint="eastAsia"/>
          <w:b/>
          <w:sz w:val="30"/>
        </w:rPr>
      </w:pPr>
      <w:r>
        <w:rPr>
          <w:rFonts w:hint="eastAsia"/>
          <w:sz w:val="28"/>
        </w:rPr>
        <w:t>招商销售的安排是使招商和销售两方面在运作时间和策略上保持协调，使两方面互为补充，从而带动整体的良性发展。</w:t>
      </w:r>
    </w:p>
    <w:p>
      <w:pPr>
        <w:pStyle w:val="BodyText"/>
        <w:ind w:firstLine="570"/>
        <w:rPr>
          <w:rFonts w:hint="eastAsia"/>
        </w:rPr>
        <w:sectPr>
          <w:headerReference w:type="default" r:id="rId19"/>
          <w:footerReference w:type="default" r:id="rId20"/>
          <w:type w:val="nextPage"/>
          <w:pgSz w:w="11906" w:h="16838"/>
          <w:pgMar w:top="1440" w:right="1418" w:bottom="1440" w:left="1797" w:header="851" w:footer="992" w:gutter="0"/>
          <w:pgNumType w:start="8"/>
          <w:cols w:num="1" w:space="425"/>
          <w:titlePg w:val="0"/>
          <w:docGrid w:type="lines" w:linePitch="312" w:charSpace="0"/>
        </w:sectPr>
      </w:pPr>
      <w:r>
        <w:rPr>
          <w:rFonts w:hint="eastAsia"/>
        </w:rPr>
        <w:t>根据</w:t>
      </w:r>
      <w:r>
        <w:rPr>
          <w:rFonts w:hint="eastAsia"/>
          <w:lang w:eastAsia="zh-CN"/>
        </w:rPr>
        <w:t>相关项目</w:t>
      </w:r>
      <w:r>
        <w:rPr>
          <w:rFonts w:hint="eastAsia"/>
        </w:rPr>
        <w:t>的特征和目前的市场情况，对于</w:t>
      </w:r>
      <w:r>
        <w:rPr>
          <w:rFonts w:hint="eastAsia"/>
          <w:lang w:eastAsia="zh-CN"/>
        </w:rPr>
        <w:t>相关项目</w:t>
      </w:r>
    </w:p>
    <w:p>
      <w:pPr>
        <w:pStyle w:val="BodyText"/>
        <w:ind w:firstLine="570"/>
        <w:rPr>
          <w:rFonts w:hint="eastAsia"/>
        </w:rPr>
      </w:pPr>
      <w:r>
        <w:rPr>
          <w:rFonts w:hint="eastAsia"/>
        </w:rPr>
        <w:t>的运作采取先确定主力商家，再实行租售同步，分区销售的方式进行销售。</w:t>
      </w:r>
    </w:p>
    <w:p>
      <w:pPr>
        <w:pStyle w:val="Normal0"/>
        <w:spacing w:after="156"/>
        <w:ind w:firstLine="570"/>
        <w:rPr>
          <w:rFonts w:hint="eastAsia"/>
          <w:bCs/>
          <w:sz w:val="28"/>
        </w:rPr>
      </w:pPr>
      <w:r>
        <w:rPr>
          <w:rFonts w:hint="eastAsia"/>
          <w:bCs/>
          <w:sz w:val="28"/>
        </w:rPr>
        <w:t>出租的目的是通过主力商家等大型商家的影响力带动整体价值的提升和销售的顺利进行。所以在运作中必须综合考虑租售两方面的问题。</w:t>
      </w:r>
    </w:p>
    <w:p>
      <w:pPr>
        <w:pStyle w:val="Normal0"/>
        <w:spacing w:after="156"/>
        <w:rPr>
          <w:rFonts w:hint="eastAsia"/>
          <w:b/>
          <w:sz w:val="30"/>
        </w:rPr>
      </w:pPr>
      <w:r>
        <w:rPr>
          <w:rFonts w:hint="eastAsia"/>
          <w:b/>
          <w:sz w:val="30"/>
        </w:rPr>
        <w:t>出租策略</w:t>
      </w:r>
    </w:p>
    <w:p>
      <w:pPr>
        <w:pStyle w:val="BodyTextIndent3"/>
        <w:spacing w:line="240" w:lineRule="auto"/>
        <w:ind w:left="0" w:firstLine="560"/>
        <w:rPr>
          <w:rFonts w:hint="eastAsia"/>
        </w:rPr>
      </w:pPr>
      <w:r>
        <w:rPr>
          <w:rFonts w:hint="eastAsia"/>
        </w:rPr>
        <w:t>本</w:t>
      </w:r>
      <w:r>
        <w:rPr>
          <w:rFonts w:hint="eastAsia"/>
          <w:lang w:eastAsia="zh-CN"/>
        </w:rPr>
        <w:t>相关项目</w:t>
      </w:r>
      <w:r>
        <w:rPr>
          <w:rFonts w:hint="eastAsia"/>
        </w:rPr>
        <w:t>的租赁目标客户群体包括大型零售业、餐饮业、娱乐业及个体经营商户。</w:t>
      </w:r>
    </w:p>
    <w:p>
      <w:pPr>
        <w:pStyle w:val="BodyTextIndent3"/>
        <w:spacing w:line="240" w:lineRule="auto"/>
        <w:ind w:left="0" w:firstLine="560"/>
        <w:rPr>
          <w:rFonts w:hint="eastAsia"/>
        </w:rPr>
      </w:pPr>
      <w:r>
        <w:rPr>
          <w:rFonts w:hint="eastAsia"/>
        </w:rPr>
        <w:t>对于</w:t>
      </w:r>
      <w:r>
        <w:rPr>
          <w:rFonts w:hint="eastAsia"/>
          <w:lang w:eastAsia="zh-CN"/>
        </w:rPr>
        <w:t>相关项目</w:t>
      </w:r>
      <w:r>
        <w:rPr>
          <w:rFonts w:hint="eastAsia"/>
        </w:rPr>
        <w:t>的出租，以先确定大型商家，再确定中型商家、小型商家的策略进行。通过大型商家的行业影响力和社会影响力，带动整个</w:t>
      </w:r>
      <w:r>
        <w:rPr>
          <w:rFonts w:hint="eastAsia"/>
          <w:lang w:eastAsia="zh-CN"/>
        </w:rPr>
        <w:t>相关项目</w:t>
      </w:r>
      <w:r>
        <w:rPr>
          <w:rFonts w:hint="eastAsia"/>
        </w:rPr>
        <w:t>的租赁快速进行，从而实现整体目标的实现。</w:t>
      </w:r>
    </w:p>
    <w:p>
      <w:pPr>
        <w:pStyle w:val="BodyTextIndent3"/>
        <w:spacing w:line="240" w:lineRule="auto"/>
        <w:ind w:left="0"/>
        <w:rPr>
          <w:rFonts w:hint="eastAsia"/>
          <w:b/>
          <w:bCs/>
          <w:sz w:val="30"/>
        </w:rPr>
      </w:pPr>
      <w:r>
        <w:rPr>
          <w:rFonts w:hint="eastAsia"/>
          <w:b/>
          <w:bCs/>
          <w:sz w:val="30"/>
        </w:rPr>
        <w:t>销售策略</w:t>
      </w:r>
    </w:p>
    <w:p>
      <w:pPr>
        <w:pStyle w:val="BodyTextIndent3"/>
        <w:spacing w:line="240" w:lineRule="auto"/>
        <w:ind w:left="0" w:firstLine="560"/>
        <w:rPr>
          <w:rFonts w:hint="eastAsia"/>
        </w:rPr>
      </w:pPr>
      <w:r>
        <w:rPr>
          <w:rFonts w:hint="eastAsia"/>
        </w:rPr>
        <w:t>本</w:t>
      </w:r>
      <w:r>
        <w:rPr>
          <w:rFonts w:hint="eastAsia"/>
          <w:lang w:eastAsia="zh-CN"/>
        </w:rPr>
        <w:t>相关项目</w:t>
      </w:r>
      <w:r>
        <w:rPr>
          <w:rFonts w:hint="eastAsia"/>
        </w:rPr>
        <w:t>的销售目标客户主要有长安及东莞当地居民、政府公务员、高级白领、商业经营业主和商业投资客户。其中以商铺投资客户和当地居民为主要客户。</w:t>
      </w:r>
    </w:p>
    <w:p>
      <w:pPr>
        <w:pStyle w:val="BodyTextIndent3"/>
        <w:spacing w:line="240" w:lineRule="auto"/>
        <w:ind w:left="0" w:firstLine="560"/>
        <w:rPr>
          <w:rFonts w:hint="eastAsia"/>
        </w:rPr>
      </w:pPr>
      <w:r>
        <w:rPr>
          <w:rFonts w:hint="eastAsia"/>
        </w:rPr>
        <w:t>对于</w:t>
      </w:r>
      <w:r>
        <w:rPr>
          <w:rFonts w:hint="eastAsia"/>
          <w:lang w:eastAsia="zh-CN"/>
        </w:rPr>
        <w:t>相关项目</w:t>
      </w:r>
      <w:r>
        <w:rPr>
          <w:rFonts w:hint="eastAsia"/>
        </w:rPr>
        <w:t>的销售，针对目标客户群和推广时段来进行安排相应的策略和推广方式。</w:t>
      </w:r>
    </w:p>
    <w:p>
      <w:pPr>
        <w:pStyle w:val="BodyTextIndent3"/>
        <w:spacing w:line="240" w:lineRule="auto"/>
        <w:ind w:left="0" w:firstLine="560"/>
        <w:rPr>
          <w:rFonts w:hint="eastAsia"/>
        </w:rPr>
      </w:pPr>
      <w:r>
        <w:rPr>
          <w:rFonts w:hint="eastAsia"/>
        </w:rPr>
        <w:t>在招商和销售的运作上必须把握好市场上一切利我因素，回避不利因素，根据市场情况和运作情况灵活调整相应策略，促使</w:t>
      </w:r>
      <w:r>
        <w:rPr>
          <w:rFonts w:hint="eastAsia"/>
          <w:lang w:eastAsia="zh-CN"/>
        </w:rPr>
        <w:t>相关项目</w:t>
      </w:r>
      <w:r>
        <w:rPr>
          <w:rFonts w:hint="eastAsia"/>
        </w:rPr>
        <w:t>成功运作。</w:t>
      </w:r>
    </w:p>
    <w:p>
      <w:pPr>
        <w:pStyle w:val="Normal0"/>
        <w:ind w:firstLine="560" w:firstLineChars="200"/>
        <w:rPr>
          <w:rFonts w:hint="eastAsia"/>
          <w:sz w:val="28"/>
        </w:rPr>
        <w:sectPr>
          <w:headerReference w:type="default" r:id="rId21"/>
          <w:footerReference w:type="default" r:id="rId22"/>
          <w:type w:val="nextPage"/>
          <w:pgSz w:w="11906" w:h="16838"/>
          <w:pgMar w:top="1440" w:right="1418" w:bottom="1440" w:left="1797" w:header="851" w:footer="992" w:gutter="0"/>
          <w:pgNumType w:start="9"/>
          <w:cols w:num="1" w:space="425"/>
          <w:titlePg w:val="0"/>
          <w:docGrid w:type="lines" w:linePitch="312" w:charSpace="0"/>
        </w:sectPr>
      </w:pPr>
      <w:r>
        <w:rPr>
          <w:rFonts w:hint="eastAsia"/>
          <w:sz w:val="28"/>
        </w:rPr>
        <w:t>具体招商策略、推广策略及推广时段安排将在招商运作和销售运作两篇进行详细分析。</w:t>
      </w:r>
    </w:p>
    <w:p>
      <w:pPr>
        <w:pStyle w:val="Normal0"/>
        <w:ind w:firstLine="560" w:firstLineChars="200"/>
        <w:rPr>
          <w:rFonts w:hint="eastAsia"/>
          <w:sz w:val="28"/>
        </w:rPr>
      </w:pPr>
    </w:p>
    <w:p>
      <w:pPr>
        <w:pStyle w:val="Normal0"/>
        <w:ind w:firstLine="560" w:firstLineChars="200"/>
        <w:rPr>
          <w:rFonts w:hint="eastAsia"/>
          <w:sz w:val="28"/>
        </w:rPr>
      </w:pPr>
    </w:p>
    <w:p>
      <w:pPr>
        <w:pStyle w:val="Normal0"/>
        <w:rPr>
          <w:rFonts w:hint="eastAsia"/>
          <w:b/>
          <w:sz w:val="30"/>
        </w:rPr>
      </w:pPr>
      <w:r>
        <w:rPr>
          <w:rFonts w:hint="eastAsia"/>
          <w:b/>
          <w:sz w:val="30"/>
        </w:rPr>
        <w:t>五、价位策略</w:t>
      </w:r>
    </w:p>
    <w:p>
      <w:pPr>
        <w:pStyle w:val="Normal0"/>
        <w:ind w:firstLine="560" w:firstLineChars="200"/>
        <w:rPr>
          <w:rFonts w:hint="eastAsia"/>
          <w:b/>
          <w:sz w:val="28"/>
        </w:rPr>
      </w:pPr>
      <w:r>
        <w:rPr>
          <w:rFonts w:hint="eastAsia"/>
          <w:b/>
          <w:sz w:val="28"/>
        </w:rPr>
        <w:t>1、价格建议</w:t>
      </w:r>
    </w:p>
    <w:p>
      <w:pPr>
        <w:pStyle w:val="Normal0"/>
        <w:ind w:firstLine="570"/>
        <w:rPr>
          <w:rFonts w:hint="eastAsia"/>
          <w:bCs/>
          <w:sz w:val="28"/>
        </w:rPr>
      </w:pPr>
      <w:r>
        <w:rPr>
          <w:rFonts w:hint="eastAsia"/>
          <w:bCs/>
          <w:sz w:val="28"/>
        </w:rPr>
        <w:t>以下价格是根据现实市场情况和</w:t>
      </w:r>
      <w:r>
        <w:rPr>
          <w:rFonts w:hint="eastAsia"/>
          <w:bCs/>
          <w:sz w:val="28"/>
          <w:lang w:eastAsia="zh-CN"/>
        </w:rPr>
        <w:t>相关项目</w:t>
      </w:r>
      <w:r>
        <w:rPr>
          <w:rFonts w:hint="eastAsia"/>
          <w:bCs/>
          <w:sz w:val="28"/>
        </w:rPr>
        <w:t>情况而定。具体价位需根据招商情况（主力商家情况）和销售时市场状况而定。</w:t>
      </w:r>
    </w:p>
    <w:p>
      <w:pPr>
        <w:pStyle w:val="Normal0"/>
        <w:numPr>
          <w:ilvl w:val="0"/>
          <w:numId w:val="29"/>
        </w:numPr>
        <w:rPr>
          <w:rFonts w:ascii="宋体" w:hAnsi="宋体" w:hint="eastAsia"/>
          <w:sz w:val="28"/>
        </w:rPr>
      </w:pPr>
      <w:r>
        <w:rPr>
          <w:rFonts w:ascii="宋体" w:hAnsi="宋体" w:hint="eastAsia"/>
          <w:sz w:val="28"/>
        </w:rPr>
        <w:t>长安商业物业价格分析</w:t>
      </w:r>
    </w:p>
    <w:p>
      <w:pPr>
        <w:pStyle w:val="Normal0"/>
        <w:ind w:left="420"/>
        <w:rPr>
          <w:rFonts w:ascii="宋体" w:hAnsi="宋体" w:hint="eastAsia"/>
          <w:sz w:val="28"/>
        </w:rPr>
      </w:pPr>
    </w:p>
    <w:tbl>
      <w:tblPr>
        <w:tblStyle w:val="TableNormal"/>
        <w:tblW w:w="0" w:type="auto"/>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041"/>
        <w:gridCol w:w="1211"/>
        <w:gridCol w:w="1710"/>
        <w:gridCol w:w="1896"/>
        <w:gridCol w:w="1250"/>
        <w:gridCol w:w="1231"/>
      </w:tblGrid>
      <w:tr>
        <w:tblPrEx>
          <w:tblW w:w="0" w:type="auto"/>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2082" w:type="dxa"/>
          </w:tcPr>
          <w:p>
            <w:pPr>
              <w:pStyle w:val="Normal0"/>
              <w:rPr>
                <w:rFonts w:ascii="宋体" w:hAnsi="宋体" w:hint="eastAsia"/>
                <w:sz w:val="28"/>
              </w:rPr>
            </w:pPr>
            <w:r>
              <w:rPr>
                <w:rFonts w:hint="eastAsia"/>
                <w:b/>
                <w:sz w:val="28"/>
              </w:rPr>
              <w:t>参考</w:t>
            </w:r>
            <w:r>
              <w:rPr>
                <w:rFonts w:hint="eastAsia"/>
                <w:b/>
                <w:sz w:val="28"/>
                <w:lang w:eastAsia="zh-CN"/>
              </w:rPr>
              <w:t>相关项目</w:t>
            </w:r>
          </w:p>
        </w:tc>
        <w:tc>
          <w:tcPr>
            <w:tcW w:w="1230" w:type="dxa"/>
          </w:tcPr>
          <w:p>
            <w:pPr>
              <w:pStyle w:val="Normal0"/>
              <w:rPr>
                <w:rFonts w:ascii="宋体" w:hAnsi="宋体" w:hint="eastAsia"/>
                <w:sz w:val="28"/>
              </w:rPr>
            </w:pPr>
            <w:r>
              <w:rPr>
                <w:rFonts w:hint="eastAsia"/>
                <w:b/>
                <w:sz w:val="28"/>
              </w:rPr>
              <w:t>位置</w:t>
            </w:r>
          </w:p>
        </w:tc>
        <w:tc>
          <w:tcPr>
            <w:tcW w:w="1710" w:type="dxa"/>
          </w:tcPr>
          <w:p>
            <w:pPr>
              <w:pStyle w:val="Normal0"/>
              <w:rPr>
                <w:rFonts w:ascii="宋体" w:hAnsi="宋体" w:hint="eastAsia"/>
                <w:sz w:val="28"/>
              </w:rPr>
            </w:pPr>
            <w:r>
              <w:rPr>
                <w:rFonts w:hint="eastAsia"/>
                <w:b/>
                <w:sz w:val="28"/>
              </w:rPr>
              <w:t>一楼销售价</w:t>
            </w:r>
          </w:p>
        </w:tc>
        <w:tc>
          <w:tcPr>
            <w:tcW w:w="1803" w:type="dxa"/>
          </w:tcPr>
          <w:p>
            <w:pPr>
              <w:pStyle w:val="Normal0"/>
              <w:rPr>
                <w:rFonts w:ascii="宋体" w:hAnsi="宋体" w:hint="eastAsia"/>
                <w:sz w:val="28"/>
              </w:rPr>
            </w:pPr>
            <w:r>
              <w:rPr>
                <w:rFonts w:hint="eastAsia"/>
                <w:b/>
                <w:sz w:val="28"/>
              </w:rPr>
              <w:t>二楼销售价</w:t>
            </w:r>
          </w:p>
        </w:tc>
        <w:tc>
          <w:tcPr>
            <w:tcW w:w="1266" w:type="dxa"/>
          </w:tcPr>
          <w:p>
            <w:pPr>
              <w:pStyle w:val="Normal0"/>
              <w:rPr>
                <w:rFonts w:ascii="宋体" w:hAnsi="宋体" w:hint="eastAsia"/>
                <w:sz w:val="28"/>
              </w:rPr>
            </w:pPr>
            <w:r>
              <w:rPr>
                <w:rFonts w:hint="eastAsia"/>
                <w:b/>
                <w:sz w:val="28"/>
              </w:rPr>
              <w:t>一楼租赁均价</w:t>
            </w:r>
          </w:p>
        </w:tc>
        <w:tc>
          <w:tcPr>
            <w:tcW w:w="1248" w:type="dxa"/>
          </w:tcPr>
          <w:p>
            <w:pPr>
              <w:pStyle w:val="Normal0"/>
              <w:rPr>
                <w:rFonts w:ascii="宋体" w:hAnsi="宋体" w:hint="eastAsia"/>
                <w:sz w:val="28"/>
              </w:rPr>
            </w:pPr>
            <w:r>
              <w:rPr>
                <w:rFonts w:hint="eastAsia"/>
                <w:b/>
                <w:sz w:val="28"/>
              </w:rPr>
              <w:t>二楼租赁均价</w:t>
            </w:r>
          </w:p>
        </w:tc>
      </w:tr>
      <w:tr>
        <w:tblPrEx>
          <w:tblW w:w="0" w:type="auto"/>
          <w:tblInd w:w="-432" w:type="dxa"/>
          <w:tblCellMar>
            <w:top w:w="0" w:type="dxa"/>
            <w:left w:w="108" w:type="dxa"/>
            <w:bottom w:w="0" w:type="dxa"/>
            <w:right w:w="108" w:type="dxa"/>
          </w:tblCellMar>
        </w:tblPrEx>
        <w:tc>
          <w:tcPr>
            <w:tcW w:w="2082" w:type="dxa"/>
          </w:tcPr>
          <w:p>
            <w:pPr>
              <w:pStyle w:val="Normal0"/>
              <w:rPr>
                <w:rFonts w:hint="eastAsia"/>
                <w:b/>
                <w:sz w:val="28"/>
              </w:rPr>
            </w:pPr>
            <w:r>
              <w:rPr>
                <w:rFonts w:hint="eastAsia"/>
                <w:sz w:val="28"/>
              </w:rPr>
              <w:t>中惠名城风情街</w:t>
            </w:r>
          </w:p>
        </w:tc>
        <w:tc>
          <w:tcPr>
            <w:tcW w:w="1230" w:type="dxa"/>
          </w:tcPr>
          <w:p>
            <w:pPr>
              <w:pStyle w:val="Normal0"/>
              <w:rPr>
                <w:rFonts w:hint="eastAsia"/>
                <w:b/>
                <w:sz w:val="28"/>
              </w:rPr>
            </w:pPr>
            <w:r>
              <w:rPr>
                <w:rFonts w:hint="eastAsia"/>
                <w:sz w:val="28"/>
              </w:rPr>
              <w:t>长青路</w:t>
            </w:r>
          </w:p>
        </w:tc>
        <w:tc>
          <w:tcPr>
            <w:tcW w:w="1710" w:type="dxa"/>
          </w:tcPr>
          <w:p>
            <w:pPr>
              <w:pStyle w:val="Normal0"/>
              <w:rPr>
                <w:rFonts w:hint="eastAsia"/>
                <w:b/>
                <w:sz w:val="28"/>
              </w:rPr>
            </w:pPr>
            <w:r>
              <w:rPr>
                <w:rFonts w:hint="eastAsia"/>
                <w:sz w:val="28"/>
              </w:rPr>
              <w:t>22000-28000元/㎡</w:t>
            </w:r>
          </w:p>
        </w:tc>
        <w:tc>
          <w:tcPr>
            <w:tcW w:w="1803" w:type="dxa"/>
          </w:tcPr>
          <w:p>
            <w:pPr>
              <w:pStyle w:val="Normal0"/>
              <w:rPr>
                <w:rFonts w:hint="eastAsia"/>
                <w:b/>
                <w:sz w:val="28"/>
              </w:rPr>
            </w:pPr>
            <w:r>
              <w:rPr>
                <w:rFonts w:hint="eastAsia"/>
                <w:sz w:val="28"/>
              </w:rPr>
              <w:t>10000</w:t>
            </w:r>
            <w:r>
              <w:rPr>
                <w:sz w:val="28"/>
              </w:rPr>
              <w:t>—</w:t>
            </w:r>
            <w:r>
              <w:rPr>
                <w:rFonts w:hint="eastAsia"/>
                <w:sz w:val="28"/>
              </w:rPr>
              <w:t>14000元/㎡</w:t>
            </w:r>
          </w:p>
        </w:tc>
        <w:tc>
          <w:tcPr>
            <w:tcW w:w="1266" w:type="dxa"/>
          </w:tcPr>
          <w:p>
            <w:pPr>
              <w:pStyle w:val="Normal0"/>
              <w:rPr>
                <w:rFonts w:ascii="宋体" w:hAnsi="宋体" w:hint="eastAsia"/>
                <w:sz w:val="28"/>
              </w:rPr>
            </w:pPr>
            <w:r>
              <w:rPr>
                <w:rFonts w:hint="eastAsia"/>
                <w:sz w:val="28"/>
              </w:rPr>
              <w:t>120元/㎡.月</w:t>
            </w:r>
          </w:p>
        </w:tc>
        <w:tc>
          <w:tcPr>
            <w:tcW w:w="1248" w:type="dxa"/>
          </w:tcPr>
          <w:p>
            <w:pPr>
              <w:pStyle w:val="Normal0"/>
              <w:rPr>
                <w:rFonts w:ascii="宋体" w:hAnsi="宋体" w:hint="eastAsia"/>
                <w:sz w:val="28"/>
              </w:rPr>
            </w:pPr>
            <w:r>
              <w:rPr>
                <w:rFonts w:hint="eastAsia"/>
                <w:sz w:val="28"/>
              </w:rPr>
              <w:t>65元/㎡.月</w:t>
            </w:r>
          </w:p>
        </w:tc>
      </w:tr>
      <w:tr>
        <w:tblPrEx>
          <w:tblW w:w="0" w:type="auto"/>
          <w:tblInd w:w="-432" w:type="dxa"/>
          <w:tblCellMar>
            <w:top w:w="0" w:type="dxa"/>
            <w:left w:w="108" w:type="dxa"/>
            <w:bottom w:w="0" w:type="dxa"/>
            <w:right w:w="108" w:type="dxa"/>
          </w:tblCellMar>
        </w:tblPrEx>
        <w:tc>
          <w:tcPr>
            <w:tcW w:w="2082" w:type="dxa"/>
          </w:tcPr>
          <w:p>
            <w:pPr>
              <w:pStyle w:val="Normal0"/>
              <w:rPr>
                <w:rFonts w:hint="eastAsia"/>
                <w:sz w:val="28"/>
              </w:rPr>
            </w:pPr>
            <w:r>
              <w:rPr>
                <w:rFonts w:hint="eastAsia"/>
                <w:sz w:val="28"/>
              </w:rPr>
              <w:t>南铭商业中心</w:t>
            </w:r>
          </w:p>
        </w:tc>
        <w:tc>
          <w:tcPr>
            <w:tcW w:w="1230" w:type="dxa"/>
          </w:tcPr>
          <w:p>
            <w:pPr>
              <w:pStyle w:val="Normal0"/>
              <w:rPr>
                <w:rFonts w:hint="eastAsia"/>
                <w:sz w:val="28"/>
              </w:rPr>
            </w:pPr>
            <w:r>
              <w:rPr>
                <w:rFonts w:hint="eastAsia"/>
                <w:sz w:val="28"/>
              </w:rPr>
              <w:t>霄边村</w:t>
            </w:r>
          </w:p>
        </w:tc>
        <w:tc>
          <w:tcPr>
            <w:tcW w:w="1710" w:type="dxa"/>
          </w:tcPr>
          <w:p>
            <w:pPr>
              <w:pStyle w:val="Normal0"/>
              <w:rPr>
                <w:rFonts w:hint="eastAsia"/>
                <w:sz w:val="28"/>
              </w:rPr>
            </w:pPr>
            <w:r>
              <w:rPr>
                <w:rFonts w:hint="eastAsia"/>
                <w:sz w:val="28"/>
              </w:rPr>
              <w:t>10000-15000元/㎡</w:t>
            </w:r>
          </w:p>
        </w:tc>
        <w:tc>
          <w:tcPr>
            <w:tcW w:w="1803" w:type="dxa"/>
          </w:tcPr>
          <w:p>
            <w:pPr>
              <w:pStyle w:val="Normal0"/>
              <w:rPr>
                <w:rFonts w:hint="eastAsia"/>
                <w:sz w:val="28"/>
              </w:rPr>
            </w:pPr>
            <w:r>
              <w:rPr>
                <w:rFonts w:hint="eastAsia"/>
                <w:sz w:val="28"/>
              </w:rPr>
              <w:t>无</w:t>
            </w:r>
          </w:p>
        </w:tc>
        <w:tc>
          <w:tcPr>
            <w:tcW w:w="1266" w:type="dxa"/>
          </w:tcPr>
          <w:p>
            <w:pPr>
              <w:pStyle w:val="Normal0"/>
              <w:rPr>
                <w:rFonts w:ascii="宋体" w:hAnsi="宋体" w:hint="eastAsia"/>
                <w:sz w:val="28"/>
              </w:rPr>
            </w:pPr>
            <w:r>
              <w:rPr>
                <w:rFonts w:hint="eastAsia"/>
                <w:sz w:val="28"/>
              </w:rPr>
              <w:t>90元/㎡.月</w:t>
            </w:r>
          </w:p>
        </w:tc>
        <w:tc>
          <w:tcPr>
            <w:tcW w:w="1248" w:type="dxa"/>
          </w:tcPr>
          <w:p>
            <w:pPr>
              <w:pStyle w:val="Normal0"/>
              <w:rPr>
                <w:rFonts w:ascii="宋体" w:hAnsi="宋体" w:hint="eastAsia"/>
                <w:sz w:val="28"/>
              </w:rPr>
            </w:pPr>
            <w:r>
              <w:rPr>
                <w:rFonts w:hint="eastAsia"/>
                <w:sz w:val="28"/>
              </w:rPr>
              <w:t>无</w:t>
            </w:r>
          </w:p>
        </w:tc>
      </w:tr>
      <w:tr>
        <w:tblPrEx>
          <w:tblW w:w="0" w:type="auto"/>
          <w:tblInd w:w="-432" w:type="dxa"/>
          <w:tblCellMar>
            <w:top w:w="0" w:type="dxa"/>
            <w:left w:w="108" w:type="dxa"/>
            <w:bottom w:w="0" w:type="dxa"/>
            <w:right w:w="108" w:type="dxa"/>
          </w:tblCellMar>
        </w:tblPrEx>
        <w:tc>
          <w:tcPr>
            <w:tcW w:w="2082" w:type="dxa"/>
          </w:tcPr>
          <w:p>
            <w:pPr>
              <w:pStyle w:val="Normal0"/>
              <w:rPr>
                <w:rFonts w:hint="eastAsia"/>
                <w:sz w:val="28"/>
              </w:rPr>
            </w:pPr>
            <w:r>
              <w:rPr>
                <w:rFonts w:hint="eastAsia"/>
                <w:sz w:val="28"/>
              </w:rPr>
              <w:t>新世界愉康店</w:t>
            </w:r>
          </w:p>
        </w:tc>
        <w:tc>
          <w:tcPr>
            <w:tcW w:w="1230" w:type="dxa"/>
          </w:tcPr>
          <w:p>
            <w:pPr>
              <w:pStyle w:val="Normal0"/>
              <w:rPr>
                <w:rFonts w:hint="eastAsia"/>
                <w:sz w:val="28"/>
              </w:rPr>
            </w:pPr>
            <w:r>
              <w:rPr>
                <w:rFonts w:hint="eastAsia"/>
                <w:sz w:val="28"/>
              </w:rPr>
              <w:t>沙蒲头路</w:t>
            </w:r>
          </w:p>
        </w:tc>
        <w:tc>
          <w:tcPr>
            <w:tcW w:w="1710" w:type="dxa"/>
          </w:tcPr>
          <w:p>
            <w:pPr>
              <w:pStyle w:val="Normal0"/>
              <w:rPr>
                <w:rFonts w:hint="eastAsia"/>
                <w:sz w:val="28"/>
              </w:rPr>
            </w:pPr>
            <w:r>
              <w:rPr>
                <w:rFonts w:hint="eastAsia"/>
                <w:sz w:val="28"/>
              </w:rPr>
              <w:t>18000-20000元/㎡</w:t>
            </w:r>
          </w:p>
        </w:tc>
        <w:tc>
          <w:tcPr>
            <w:tcW w:w="1803" w:type="dxa"/>
          </w:tcPr>
          <w:p>
            <w:pPr>
              <w:pStyle w:val="Normal0"/>
              <w:rPr>
                <w:rFonts w:hint="eastAsia"/>
                <w:sz w:val="28"/>
              </w:rPr>
            </w:pPr>
            <w:r>
              <w:rPr>
                <w:rFonts w:hint="eastAsia"/>
                <w:sz w:val="28"/>
              </w:rPr>
              <w:t>无</w:t>
            </w:r>
          </w:p>
        </w:tc>
        <w:tc>
          <w:tcPr>
            <w:tcW w:w="1266" w:type="dxa"/>
          </w:tcPr>
          <w:p>
            <w:pPr>
              <w:pStyle w:val="Normal0"/>
              <w:rPr>
                <w:rFonts w:hint="eastAsia"/>
                <w:sz w:val="28"/>
              </w:rPr>
            </w:pPr>
            <w:r>
              <w:rPr>
                <w:rFonts w:hint="eastAsia"/>
                <w:sz w:val="28"/>
              </w:rPr>
              <w:t>100元/㎡.月</w:t>
            </w:r>
          </w:p>
        </w:tc>
        <w:tc>
          <w:tcPr>
            <w:tcW w:w="1248" w:type="dxa"/>
          </w:tcPr>
          <w:p>
            <w:pPr>
              <w:pStyle w:val="Normal0"/>
              <w:rPr>
                <w:rFonts w:hint="eastAsia"/>
                <w:sz w:val="28"/>
              </w:rPr>
            </w:pPr>
            <w:r>
              <w:rPr>
                <w:rFonts w:hint="eastAsia"/>
                <w:sz w:val="28"/>
              </w:rPr>
              <w:t>无</w:t>
            </w:r>
          </w:p>
        </w:tc>
      </w:tr>
      <w:tr>
        <w:tblPrEx>
          <w:tblW w:w="0" w:type="auto"/>
          <w:tblInd w:w="-432" w:type="dxa"/>
          <w:tblCellMar>
            <w:top w:w="0" w:type="dxa"/>
            <w:left w:w="108" w:type="dxa"/>
            <w:bottom w:w="0" w:type="dxa"/>
            <w:right w:w="108" w:type="dxa"/>
          </w:tblCellMar>
        </w:tblPrEx>
        <w:tc>
          <w:tcPr>
            <w:tcW w:w="2082" w:type="dxa"/>
          </w:tcPr>
          <w:p>
            <w:pPr>
              <w:pStyle w:val="Normal0"/>
              <w:rPr>
                <w:rFonts w:hint="eastAsia"/>
                <w:sz w:val="28"/>
              </w:rPr>
            </w:pPr>
            <w:r>
              <w:rPr>
                <w:rFonts w:hint="eastAsia"/>
                <w:sz w:val="28"/>
              </w:rPr>
              <w:t>钻石广场</w:t>
            </w:r>
          </w:p>
        </w:tc>
        <w:tc>
          <w:tcPr>
            <w:tcW w:w="1230" w:type="dxa"/>
          </w:tcPr>
          <w:p>
            <w:pPr>
              <w:pStyle w:val="Normal0"/>
              <w:rPr>
                <w:rFonts w:hint="eastAsia"/>
                <w:sz w:val="28"/>
              </w:rPr>
            </w:pPr>
            <w:r>
              <w:rPr>
                <w:rFonts w:hint="eastAsia"/>
                <w:sz w:val="28"/>
              </w:rPr>
              <w:t>长盛路</w:t>
            </w:r>
          </w:p>
        </w:tc>
        <w:tc>
          <w:tcPr>
            <w:tcW w:w="1710" w:type="dxa"/>
          </w:tcPr>
          <w:p>
            <w:pPr>
              <w:pStyle w:val="Normal0"/>
              <w:rPr>
                <w:rFonts w:hint="eastAsia"/>
                <w:sz w:val="28"/>
              </w:rPr>
            </w:pPr>
            <w:r>
              <w:rPr>
                <w:rFonts w:hint="eastAsia"/>
                <w:sz w:val="28"/>
              </w:rPr>
              <w:t>30000-36000元/㎡</w:t>
            </w:r>
          </w:p>
        </w:tc>
        <w:tc>
          <w:tcPr>
            <w:tcW w:w="1803" w:type="dxa"/>
          </w:tcPr>
          <w:p>
            <w:pPr>
              <w:pStyle w:val="Normal0"/>
              <w:rPr>
                <w:rFonts w:hint="eastAsia"/>
                <w:sz w:val="28"/>
              </w:rPr>
            </w:pPr>
            <w:r>
              <w:rPr>
                <w:rFonts w:hint="eastAsia"/>
                <w:sz w:val="28"/>
              </w:rPr>
              <w:t>无</w:t>
            </w:r>
          </w:p>
        </w:tc>
        <w:tc>
          <w:tcPr>
            <w:tcW w:w="1266" w:type="dxa"/>
          </w:tcPr>
          <w:p>
            <w:pPr>
              <w:pStyle w:val="Normal0"/>
              <w:rPr>
                <w:rFonts w:hint="eastAsia"/>
                <w:sz w:val="28"/>
              </w:rPr>
            </w:pPr>
            <w:r>
              <w:rPr>
                <w:rFonts w:hint="eastAsia"/>
                <w:sz w:val="28"/>
              </w:rPr>
              <w:t>200元/㎡</w:t>
            </w:r>
          </w:p>
        </w:tc>
        <w:tc>
          <w:tcPr>
            <w:tcW w:w="1248" w:type="dxa"/>
          </w:tcPr>
          <w:p>
            <w:pPr>
              <w:pStyle w:val="Normal0"/>
              <w:rPr>
                <w:rFonts w:hint="eastAsia"/>
                <w:sz w:val="28"/>
              </w:rPr>
            </w:pPr>
            <w:r>
              <w:rPr>
                <w:rFonts w:hint="eastAsia"/>
                <w:sz w:val="28"/>
              </w:rPr>
              <w:t>80元/㎡</w:t>
            </w:r>
          </w:p>
        </w:tc>
      </w:tr>
      <w:tr>
        <w:tblPrEx>
          <w:tblW w:w="0" w:type="auto"/>
          <w:tblInd w:w="-432" w:type="dxa"/>
          <w:tblCellMar>
            <w:top w:w="0" w:type="dxa"/>
            <w:left w:w="108" w:type="dxa"/>
            <w:bottom w:w="0" w:type="dxa"/>
            <w:right w:w="108" w:type="dxa"/>
          </w:tblCellMar>
        </w:tblPrEx>
        <w:tc>
          <w:tcPr>
            <w:tcW w:w="2082" w:type="dxa"/>
          </w:tcPr>
          <w:p>
            <w:pPr>
              <w:pStyle w:val="Normal0"/>
              <w:rPr>
                <w:rFonts w:hint="eastAsia"/>
                <w:sz w:val="28"/>
              </w:rPr>
            </w:pPr>
            <w:r>
              <w:rPr>
                <w:rFonts w:hint="eastAsia"/>
                <w:sz w:val="28"/>
              </w:rPr>
              <w:t>长青商业广场</w:t>
            </w:r>
          </w:p>
        </w:tc>
        <w:tc>
          <w:tcPr>
            <w:tcW w:w="1230" w:type="dxa"/>
          </w:tcPr>
          <w:p>
            <w:pPr>
              <w:pStyle w:val="Normal0"/>
              <w:rPr>
                <w:rFonts w:hint="eastAsia"/>
                <w:sz w:val="28"/>
              </w:rPr>
            </w:pPr>
            <w:r>
              <w:rPr>
                <w:rFonts w:hint="eastAsia"/>
                <w:sz w:val="28"/>
              </w:rPr>
              <w:t>长青路</w:t>
            </w:r>
          </w:p>
        </w:tc>
        <w:tc>
          <w:tcPr>
            <w:tcW w:w="1710" w:type="dxa"/>
          </w:tcPr>
          <w:p>
            <w:pPr>
              <w:pStyle w:val="Normal0"/>
              <w:rPr>
                <w:rFonts w:hint="eastAsia"/>
                <w:sz w:val="28"/>
              </w:rPr>
            </w:pPr>
            <w:r>
              <w:rPr>
                <w:rFonts w:hint="eastAsia"/>
                <w:sz w:val="28"/>
              </w:rPr>
              <w:t>暂无销售</w:t>
            </w:r>
          </w:p>
        </w:tc>
        <w:tc>
          <w:tcPr>
            <w:tcW w:w="1803" w:type="dxa"/>
          </w:tcPr>
          <w:p>
            <w:pPr>
              <w:pStyle w:val="Normal0"/>
              <w:rPr>
                <w:rFonts w:hint="eastAsia"/>
                <w:sz w:val="28"/>
              </w:rPr>
            </w:pPr>
            <w:r>
              <w:rPr>
                <w:rFonts w:hint="eastAsia"/>
                <w:sz w:val="28"/>
              </w:rPr>
              <w:t>无</w:t>
            </w:r>
          </w:p>
        </w:tc>
        <w:tc>
          <w:tcPr>
            <w:tcW w:w="1266" w:type="dxa"/>
          </w:tcPr>
          <w:p>
            <w:pPr>
              <w:pStyle w:val="Normal0"/>
              <w:rPr>
                <w:rFonts w:hint="eastAsia"/>
                <w:sz w:val="28"/>
              </w:rPr>
            </w:pPr>
            <w:r>
              <w:rPr>
                <w:rFonts w:hint="eastAsia"/>
                <w:sz w:val="28"/>
              </w:rPr>
              <w:t>100元/㎡</w:t>
            </w:r>
          </w:p>
        </w:tc>
        <w:tc>
          <w:tcPr>
            <w:tcW w:w="1248" w:type="dxa"/>
          </w:tcPr>
          <w:p>
            <w:pPr>
              <w:pStyle w:val="Normal0"/>
              <w:rPr>
                <w:rFonts w:hint="eastAsia"/>
                <w:sz w:val="28"/>
              </w:rPr>
            </w:pPr>
            <w:r>
              <w:rPr>
                <w:rFonts w:hint="eastAsia"/>
                <w:sz w:val="28"/>
              </w:rPr>
              <w:t>60元/㎡</w:t>
            </w:r>
          </w:p>
        </w:tc>
      </w:tr>
    </w:tbl>
    <w:p>
      <w:pPr>
        <w:pStyle w:val="Normal0"/>
        <w:rPr>
          <w:rFonts w:ascii="宋体" w:hAnsi="宋体" w:hint="eastAsia"/>
          <w:sz w:val="28"/>
        </w:rPr>
        <w:sectPr>
          <w:headerReference w:type="default" r:id="rId23"/>
          <w:footerReference w:type="default" r:id="rId24"/>
          <w:type w:val="nextPage"/>
          <w:pgSz w:w="11906" w:h="16838"/>
          <w:pgMar w:top="1440" w:right="1418" w:bottom="1440" w:left="1797" w:header="851" w:footer="992" w:gutter="0"/>
          <w:pgNumType w:start="10"/>
          <w:cols w:num="1" w:space="425"/>
          <w:titlePg w:val="0"/>
          <w:docGrid w:type="lines" w:linePitch="312" w:charSpace="0"/>
        </w:sectPr>
      </w:pPr>
    </w:p>
    <w:p>
      <w:pPr>
        <w:pStyle w:val="Normal0"/>
        <w:rPr>
          <w:rFonts w:ascii="宋体" w:hAnsi="宋体" w:hint="eastAsia"/>
          <w:sz w:val="28"/>
        </w:rPr>
      </w:pPr>
      <w:r>
        <w:rPr>
          <w:rFonts w:ascii="宋体" w:hAnsi="宋体" w:hint="eastAsia"/>
          <w:sz w:val="28"/>
        </w:rPr>
        <w:t>说明：</w:t>
      </w:r>
    </w:p>
    <w:p>
      <w:pPr>
        <w:pStyle w:val="Normal0"/>
        <w:ind w:left="560" w:hanging="560" w:hangingChars="200"/>
        <w:rPr>
          <w:rFonts w:hint="eastAsia"/>
          <w:sz w:val="28"/>
        </w:rPr>
      </w:pPr>
      <w:r>
        <w:rPr>
          <w:rFonts w:ascii="宋体" w:hAnsi="宋体" w:hint="eastAsia"/>
          <w:sz w:val="28"/>
        </w:rPr>
        <w:t>◇  南铭商业中心</w:t>
      </w:r>
      <w:r>
        <w:rPr>
          <w:rFonts w:hint="eastAsia"/>
          <w:sz w:val="28"/>
        </w:rPr>
        <w:t>为早年开发，位于长安霄边村，地理位置较偏，但由于销售较早，体量不大，销售情况比较理想，基本销售完毕。</w:t>
      </w:r>
    </w:p>
    <w:p>
      <w:pPr>
        <w:pStyle w:val="Normal0"/>
        <w:ind w:left="560" w:hanging="560" w:hangingChars="200"/>
        <w:rPr>
          <w:rFonts w:ascii="宋体" w:hAnsi="宋体" w:hint="eastAsia"/>
          <w:sz w:val="28"/>
        </w:rPr>
      </w:pPr>
      <w:r>
        <w:rPr>
          <w:rFonts w:ascii="宋体" w:hAnsi="宋体" w:hint="eastAsia"/>
          <w:sz w:val="28"/>
        </w:rPr>
        <w:t>◇</w:t>
      </w:r>
      <w:r>
        <w:rPr>
          <w:rFonts w:hint="eastAsia"/>
          <w:sz w:val="28"/>
        </w:rPr>
        <w:t xml:space="preserve">  目前正在销售的中惠名城风情街对本</w:t>
      </w:r>
      <w:r>
        <w:rPr>
          <w:rFonts w:hint="eastAsia"/>
          <w:sz w:val="28"/>
          <w:lang w:eastAsia="zh-CN"/>
        </w:rPr>
        <w:t>相关项目</w:t>
      </w:r>
      <w:r>
        <w:rPr>
          <w:rFonts w:hint="eastAsia"/>
          <w:sz w:val="28"/>
        </w:rPr>
        <w:t>的参考意义最大，一层整体售价为22000--28000元/平方米。</w:t>
      </w:r>
    </w:p>
    <w:p>
      <w:pPr>
        <w:pStyle w:val="Normal0"/>
        <w:ind w:left="560" w:hanging="560" w:hangingChars="200"/>
        <w:rPr>
          <w:rFonts w:ascii="宋体" w:hAnsi="宋体" w:hint="eastAsia"/>
          <w:sz w:val="28"/>
        </w:rPr>
      </w:pPr>
      <w:r>
        <w:rPr>
          <w:rFonts w:ascii="宋体" w:hAnsi="宋体" w:hint="eastAsia"/>
          <w:sz w:val="28"/>
        </w:rPr>
        <w:t>2） 结合周边的</w:t>
      </w:r>
      <w:r>
        <w:rPr>
          <w:rFonts w:ascii="宋体" w:hAnsi="宋体" w:hint="eastAsia"/>
          <w:sz w:val="28"/>
          <w:lang w:eastAsia="zh-CN"/>
        </w:rPr>
        <w:t>相关项目</w:t>
      </w:r>
      <w:r>
        <w:rPr>
          <w:rFonts w:ascii="宋体" w:hAnsi="宋体" w:hint="eastAsia"/>
          <w:sz w:val="28"/>
        </w:rPr>
        <w:t>情况，综合考虑</w:t>
      </w:r>
      <w:r>
        <w:rPr>
          <w:rFonts w:ascii="宋体" w:hAnsi="宋体" w:hint="eastAsia"/>
          <w:sz w:val="28"/>
          <w:lang w:eastAsia="zh-CN"/>
        </w:rPr>
        <w:t>相关项目</w:t>
      </w:r>
      <w:r>
        <w:rPr>
          <w:rFonts w:ascii="宋体" w:hAnsi="宋体" w:hint="eastAsia"/>
          <w:sz w:val="28"/>
        </w:rPr>
        <w:t>目前所处的商业环境、发展商的收益及价格对销售进度的影响，对本</w:t>
      </w:r>
      <w:r>
        <w:rPr>
          <w:rFonts w:ascii="宋体" w:hAnsi="宋体" w:hint="eastAsia"/>
          <w:sz w:val="28"/>
          <w:lang w:eastAsia="zh-CN"/>
        </w:rPr>
        <w:t>相关项目</w:t>
      </w:r>
      <w:r>
        <w:rPr>
          <w:rFonts w:ascii="宋体" w:hAnsi="宋体" w:hint="eastAsia"/>
          <w:sz w:val="28"/>
        </w:rPr>
        <w:t>的价位的计算进行分析。</w:t>
      </w:r>
    </w:p>
    <w:p>
      <w:pPr>
        <w:pStyle w:val="Normal0"/>
        <w:ind w:left="560" w:hanging="560" w:hangingChars="200"/>
        <w:rPr>
          <w:rFonts w:ascii="宋体" w:hAnsi="宋体"/>
          <w:sz w:val="28"/>
        </w:rPr>
      </w:pPr>
      <w:r>
        <w:rPr>
          <w:rFonts w:ascii="宋体" w:hAnsi="宋体" w:hint="eastAsia"/>
          <w:sz w:val="28"/>
        </w:rPr>
        <w:t xml:space="preserve">    ◇  对于</w:t>
      </w:r>
      <w:r>
        <w:rPr>
          <w:rFonts w:ascii="宋体" w:hAnsi="宋体" w:hint="eastAsia"/>
          <w:sz w:val="28"/>
          <w:lang w:eastAsia="zh-CN"/>
        </w:rPr>
        <w:t>相关项目</w:t>
      </w:r>
      <w:r>
        <w:rPr>
          <w:rFonts w:ascii="宋体" w:hAnsi="宋体" w:hint="eastAsia"/>
          <w:sz w:val="28"/>
        </w:rPr>
        <w:t>租金，根据“加权平均法”分析为：</w:t>
      </w:r>
    </w:p>
    <w:tbl>
      <w:tblPr>
        <w:tblStyle w:val="TableNormal"/>
        <w:tblW w:w="0" w:type="auto"/>
        <w:tblInd w:w="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339"/>
        <w:gridCol w:w="1401"/>
        <w:gridCol w:w="1401"/>
        <w:gridCol w:w="1402"/>
        <w:gridCol w:w="1402"/>
        <w:gridCol w:w="1402"/>
      </w:tblGrid>
      <w:tr>
        <w:tblPrEx>
          <w:tblW w:w="0" w:type="auto"/>
          <w:tblInd w:w="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484" w:type="dxa"/>
          </w:tcPr>
          <w:p>
            <w:pPr>
              <w:pStyle w:val="Normal0"/>
              <w:rPr>
                <w:rFonts w:ascii="宋体" w:hAnsi="宋体" w:hint="eastAsia"/>
                <w:sz w:val="28"/>
              </w:rPr>
            </w:pPr>
            <w:r>
              <w:rPr>
                <w:rFonts w:ascii="宋体" w:hAnsi="宋体" w:hint="eastAsia"/>
                <w:sz w:val="28"/>
                <w:lang w:eastAsia="zh-CN"/>
              </w:rPr>
              <w:t>相关项目</w:t>
            </w:r>
            <w:r>
              <w:rPr>
                <w:rFonts w:ascii="宋体" w:hAnsi="宋体" w:hint="eastAsia"/>
                <w:sz w:val="28"/>
              </w:rPr>
              <w:t>名称</w:t>
            </w:r>
          </w:p>
        </w:tc>
        <w:tc>
          <w:tcPr>
            <w:tcW w:w="1484" w:type="dxa"/>
          </w:tcPr>
          <w:p>
            <w:pPr>
              <w:pStyle w:val="Normal0"/>
              <w:rPr>
                <w:rFonts w:ascii="宋体" w:hAnsi="宋体" w:hint="eastAsia"/>
                <w:sz w:val="28"/>
              </w:rPr>
            </w:pPr>
            <w:r>
              <w:rPr>
                <w:rFonts w:ascii="宋体" w:hAnsi="宋体" w:hint="eastAsia"/>
                <w:sz w:val="28"/>
              </w:rPr>
              <w:t>中惠风情街（A）</w:t>
            </w:r>
          </w:p>
        </w:tc>
        <w:tc>
          <w:tcPr>
            <w:tcW w:w="1484" w:type="dxa"/>
          </w:tcPr>
          <w:p>
            <w:pPr>
              <w:pStyle w:val="Normal0"/>
              <w:rPr>
                <w:rFonts w:ascii="宋体" w:hAnsi="宋体" w:hint="eastAsia"/>
                <w:sz w:val="28"/>
              </w:rPr>
            </w:pPr>
            <w:r>
              <w:rPr>
                <w:rFonts w:ascii="宋体" w:hAnsi="宋体" w:hint="eastAsia"/>
                <w:sz w:val="28"/>
              </w:rPr>
              <w:t>南铭商业中心（B）</w:t>
            </w:r>
          </w:p>
        </w:tc>
        <w:tc>
          <w:tcPr>
            <w:tcW w:w="1485" w:type="dxa"/>
          </w:tcPr>
          <w:p>
            <w:pPr>
              <w:pStyle w:val="Normal0"/>
              <w:rPr>
                <w:rFonts w:ascii="宋体" w:hAnsi="宋体" w:hint="eastAsia"/>
                <w:sz w:val="28"/>
              </w:rPr>
            </w:pPr>
            <w:r>
              <w:rPr>
                <w:rFonts w:ascii="宋体" w:hAnsi="宋体" w:hint="eastAsia"/>
                <w:sz w:val="28"/>
              </w:rPr>
              <w:t>新世界愉康店（C）</w:t>
            </w:r>
          </w:p>
        </w:tc>
        <w:tc>
          <w:tcPr>
            <w:tcW w:w="1485" w:type="dxa"/>
          </w:tcPr>
          <w:p>
            <w:pPr>
              <w:pStyle w:val="Normal0"/>
              <w:rPr>
                <w:rFonts w:ascii="宋体" w:hAnsi="宋体" w:hint="eastAsia"/>
                <w:sz w:val="28"/>
              </w:rPr>
            </w:pPr>
            <w:r>
              <w:rPr>
                <w:rFonts w:ascii="宋体" w:hAnsi="宋体" w:hint="eastAsia"/>
                <w:sz w:val="28"/>
              </w:rPr>
              <w:t>钻石广场（D）</w:t>
            </w:r>
          </w:p>
        </w:tc>
        <w:tc>
          <w:tcPr>
            <w:tcW w:w="1485" w:type="dxa"/>
          </w:tcPr>
          <w:p>
            <w:pPr>
              <w:pStyle w:val="Normal0"/>
              <w:rPr>
                <w:rFonts w:ascii="宋体" w:hAnsi="宋体" w:hint="eastAsia"/>
                <w:sz w:val="28"/>
              </w:rPr>
            </w:pPr>
            <w:r>
              <w:rPr>
                <w:rFonts w:ascii="宋体" w:hAnsi="宋体" w:hint="eastAsia"/>
                <w:sz w:val="28"/>
              </w:rPr>
              <w:t>长青商业广场（E）</w:t>
            </w:r>
          </w:p>
        </w:tc>
      </w:tr>
      <w:tr>
        <w:tblPrEx>
          <w:tblW w:w="0" w:type="auto"/>
          <w:tblInd w:w="560" w:type="dxa"/>
          <w:tblCellMar>
            <w:top w:w="0" w:type="dxa"/>
            <w:left w:w="108" w:type="dxa"/>
            <w:bottom w:w="0" w:type="dxa"/>
            <w:right w:w="108" w:type="dxa"/>
          </w:tblCellMar>
        </w:tblPrEx>
        <w:tc>
          <w:tcPr>
            <w:tcW w:w="1484" w:type="dxa"/>
          </w:tcPr>
          <w:p>
            <w:pPr>
              <w:pStyle w:val="Normal0"/>
              <w:rPr>
                <w:rFonts w:ascii="宋体" w:hAnsi="宋体" w:hint="eastAsia"/>
                <w:sz w:val="28"/>
              </w:rPr>
            </w:pPr>
            <w:r>
              <w:rPr>
                <w:rFonts w:ascii="宋体" w:hAnsi="宋体" w:hint="eastAsia"/>
                <w:sz w:val="28"/>
              </w:rPr>
              <w:t>权重比例</w:t>
            </w:r>
          </w:p>
        </w:tc>
        <w:tc>
          <w:tcPr>
            <w:tcW w:w="1484" w:type="dxa"/>
          </w:tcPr>
          <w:p>
            <w:pPr>
              <w:pStyle w:val="Normal0"/>
              <w:rPr>
                <w:rFonts w:ascii="宋体" w:hAnsi="宋体" w:hint="eastAsia"/>
                <w:sz w:val="28"/>
              </w:rPr>
            </w:pPr>
            <w:r>
              <w:rPr>
                <w:rFonts w:ascii="宋体" w:hAnsi="宋体" w:hint="eastAsia"/>
                <w:sz w:val="28"/>
              </w:rPr>
              <w:t>30%</w:t>
            </w:r>
          </w:p>
        </w:tc>
        <w:tc>
          <w:tcPr>
            <w:tcW w:w="1484" w:type="dxa"/>
          </w:tcPr>
          <w:p>
            <w:pPr>
              <w:pStyle w:val="Normal0"/>
              <w:rPr>
                <w:rFonts w:ascii="宋体" w:hAnsi="宋体" w:hint="eastAsia"/>
                <w:sz w:val="28"/>
              </w:rPr>
            </w:pPr>
            <w:r>
              <w:rPr>
                <w:rFonts w:ascii="宋体" w:hAnsi="宋体" w:hint="eastAsia"/>
                <w:sz w:val="28"/>
              </w:rPr>
              <w:t>10%</w:t>
            </w:r>
          </w:p>
        </w:tc>
        <w:tc>
          <w:tcPr>
            <w:tcW w:w="1485" w:type="dxa"/>
          </w:tcPr>
          <w:p>
            <w:pPr>
              <w:pStyle w:val="Normal0"/>
              <w:rPr>
                <w:rFonts w:ascii="宋体" w:hAnsi="宋体" w:hint="eastAsia"/>
                <w:sz w:val="28"/>
              </w:rPr>
            </w:pPr>
            <w:r>
              <w:rPr>
                <w:rFonts w:ascii="宋体" w:hAnsi="宋体" w:hint="eastAsia"/>
                <w:sz w:val="28"/>
              </w:rPr>
              <w:t>15%</w:t>
            </w:r>
          </w:p>
        </w:tc>
        <w:tc>
          <w:tcPr>
            <w:tcW w:w="1485" w:type="dxa"/>
          </w:tcPr>
          <w:p>
            <w:pPr>
              <w:pStyle w:val="Normal0"/>
              <w:rPr>
                <w:rFonts w:ascii="宋体" w:hAnsi="宋体" w:hint="eastAsia"/>
                <w:sz w:val="28"/>
              </w:rPr>
            </w:pPr>
            <w:r>
              <w:rPr>
                <w:rFonts w:ascii="宋体" w:hAnsi="宋体" w:hint="eastAsia"/>
                <w:sz w:val="28"/>
              </w:rPr>
              <w:t>20%</w:t>
            </w:r>
          </w:p>
        </w:tc>
        <w:tc>
          <w:tcPr>
            <w:tcW w:w="1485" w:type="dxa"/>
          </w:tcPr>
          <w:p>
            <w:pPr>
              <w:pStyle w:val="Normal0"/>
              <w:rPr>
                <w:rFonts w:ascii="宋体" w:hAnsi="宋体" w:hint="eastAsia"/>
                <w:sz w:val="28"/>
              </w:rPr>
            </w:pPr>
            <w:r>
              <w:rPr>
                <w:rFonts w:ascii="宋体" w:hAnsi="宋体" w:hint="eastAsia"/>
                <w:sz w:val="28"/>
              </w:rPr>
              <w:t>25%</w:t>
            </w:r>
          </w:p>
        </w:tc>
      </w:tr>
    </w:tbl>
    <w:p>
      <w:pPr>
        <w:pStyle w:val="Normal0"/>
        <w:rPr>
          <w:rFonts w:ascii="宋体" w:hAnsi="宋体" w:hint="eastAsia"/>
          <w:sz w:val="28"/>
        </w:rPr>
      </w:pPr>
    </w:p>
    <w:p>
      <w:pPr>
        <w:pStyle w:val="Normal0"/>
        <w:ind w:firstLine="1120" w:firstLineChars="400"/>
        <w:rPr>
          <w:rFonts w:ascii="宋体" w:hAnsi="宋体" w:hint="eastAsia"/>
          <w:sz w:val="28"/>
        </w:rPr>
      </w:pPr>
      <w:r>
        <w:rPr>
          <w:rFonts w:ascii="宋体" w:hAnsi="宋体" w:hint="eastAsia"/>
          <w:sz w:val="28"/>
        </w:rPr>
        <w:t>所以结合以上</w:t>
      </w:r>
      <w:r>
        <w:rPr>
          <w:rFonts w:ascii="宋体" w:hAnsi="宋体" w:hint="eastAsia"/>
          <w:sz w:val="28"/>
          <w:lang w:eastAsia="zh-CN"/>
        </w:rPr>
        <w:t>相关项目</w:t>
      </w:r>
      <w:r>
        <w:rPr>
          <w:rFonts w:ascii="宋体" w:hAnsi="宋体" w:hint="eastAsia"/>
          <w:sz w:val="28"/>
        </w:rPr>
        <w:t>租金情况，确定本</w:t>
      </w:r>
      <w:r>
        <w:rPr>
          <w:rFonts w:ascii="宋体" w:hAnsi="宋体" w:hint="eastAsia"/>
          <w:sz w:val="28"/>
          <w:lang w:eastAsia="zh-CN"/>
        </w:rPr>
        <w:t>相关项目</w:t>
      </w:r>
      <w:r>
        <w:rPr>
          <w:rFonts w:ascii="宋体" w:hAnsi="宋体" w:hint="eastAsia"/>
          <w:sz w:val="28"/>
        </w:rPr>
        <w:t>一楼可比租金为：</w:t>
      </w:r>
    </w:p>
    <w:p>
      <w:pPr>
        <w:pStyle w:val="Normal0"/>
        <w:ind w:firstLine="1120" w:firstLineChars="400"/>
        <w:rPr>
          <w:rFonts w:ascii="宋体" w:hAnsi="宋体" w:hint="eastAsia"/>
          <w:sz w:val="28"/>
        </w:rPr>
      </w:pPr>
      <w:r>
        <w:rPr>
          <w:rFonts w:ascii="宋体" w:hAnsi="宋体" w:hint="eastAsia"/>
          <w:sz w:val="28"/>
        </w:rPr>
        <w:t>本</w:t>
      </w:r>
      <w:r>
        <w:rPr>
          <w:rFonts w:ascii="宋体" w:hAnsi="宋体" w:hint="eastAsia"/>
          <w:sz w:val="28"/>
          <w:lang w:eastAsia="zh-CN"/>
        </w:rPr>
        <w:t>相关项目</w:t>
      </w:r>
      <w:r>
        <w:rPr>
          <w:rFonts w:ascii="宋体" w:hAnsi="宋体" w:hint="eastAsia"/>
          <w:sz w:val="28"/>
        </w:rPr>
        <w:t>租金=A×120+B×90+C×100+D×200+E×100</w:t>
      </w:r>
    </w:p>
    <w:p>
      <w:pPr>
        <w:pStyle w:val="Normal0"/>
        <w:ind w:firstLine="560" w:firstLineChars="200"/>
        <w:rPr>
          <w:rFonts w:ascii="宋体" w:hAnsi="宋体" w:hint="eastAsia"/>
          <w:sz w:val="28"/>
        </w:rPr>
      </w:pPr>
      <w:r>
        <w:rPr>
          <w:rFonts w:ascii="宋体" w:hAnsi="宋体" w:hint="eastAsia"/>
          <w:sz w:val="28"/>
        </w:rPr>
        <w:t xml:space="preserve">              =36+9+15+40+25</w:t>
      </w:r>
    </w:p>
    <w:p>
      <w:pPr>
        <w:pStyle w:val="Normal0"/>
        <w:ind w:firstLine="560" w:firstLineChars="200"/>
        <w:rPr>
          <w:rFonts w:ascii="宋体" w:hAnsi="宋体" w:hint="eastAsia"/>
          <w:sz w:val="28"/>
        </w:rPr>
      </w:pPr>
      <w:r>
        <w:rPr>
          <w:rFonts w:ascii="宋体" w:hAnsi="宋体" w:hint="eastAsia"/>
          <w:sz w:val="28"/>
        </w:rPr>
        <w:t xml:space="preserve">              =125元/㎡.月</w:t>
      </w:r>
    </w:p>
    <w:p>
      <w:pPr>
        <w:pStyle w:val="Normal0"/>
        <w:ind w:left="1119" w:hanging="560" w:leftChars="266" w:hangingChars="200"/>
        <w:rPr>
          <w:rFonts w:ascii="宋体" w:hAnsi="宋体" w:hint="eastAsia"/>
          <w:sz w:val="28"/>
        </w:rPr>
      </w:pPr>
      <w:r>
        <w:rPr>
          <w:rFonts w:ascii="宋体" w:hAnsi="宋体" w:hint="eastAsia"/>
          <w:sz w:val="28"/>
        </w:rPr>
        <w:t>◇  根据</w:t>
      </w:r>
      <w:r>
        <w:rPr>
          <w:rFonts w:ascii="宋体" w:hAnsi="宋体" w:hint="eastAsia"/>
          <w:sz w:val="28"/>
          <w:lang w:eastAsia="zh-CN"/>
        </w:rPr>
        <w:t>相关项目</w:t>
      </w:r>
      <w:r>
        <w:rPr>
          <w:rFonts w:ascii="宋体" w:hAnsi="宋体" w:hint="eastAsia"/>
          <w:sz w:val="28"/>
        </w:rPr>
        <w:t>的反租</w:t>
      </w:r>
      <w:r>
        <w:rPr>
          <w:rFonts w:ascii="宋体" w:hAnsi="宋体" w:hint="eastAsia"/>
          <w:sz w:val="28"/>
          <w:lang w:eastAsia="zh-CN"/>
        </w:rPr>
        <w:t>相关计划</w:t>
      </w:r>
      <w:r>
        <w:rPr>
          <w:rFonts w:ascii="宋体" w:hAnsi="宋体" w:hint="eastAsia"/>
          <w:sz w:val="28"/>
        </w:rPr>
        <w:t>，根据租金反推法，确定本</w:t>
      </w:r>
      <w:r>
        <w:rPr>
          <w:rFonts w:ascii="宋体" w:hAnsi="宋体" w:hint="eastAsia"/>
          <w:sz w:val="28"/>
          <w:lang w:eastAsia="zh-CN"/>
        </w:rPr>
        <w:t>相关项目</w:t>
      </w:r>
      <w:r>
        <w:rPr>
          <w:rFonts w:ascii="宋体" w:hAnsi="宋体" w:hint="eastAsia"/>
          <w:sz w:val="28"/>
        </w:rPr>
        <w:t>一楼可比售价为：</w:t>
      </w:r>
    </w:p>
    <w:p>
      <w:pPr>
        <w:pStyle w:val="Normal0"/>
        <w:ind w:left="1119" w:hanging="560" w:leftChars="266" w:hangingChars="200"/>
        <w:rPr>
          <w:rFonts w:ascii="宋体" w:hAnsi="宋体" w:hint="eastAsia"/>
          <w:sz w:val="28"/>
        </w:rPr>
        <w:sectPr>
          <w:headerReference w:type="default" r:id="rId25"/>
          <w:footerReference w:type="default" r:id="rId26"/>
          <w:type w:val="nextPage"/>
          <w:pgSz w:w="11906" w:h="16838"/>
          <w:pgMar w:top="1440" w:right="1418" w:bottom="1440" w:left="1797" w:header="851" w:footer="992" w:gutter="0"/>
          <w:pgNumType w:start="11"/>
          <w:cols w:num="1" w:space="425"/>
          <w:titlePg w:val="0"/>
          <w:docGrid w:type="lines" w:linePitch="312" w:charSpace="0"/>
        </w:sectPr>
      </w:pPr>
      <w:r>
        <w:rPr>
          <w:rFonts w:ascii="宋体" w:hAnsi="宋体" w:hint="eastAsia"/>
          <w:sz w:val="28"/>
        </w:rPr>
        <w:t xml:space="preserve">    售价=租金×12÷7%</w:t>
      </w:r>
    </w:p>
    <w:p>
      <w:pPr>
        <w:pStyle w:val="Normal0"/>
        <w:ind w:left="1119" w:hanging="560" w:leftChars="266" w:hangingChars="200"/>
        <w:rPr>
          <w:rFonts w:ascii="宋体" w:hAnsi="宋体" w:hint="eastAsia"/>
          <w:sz w:val="28"/>
        </w:rPr>
      </w:pPr>
      <w:r>
        <w:rPr>
          <w:rFonts w:ascii="宋体" w:hAnsi="宋体" w:hint="eastAsia"/>
          <w:sz w:val="28"/>
        </w:rPr>
        <w:t xml:space="preserve">        =21430元</w:t>
      </w:r>
    </w:p>
    <w:p>
      <w:pPr>
        <w:pStyle w:val="Normal0"/>
        <w:ind w:left="1119" w:hanging="560" w:leftChars="266" w:hangingChars="200"/>
        <w:rPr>
          <w:rFonts w:ascii="宋体" w:hAnsi="宋体" w:hint="eastAsia"/>
          <w:sz w:val="28"/>
        </w:rPr>
      </w:pPr>
      <w:r>
        <w:rPr>
          <w:rFonts w:ascii="宋体" w:hAnsi="宋体" w:hint="eastAsia"/>
          <w:sz w:val="28"/>
        </w:rPr>
        <w:t>◇  根据本</w:t>
      </w:r>
      <w:r>
        <w:rPr>
          <w:rFonts w:ascii="宋体" w:hAnsi="宋体" w:hint="eastAsia"/>
          <w:sz w:val="28"/>
          <w:lang w:eastAsia="zh-CN"/>
        </w:rPr>
        <w:t>相关项目</w:t>
      </w:r>
      <w:r>
        <w:rPr>
          <w:rFonts w:ascii="宋体" w:hAnsi="宋体" w:hint="eastAsia"/>
          <w:sz w:val="28"/>
        </w:rPr>
        <w:t>的铺位情况，结合市场操作规划，对本</w:t>
      </w:r>
      <w:r>
        <w:rPr>
          <w:rFonts w:ascii="宋体" w:hAnsi="宋体" w:hint="eastAsia"/>
          <w:sz w:val="28"/>
          <w:lang w:eastAsia="zh-CN"/>
        </w:rPr>
        <w:t>相关项目</w:t>
      </w:r>
      <w:r>
        <w:rPr>
          <w:rFonts w:ascii="宋体" w:hAnsi="宋体" w:hint="eastAsia"/>
          <w:sz w:val="28"/>
        </w:rPr>
        <w:t>的区域进行分析：</w:t>
      </w:r>
    </w:p>
    <w:p>
      <w:pPr>
        <w:pStyle w:val="Normal0"/>
        <w:ind w:left="1119" w:hanging="560" w:leftChars="266" w:hangingChars="200"/>
        <w:rPr>
          <w:rFonts w:ascii="宋体" w:hAnsi="宋体" w:hint="eastAsia"/>
          <w:sz w:val="28"/>
        </w:rPr>
      </w:pPr>
      <w:r>
        <w:rPr>
          <w:rFonts w:ascii="宋体" w:hAnsi="宋体" w:hint="eastAsia"/>
          <w:sz w:val="28"/>
        </w:rPr>
        <w:t xml:space="preserve">    街铺租售价格为：    街铺=均价÷75% </w:t>
      </w:r>
    </w:p>
    <w:p>
      <w:pPr>
        <w:pStyle w:val="Normal0"/>
        <w:ind w:left="1119" w:hanging="560" w:leftChars="266" w:hangingChars="200"/>
        <w:rPr>
          <w:rFonts w:ascii="宋体" w:hAnsi="宋体" w:hint="eastAsia"/>
          <w:sz w:val="28"/>
        </w:rPr>
      </w:pPr>
      <w:r>
        <w:rPr>
          <w:rFonts w:ascii="宋体" w:hAnsi="宋体" w:hint="eastAsia"/>
          <w:sz w:val="28"/>
        </w:rPr>
        <w:t xml:space="preserve">    四区内铺租售价格为：四区内铺=均价×90%</w:t>
      </w:r>
    </w:p>
    <w:p>
      <w:pPr>
        <w:pStyle w:val="Normal0"/>
        <w:ind w:left="1119" w:hanging="560" w:leftChars="266" w:hangingChars="200"/>
        <w:rPr>
          <w:rFonts w:ascii="宋体" w:hAnsi="宋体" w:hint="eastAsia"/>
          <w:sz w:val="28"/>
        </w:rPr>
      </w:pPr>
      <w:r>
        <w:rPr>
          <w:rFonts w:ascii="宋体" w:hAnsi="宋体" w:hint="eastAsia"/>
          <w:sz w:val="28"/>
        </w:rPr>
        <w:t xml:space="preserve">    二区内铺租售价格为：二区内铺=四区内铺×60%</w:t>
      </w:r>
    </w:p>
    <w:p>
      <w:pPr>
        <w:pStyle w:val="Normal0"/>
        <w:ind w:left="1119" w:hanging="560" w:leftChars="266" w:hangingChars="200"/>
        <w:rPr>
          <w:rFonts w:ascii="宋体" w:hAnsi="宋体" w:hint="eastAsia"/>
          <w:sz w:val="28"/>
        </w:rPr>
      </w:pPr>
      <w:r>
        <w:rPr>
          <w:rFonts w:ascii="宋体" w:hAnsi="宋体" w:hint="eastAsia"/>
          <w:sz w:val="28"/>
        </w:rPr>
        <w:t xml:space="preserve">    一区内铺租售价格为：一区内铺=四区内铺×55%</w:t>
      </w:r>
    </w:p>
    <w:p>
      <w:pPr>
        <w:pStyle w:val="Normal0"/>
        <w:ind w:left="1119" w:hanging="560" w:leftChars="266" w:hangingChars="200"/>
        <w:rPr>
          <w:rFonts w:ascii="宋体" w:hAnsi="宋体" w:hint="eastAsia"/>
          <w:sz w:val="28"/>
        </w:rPr>
      </w:pPr>
      <w:r>
        <w:rPr>
          <w:rFonts w:ascii="宋体" w:hAnsi="宋体" w:hint="eastAsia"/>
          <w:sz w:val="28"/>
        </w:rPr>
        <w:t xml:space="preserve">    二楼租售价格为：    二楼=一楼×50%</w:t>
      </w:r>
    </w:p>
    <w:p>
      <w:pPr>
        <w:pStyle w:val="Normal0"/>
        <w:ind w:left="1119" w:hanging="560" w:leftChars="266" w:hangingChars="200"/>
        <w:rPr>
          <w:rFonts w:ascii="宋体" w:hAnsi="宋体" w:hint="eastAsia"/>
          <w:sz w:val="28"/>
        </w:rPr>
      </w:pPr>
      <w:r>
        <w:rPr>
          <w:rFonts w:ascii="宋体" w:hAnsi="宋体" w:hint="eastAsia"/>
          <w:sz w:val="28"/>
        </w:rPr>
        <w:t xml:space="preserve">    三楼租售价格为：    三楼=二楼×75%</w:t>
      </w:r>
    </w:p>
    <w:p>
      <w:pPr>
        <w:pStyle w:val="Normal0"/>
        <w:ind w:left="1119" w:hanging="560" w:leftChars="266" w:hangingChars="200"/>
        <w:rPr>
          <w:rFonts w:ascii="宋体" w:hAnsi="宋体" w:hint="eastAsia"/>
          <w:sz w:val="28"/>
        </w:rPr>
      </w:pPr>
      <w:r>
        <w:rPr>
          <w:rFonts w:ascii="宋体" w:hAnsi="宋体" w:hint="eastAsia"/>
          <w:sz w:val="28"/>
        </w:rPr>
        <w:t xml:space="preserve">    四楼租售价格为：    四楼=三楼×87%</w:t>
      </w:r>
    </w:p>
    <w:p>
      <w:pPr>
        <w:pStyle w:val="Normal0"/>
        <w:ind w:left="1" w:firstLine="280" w:firstLineChars="100"/>
        <w:rPr>
          <w:rFonts w:ascii="宋体" w:hAnsi="宋体" w:hint="eastAsia"/>
          <w:sz w:val="28"/>
        </w:rPr>
      </w:pPr>
      <w:r>
        <w:rPr>
          <w:rFonts w:ascii="宋体" w:hAnsi="宋体" w:hint="eastAsia"/>
          <w:sz w:val="28"/>
        </w:rPr>
        <w:t>3） 根据以上推断，美联提出初步价格建议为：</w:t>
      </w:r>
    </w:p>
    <w:p>
      <w:pPr>
        <w:pStyle w:val="Normal0"/>
        <w:ind w:left="1366" w:hanging="560" w:leftChars="384" w:hangingChars="200"/>
        <w:rPr>
          <w:rFonts w:ascii="宋体" w:hAnsi="宋体" w:hint="eastAsia"/>
          <w:sz w:val="28"/>
        </w:rPr>
      </w:pPr>
      <w:r>
        <w:rPr>
          <w:rFonts w:ascii="宋体" w:hAnsi="宋体" w:hint="eastAsia"/>
          <w:sz w:val="28"/>
        </w:rPr>
        <w:t>◇  临街铺位本地商家接受能力最强，可以忍受较高的价位，因此一区首层街铺均价建议25000元/平方米；二区首层街铺均价建议26000元/平方米；四区首层街铺均价建议30000元/平方米；</w:t>
      </w:r>
    </w:p>
    <w:p>
      <w:pPr>
        <w:pStyle w:val="Normal0"/>
        <w:ind w:left="1366" w:hanging="560" w:leftChars="384" w:hangingChars="200"/>
        <w:rPr>
          <w:rFonts w:ascii="宋体" w:hAnsi="宋体" w:hint="eastAsia"/>
          <w:sz w:val="28"/>
        </w:rPr>
        <w:sectPr>
          <w:headerReference w:type="default" r:id="rId27"/>
          <w:footerReference w:type="default" r:id="rId28"/>
          <w:type w:val="nextPage"/>
          <w:pgSz w:w="11906" w:h="16838"/>
          <w:pgMar w:top="1440" w:right="1418" w:bottom="1440" w:left="1797" w:header="851" w:footer="992" w:gutter="0"/>
          <w:pgNumType w:start="12"/>
          <w:cols w:num="1" w:space="425"/>
          <w:titlePg w:val="0"/>
          <w:docGrid w:type="lines" w:linePitch="312" w:charSpace="0"/>
        </w:sectPr>
      </w:pPr>
      <w:r>
        <w:rPr>
          <w:rFonts w:ascii="宋体" w:hAnsi="宋体" w:hint="eastAsia"/>
          <w:sz w:val="28"/>
        </w:rPr>
        <w:t>◇  首层内铺：由于经营营利能力逊于临街铺位，且对于买家而言，物业使用年限达70年，铺位的营利能力成为影响售价的关键，因此在销售价格上，应拉开内铺与临街铺位的价格差，以提升内铺的吸引力，故美联建议一区一楼内铺均价为10000元/平方米；二区一楼内铺均价为11000元/平方米；四区一楼内铺均价为19000元/平方米。</w:t>
      </w:r>
    </w:p>
    <w:p>
      <w:pPr>
        <w:pStyle w:val="Normal0"/>
        <w:ind w:left="1366" w:hanging="560" w:leftChars="384" w:hangingChars="200"/>
        <w:rPr>
          <w:rFonts w:ascii="宋体" w:hAnsi="宋体" w:hint="eastAsia"/>
          <w:sz w:val="28"/>
        </w:rPr>
      </w:pPr>
      <w:r>
        <w:rPr>
          <w:rFonts w:ascii="宋体" w:hAnsi="宋体" w:hint="eastAsia"/>
          <w:sz w:val="28"/>
        </w:rPr>
        <w:t>◇  二层：权衡本</w:t>
      </w:r>
      <w:r>
        <w:rPr>
          <w:rFonts w:ascii="宋体" w:hAnsi="宋体" w:hint="eastAsia"/>
          <w:sz w:val="28"/>
          <w:lang w:eastAsia="zh-CN"/>
        </w:rPr>
        <w:t>相关项目</w:t>
      </w:r>
      <w:r>
        <w:rPr>
          <w:rFonts w:ascii="宋体" w:hAnsi="宋体" w:hint="eastAsia"/>
          <w:sz w:val="28"/>
        </w:rPr>
        <w:t>具体情况及竞争对手价格，美联建议本</w:t>
      </w:r>
      <w:r>
        <w:rPr>
          <w:rFonts w:ascii="宋体" w:hAnsi="宋体" w:hint="eastAsia"/>
          <w:sz w:val="28"/>
          <w:lang w:eastAsia="zh-CN"/>
        </w:rPr>
        <w:t>相关项目</w:t>
      </w:r>
      <w:r>
        <w:rPr>
          <w:rFonts w:ascii="宋体" w:hAnsi="宋体" w:hint="eastAsia"/>
          <w:sz w:val="28"/>
        </w:rPr>
        <w:t>一区二层均价定在80００元/平方米；二区二层均价定在80００元/平方米；四区二层均价定在90００元/平方米。并根据招租情况进行调整。</w:t>
      </w:r>
    </w:p>
    <w:p>
      <w:pPr>
        <w:pStyle w:val="Normal0"/>
        <w:ind w:left="1366" w:hanging="560" w:leftChars="384" w:hangingChars="200"/>
        <w:rPr>
          <w:rFonts w:ascii="宋体" w:hAnsi="宋体" w:hint="eastAsia"/>
          <w:sz w:val="28"/>
        </w:rPr>
      </w:pPr>
      <w:r>
        <w:rPr>
          <w:rFonts w:ascii="宋体" w:hAnsi="宋体" w:hint="eastAsia"/>
          <w:sz w:val="28"/>
        </w:rPr>
        <w:t>◇  三层：权衡本</w:t>
      </w:r>
      <w:r>
        <w:rPr>
          <w:rFonts w:ascii="宋体" w:hAnsi="宋体" w:hint="eastAsia"/>
          <w:sz w:val="28"/>
          <w:lang w:eastAsia="zh-CN"/>
        </w:rPr>
        <w:t>相关项目</w:t>
      </w:r>
      <w:r>
        <w:rPr>
          <w:rFonts w:ascii="宋体" w:hAnsi="宋体" w:hint="eastAsia"/>
          <w:sz w:val="28"/>
        </w:rPr>
        <w:t>具体情况及竞争对手价格，美联建议本</w:t>
      </w:r>
      <w:r>
        <w:rPr>
          <w:rFonts w:ascii="宋体" w:hAnsi="宋体" w:hint="eastAsia"/>
          <w:sz w:val="28"/>
          <w:lang w:eastAsia="zh-CN"/>
        </w:rPr>
        <w:t>相关项目</w:t>
      </w:r>
      <w:r>
        <w:rPr>
          <w:rFonts w:ascii="宋体" w:hAnsi="宋体" w:hint="eastAsia"/>
          <w:sz w:val="28"/>
        </w:rPr>
        <w:t>一区三层均价定在65００元/平方米；二区三层均价定在65００元/平方米；一区三层均价定在7０００元/平方米。并根据招租情况进行调整。</w:t>
      </w:r>
    </w:p>
    <w:p>
      <w:pPr>
        <w:pStyle w:val="Normal0"/>
        <w:ind w:left="527" w:firstLine="280" w:leftChars="251" w:firstLineChars="100"/>
        <w:rPr>
          <w:rFonts w:ascii="宋体" w:hAnsi="宋体" w:hint="eastAsia"/>
          <w:sz w:val="28"/>
        </w:rPr>
      </w:pPr>
      <w:r>
        <w:rPr>
          <w:rFonts w:ascii="宋体" w:hAnsi="宋体" w:hint="eastAsia"/>
          <w:sz w:val="28"/>
        </w:rPr>
        <w:t>◇  四层：均价水平应在6000元左右，根据出租情况来确定售价。</w:t>
      </w:r>
    </w:p>
    <w:p>
      <w:pPr>
        <w:pStyle w:val="Normal0"/>
        <w:ind w:firstLine="560"/>
        <w:rPr>
          <w:rFonts w:ascii="宋体" w:hAnsi="宋体" w:hint="eastAsia"/>
          <w:sz w:val="28"/>
        </w:rPr>
      </w:pPr>
      <w:r>
        <w:rPr>
          <w:rFonts w:ascii="宋体" w:hAnsi="宋体" w:hint="eastAsia"/>
          <w:sz w:val="28"/>
        </w:rPr>
        <w:t>具体铺位价格情况将在铺位规划完成后在价格销售表上体现出来，并根据推出时市场情况进行调整。</w:t>
      </w:r>
    </w:p>
    <w:p>
      <w:pPr>
        <w:pStyle w:val="Normal0"/>
        <w:ind w:firstLine="560" w:firstLineChars="200"/>
        <w:rPr>
          <w:rFonts w:hint="eastAsia"/>
          <w:b/>
          <w:sz w:val="28"/>
        </w:rPr>
      </w:pPr>
      <w:r>
        <w:rPr>
          <w:rFonts w:hint="eastAsia"/>
          <w:b/>
          <w:sz w:val="28"/>
        </w:rPr>
        <w:t>2、租金回报分析</w:t>
      </w:r>
    </w:p>
    <w:p>
      <w:pPr>
        <w:pStyle w:val="Normal0"/>
        <w:ind w:firstLine="560"/>
        <w:rPr>
          <w:rFonts w:ascii="宋体" w:hAnsi="宋体" w:hint="eastAsia"/>
          <w:sz w:val="28"/>
        </w:rPr>
      </w:pPr>
      <w:r>
        <w:rPr>
          <w:rFonts w:ascii="宋体" w:hAnsi="宋体" w:hint="eastAsia"/>
          <w:sz w:val="28"/>
        </w:rPr>
        <w:t>（1）基于消费者对“返租”的认识，美联建议本</w:t>
      </w:r>
      <w:r>
        <w:rPr>
          <w:rFonts w:ascii="宋体" w:hAnsi="宋体" w:hint="eastAsia"/>
          <w:sz w:val="28"/>
          <w:lang w:eastAsia="zh-CN"/>
        </w:rPr>
        <w:t>相关项目</w:t>
      </w:r>
      <w:r>
        <w:rPr>
          <w:rFonts w:ascii="宋体" w:hAnsi="宋体" w:hint="eastAsia"/>
          <w:sz w:val="28"/>
        </w:rPr>
        <w:t>租金回报的操作要体现两方面：</w:t>
      </w:r>
    </w:p>
    <w:p>
      <w:pPr>
        <w:pStyle w:val="Normal0"/>
        <w:ind w:firstLine="1120"/>
        <w:rPr>
          <w:rFonts w:ascii="宋体" w:hAnsi="宋体" w:hint="eastAsia"/>
          <w:sz w:val="28"/>
        </w:rPr>
      </w:pPr>
      <w:r>
        <w:rPr>
          <w:rFonts w:ascii="宋体" w:hAnsi="宋体" w:hint="eastAsia"/>
          <w:sz w:val="28"/>
        </w:rPr>
        <w:t>一是弱化消费者“羊毛出在羊身上”的观念，给予投资者可以感受到的优惠；</w:t>
      </w:r>
    </w:p>
    <w:p>
      <w:pPr>
        <w:pStyle w:val="Normal0"/>
        <w:ind w:firstLine="1120"/>
        <w:rPr>
          <w:rFonts w:ascii="宋体" w:hAnsi="宋体" w:hint="eastAsia"/>
          <w:sz w:val="28"/>
        </w:rPr>
      </w:pPr>
      <w:r>
        <w:rPr>
          <w:rFonts w:ascii="宋体" w:hAnsi="宋体" w:hint="eastAsia"/>
          <w:sz w:val="28"/>
        </w:rPr>
        <w:t>二是要求有详细的投资回报分析，用事实代替空洞的概念炒作，让投资者实实在在地想象到投资回报前景。</w:t>
      </w:r>
    </w:p>
    <w:p>
      <w:pPr>
        <w:pStyle w:val="Normal0"/>
        <w:rPr>
          <w:rFonts w:ascii="宋体" w:hAnsi="宋体" w:hint="eastAsia"/>
          <w:sz w:val="28"/>
        </w:rPr>
      </w:pPr>
      <w:r>
        <w:rPr>
          <w:rFonts w:ascii="宋体" w:hAnsi="宋体" w:hint="eastAsia"/>
          <w:sz w:val="28"/>
        </w:rPr>
        <w:t xml:space="preserve">    （2）租金回报比率</w:t>
      </w:r>
    </w:p>
    <w:p>
      <w:pPr>
        <w:pStyle w:val="Normal0"/>
        <w:ind w:left="1461" w:hanging="560" w:leftChars="429" w:hangingChars="200"/>
        <w:rPr>
          <w:rFonts w:ascii="宋体" w:hAnsi="宋体" w:hint="eastAsia"/>
          <w:sz w:val="28"/>
        </w:rPr>
        <w:sectPr>
          <w:headerReference w:type="default" r:id="rId29"/>
          <w:footerReference w:type="default" r:id="rId30"/>
          <w:type w:val="nextPage"/>
          <w:pgSz w:w="11906" w:h="16838"/>
          <w:pgMar w:top="1440" w:right="1418" w:bottom="1440" w:left="1797" w:header="851" w:footer="992" w:gutter="0"/>
          <w:pgNumType w:start="13"/>
          <w:cols w:num="1" w:space="425"/>
          <w:titlePg w:val="0"/>
          <w:docGrid w:type="lines" w:linePitch="312" w:charSpace="0"/>
        </w:sectPr>
      </w:pPr>
      <w:r>
        <w:rPr>
          <w:rFonts w:ascii="宋体" w:hAnsi="宋体" w:hint="eastAsia"/>
          <w:sz w:val="28"/>
        </w:rPr>
        <w:t>◇  竞争对手情况：长安目前在销的中惠商铺提供五年3３%的返租回报。</w:t>
      </w:r>
    </w:p>
    <w:p>
      <w:pPr>
        <w:pStyle w:val="Normal0"/>
        <w:ind w:left="1461" w:hanging="560" w:leftChars="429" w:hangingChars="200"/>
        <w:rPr>
          <w:rFonts w:ascii="宋体" w:hAnsi="宋体" w:hint="eastAsia"/>
          <w:sz w:val="28"/>
        </w:rPr>
      </w:pPr>
      <w:r>
        <w:rPr>
          <w:rFonts w:ascii="宋体" w:hAnsi="宋体" w:hint="eastAsia"/>
          <w:sz w:val="28"/>
        </w:rPr>
        <w:t>◇  市场认可情况：根据长安当地居民对商场投资的回报估测为５－６%；</w:t>
      </w:r>
    </w:p>
    <w:p>
      <w:pPr>
        <w:pStyle w:val="Normal0"/>
        <w:ind w:left="1461" w:hanging="560" w:leftChars="429" w:hangingChars="200"/>
        <w:rPr>
          <w:rFonts w:ascii="宋体" w:hAnsi="宋体" w:hint="eastAsia"/>
          <w:sz w:val="28"/>
        </w:rPr>
      </w:pPr>
      <w:r>
        <w:rPr>
          <w:rFonts w:ascii="宋体" w:hAnsi="宋体" w:hint="eastAsia"/>
          <w:sz w:val="28"/>
        </w:rPr>
        <w:t>◇  美联建议：本</w:t>
      </w:r>
      <w:r>
        <w:rPr>
          <w:rFonts w:ascii="宋体" w:hAnsi="宋体" w:hint="eastAsia"/>
          <w:sz w:val="28"/>
          <w:lang w:eastAsia="zh-CN"/>
        </w:rPr>
        <w:t>相关项目</w:t>
      </w:r>
      <w:r>
        <w:rPr>
          <w:rFonts w:ascii="宋体" w:hAnsi="宋体" w:hint="eastAsia"/>
          <w:sz w:val="28"/>
        </w:rPr>
        <w:t>侧重的是投资前景，无须将返租回报一下子提得太高，平均回报率保持在７%即可。</w:t>
      </w:r>
    </w:p>
    <w:p>
      <w:pPr>
        <w:pStyle w:val="Normal0"/>
        <w:ind w:left="1461" w:hanging="560" w:leftChars="429" w:hangingChars="200"/>
        <w:rPr>
          <w:rFonts w:ascii="宋体" w:hAnsi="宋体" w:hint="eastAsia"/>
          <w:sz w:val="28"/>
        </w:rPr>
      </w:pPr>
      <w:r>
        <w:rPr>
          <w:rFonts w:ascii="宋体" w:hAnsi="宋体" w:hint="eastAsia"/>
          <w:sz w:val="28"/>
        </w:rPr>
        <w:t>◇  执行：美联建议配合商场招商，采用五年返35%的</w:t>
      </w:r>
      <w:r>
        <w:rPr>
          <w:rFonts w:ascii="宋体" w:hAnsi="宋体" w:hint="eastAsia"/>
          <w:sz w:val="28"/>
          <w:lang w:eastAsia="zh-CN"/>
        </w:rPr>
        <w:t>相关计划</w:t>
      </w:r>
      <w:r>
        <w:rPr>
          <w:rFonts w:ascii="宋体" w:hAnsi="宋体" w:hint="eastAsia"/>
          <w:sz w:val="28"/>
        </w:rPr>
        <w:t>，并通过递增的的形式，第一年６%、第二年6.5%、第三年7%、第四年7.5%、第五年8%，将投资的增值潜力突显出来，使</w:t>
      </w:r>
      <w:r>
        <w:rPr>
          <w:rFonts w:ascii="宋体" w:hAnsi="宋体" w:hint="eastAsia"/>
          <w:sz w:val="28"/>
          <w:lang w:eastAsia="zh-CN"/>
        </w:rPr>
        <w:t>相关项目</w:t>
      </w:r>
      <w:r>
        <w:rPr>
          <w:rFonts w:ascii="宋体" w:hAnsi="宋体" w:hint="eastAsia"/>
          <w:sz w:val="28"/>
        </w:rPr>
        <w:t>销售过程始终贯穿“即买即收租金”的概念，让投资产生“租售形势非常火爆”的认识。</w:t>
      </w:r>
    </w:p>
    <w:p>
      <w:pPr>
        <w:pStyle w:val="Normal0"/>
        <w:ind w:left="900"/>
        <w:rPr>
          <w:rFonts w:ascii="宋体" w:hAnsi="宋体" w:hint="eastAsia"/>
          <w:sz w:val="28"/>
        </w:rPr>
      </w:pPr>
      <w:r>
        <w:rPr>
          <w:rFonts w:ascii="宋体" w:hAnsi="宋体" w:hint="eastAsia"/>
          <w:sz w:val="28"/>
        </w:rPr>
        <w:t>◇  总售价可在原售价基础上提高。</w:t>
      </w:r>
    </w:p>
    <w:p>
      <w:pPr>
        <w:pStyle w:val="Normal0"/>
        <w:ind w:firstLine="560"/>
        <w:rPr>
          <w:rFonts w:ascii="宋体" w:hAnsi="宋体" w:hint="eastAsia"/>
          <w:sz w:val="28"/>
        </w:rPr>
      </w:pPr>
      <w:r>
        <w:rPr>
          <w:rFonts w:ascii="宋体" w:hAnsi="宋体" w:hint="eastAsia"/>
          <w:sz w:val="28"/>
        </w:rPr>
        <w:t>（3）根据店铺销售的难易程度，将租金回报在首期款中直接减免，降低投资门槛。</w:t>
      </w:r>
    </w:p>
    <w:p>
      <w:pPr>
        <w:pStyle w:val="Normal0"/>
        <w:ind w:left="1639" w:hanging="560" w:leftChars="514" w:hangingChars="200"/>
        <w:rPr>
          <w:rFonts w:hint="eastAsia"/>
          <w:sz w:val="28"/>
        </w:rPr>
      </w:pPr>
      <w:r>
        <w:rPr>
          <w:rFonts w:ascii="宋体" w:hAnsi="宋体" w:hint="eastAsia"/>
          <w:sz w:val="28"/>
        </w:rPr>
        <w:t>◇</w:t>
      </w:r>
      <w:r>
        <w:rPr>
          <w:rFonts w:hint="eastAsia"/>
          <w:sz w:val="28"/>
        </w:rPr>
        <w:t xml:space="preserve">  购买街铺一般不采取返租回报措施；招商、返租的目的是降低商场销售难度，考虑到街铺的销售难度小、且有部分为用家购买，因此美联建议本</w:t>
      </w:r>
      <w:r>
        <w:rPr>
          <w:rFonts w:hint="eastAsia"/>
          <w:sz w:val="28"/>
          <w:lang w:eastAsia="zh-CN"/>
        </w:rPr>
        <w:t>相关项目</w:t>
      </w:r>
      <w:r>
        <w:rPr>
          <w:rFonts w:hint="eastAsia"/>
          <w:sz w:val="28"/>
        </w:rPr>
        <w:t>部分街铺采用直接销售方式。</w:t>
      </w:r>
    </w:p>
    <w:p>
      <w:pPr>
        <w:pStyle w:val="Normal0"/>
        <w:ind w:left="1080"/>
        <w:rPr>
          <w:rFonts w:ascii="宋体" w:hAnsi="宋体" w:hint="eastAsia"/>
          <w:sz w:val="28"/>
        </w:rPr>
      </w:pPr>
      <w:r>
        <w:rPr>
          <w:rFonts w:ascii="宋体" w:hAnsi="宋体" w:hint="eastAsia"/>
          <w:sz w:val="28"/>
        </w:rPr>
        <w:t xml:space="preserve">◇  </w:t>
      </w:r>
      <w:r>
        <w:rPr>
          <w:rFonts w:hint="eastAsia"/>
          <w:sz w:val="28"/>
        </w:rPr>
        <w:t>购买带返租的街铺一次返还1年租金（６%）。</w:t>
      </w:r>
    </w:p>
    <w:p>
      <w:pPr>
        <w:pStyle w:val="Normal0"/>
        <w:ind w:left="1080"/>
        <w:rPr>
          <w:rFonts w:ascii="宋体" w:hAnsi="宋体" w:hint="eastAsia"/>
          <w:sz w:val="28"/>
        </w:rPr>
      </w:pPr>
      <w:r>
        <w:rPr>
          <w:rFonts w:ascii="宋体" w:hAnsi="宋体" w:hint="eastAsia"/>
          <w:sz w:val="28"/>
        </w:rPr>
        <w:t xml:space="preserve">◇  </w:t>
      </w:r>
      <w:r>
        <w:rPr>
          <w:rFonts w:hint="eastAsia"/>
          <w:sz w:val="28"/>
        </w:rPr>
        <w:t>购买较好位置内铺一次性返还２年租金（１３%）。</w:t>
      </w:r>
    </w:p>
    <w:p>
      <w:pPr>
        <w:pStyle w:val="Normal0"/>
        <w:ind w:left="1080"/>
        <w:rPr>
          <w:rFonts w:hint="eastAsia"/>
          <w:sz w:val="28"/>
        </w:rPr>
      </w:pPr>
      <w:r>
        <w:rPr>
          <w:rFonts w:ascii="宋体" w:hAnsi="宋体" w:hint="eastAsia"/>
          <w:sz w:val="28"/>
        </w:rPr>
        <w:t xml:space="preserve">◇  </w:t>
      </w:r>
      <w:r>
        <w:rPr>
          <w:rFonts w:hint="eastAsia"/>
          <w:sz w:val="28"/>
        </w:rPr>
        <w:t>购买较差位置内铺一次性返还３年租金（２１％）。</w:t>
      </w:r>
    </w:p>
    <w:p>
      <w:pPr>
        <w:pStyle w:val="Normal0"/>
        <w:ind w:firstLine="705"/>
        <w:rPr>
          <w:rFonts w:hint="eastAsia"/>
          <w:sz w:val="28"/>
        </w:rPr>
      </w:pPr>
      <w:r>
        <w:rPr>
          <w:rFonts w:hint="eastAsia"/>
          <w:sz w:val="28"/>
        </w:rPr>
        <w:t>（4）返租、招商注意问题：</w:t>
      </w:r>
    </w:p>
    <w:p>
      <w:pPr>
        <w:pStyle w:val="Normal0"/>
        <w:ind w:left="1639" w:hanging="560" w:leftChars="514" w:hangingChars="200"/>
        <w:rPr>
          <w:rFonts w:hint="eastAsia"/>
          <w:sz w:val="28"/>
        </w:rPr>
        <w:sectPr>
          <w:headerReference w:type="default" r:id="rId31"/>
          <w:footerReference w:type="default" r:id="rId32"/>
          <w:type w:val="nextPage"/>
          <w:pgSz w:w="11906" w:h="16838"/>
          <w:pgMar w:top="1440" w:right="1418" w:bottom="1440" w:left="1797" w:header="851" w:footer="992" w:gutter="0"/>
          <w:pgNumType w:start="14"/>
          <w:cols w:num="1" w:space="425"/>
          <w:titlePg w:val="0"/>
          <w:docGrid w:type="lines" w:linePitch="312" w:charSpace="0"/>
        </w:sectPr>
      </w:pPr>
      <w:r>
        <w:rPr>
          <w:rFonts w:ascii="宋体" w:hAnsi="宋体" w:hint="eastAsia"/>
          <w:sz w:val="28"/>
        </w:rPr>
        <w:t xml:space="preserve">◇  </w:t>
      </w:r>
    </w:p>
    <w:p>
      <w:pPr>
        <w:pStyle w:val="Normal0"/>
        <w:ind w:left="1639" w:hanging="560" w:leftChars="514" w:hangingChars="200"/>
        <w:rPr>
          <w:rFonts w:hint="eastAsia"/>
          <w:sz w:val="28"/>
        </w:rPr>
      </w:pPr>
      <w:r>
        <w:rPr>
          <w:rFonts w:hint="eastAsia"/>
          <w:sz w:val="28"/>
        </w:rPr>
        <w:t>避免将处于人流出入口的店铺租给银行，银行按照正常营业时间上下班，会造成下午5-6点、或晚上时间商业人流旺盛时，店铺关门造成冷清局面，横岗新世界广场就存在此种问题，已形成较大的负面效果。</w:t>
      </w:r>
    </w:p>
    <w:p>
      <w:pPr>
        <w:pStyle w:val="Normal0"/>
        <w:ind w:left="1080"/>
        <w:rPr>
          <w:rFonts w:hint="eastAsia"/>
          <w:sz w:val="28"/>
        </w:rPr>
      </w:pPr>
      <w:r>
        <w:rPr>
          <w:rFonts w:ascii="宋体" w:hAnsi="宋体" w:hint="eastAsia"/>
          <w:sz w:val="28"/>
        </w:rPr>
        <w:t xml:space="preserve">◇  </w:t>
      </w:r>
      <w:r>
        <w:rPr>
          <w:rFonts w:hint="eastAsia"/>
          <w:sz w:val="28"/>
        </w:rPr>
        <w:t>考虑以后招商问题，必须留出若干街铺作为门面；</w:t>
      </w:r>
    </w:p>
    <w:p>
      <w:pPr>
        <w:pStyle w:val="Normal0"/>
        <w:ind w:left="1080"/>
        <w:rPr>
          <w:rFonts w:hint="eastAsia"/>
          <w:sz w:val="28"/>
        </w:rPr>
      </w:pPr>
      <w:r>
        <w:rPr>
          <w:rFonts w:ascii="宋体" w:hAnsi="宋体" w:hint="eastAsia"/>
          <w:sz w:val="28"/>
        </w:rPr>
        <w:t xml:space="preserve">◇  </w:t>
      </w:r>
      <w:r>
        <w:rPr>
          <w:rFonts w:hint="eastAsia"/>
          <w:sz w:val="28"/>
        </w:rPr>
        <w:t>鉴于上述问题，建议需留出若干少量街铺提供返租回报。</w:t>
      </w:r>
    </w:p>
    <w:p>
      <w:pPr>
        <w:pStyle w:val="Normal0"/>
        <w:ind w:left="1639" w:hanging="560" w:leftChars="514" w:hangingChars="200"/>
        <w:rPr>
          <w:rFonts w:hint="eastAsia"/>
          <w:sz w:val="28"/>
        </w:rPr>
      </w:pPr>
      <w:r>
        <w:rPr>
          <w:rFonts w:ascii="宋体" w:hAnsi="宋体" w:hint="eastAsia"/>
          <w:sz w:val="28"/>
        </w:rPr>
        <w:t xml:space="preserve">◇  </w:t>
      </w:r>
      <w:r>
        <w:rPr>
          <w:rFonts w:hint="eastAsia"/>
          <w:sz w:val="28"/>
        </w:rPr>
        <w:t>部分临街铺主要作为生活配套设施，可以考虑为直接销售，不返租经营，根据情况进行调整。</w:t>
      </w:r>
    </w:p>
    <w:p>
      <w:pPr>
        <w:pStyle w:val="Normal0"/>
        <w:ind w:firstLine="280" w:firstLineChars="100"/>
        <w:rPr>
          <w:rFonts w:ascii="宋体" w:hAnsi="宋体" w:hint="eastAsia"/>
          <w:b/>
          <w:sz w:val="28"/>
        </w:rPr>
      </w:pPr>
      <w:r>
        <w:rPr>
          <w:rFonts w:ascii="宋体" w:hAnsi="宋体" w:hint="eastAsia"/>
          <w:b/>
          <w:sz w:val="28"/>
        </w:rPr>
        <w:t>3、付款方式建议</w:t>
      </w:r>
    </w:p>
    <w:p>
      <w:pPr>
        <w:pStyle w:val="Normal0"/>
        <w:ind w:left="420" w:firstLine="280" w:leftChars="200" w:firstLineChars="100"/>
        <w:rPr>
          <w:rFonts w:ascii="宋体" w:hAnsi="宋体" w:hint="eastAsia"/>
          <w:sz w:val="28"/>
        </w:rPr>
      </w:pPr>
      <w:r>
        <w:rPr>
          <w:rFonts w:ascii="宋体" w:hAnsi="宋体" w:hint="eastAsia"/>
          <w:sz w:val="28"/>
        </w:rPr>
        <w:t>1） 争取优惠银行按揭，减轻客户负担。</w:t>
      </w:r>
    </w:p>
    <w:p>
      <w:pPr>
        <w:pStyle w:val="Normal0"/>
        <w:ind w:left="420" w:firstLine="280" w:leftChars="200" w:firstLineChars="100"/>
        <w:rPr>
          <w:rFonts w:ascii="宋体" w:hAnsi="宋体" w:hint="eastAsia"/>
          <w:sz w:val="28"/>
        </w:rPr>
      </w:pPr>
      <w:r>
        <w:rPr>
          <w:rFonts w:ascii="宋体" w:hAnsi="宋体" w:hint="eastAsia"/>
          <w:sz w:val="28"/>
        </w:rPr>
        <w:t>2） 减低首期付款，降低置业门槛，可与租金回报相结合。</w:t>
      </w:r>
    </w:p>
    <w:p>
      <w:pPr>
        <w:pStyle w:val="Normal0"/>
        <w:ind w:left="1259" w:hanging="560" w:leftChars="333" w:hangingChars="200"/>
        <w:rPr>
          <w:rFonts w:ascii="宋体" w:hAnsi="宋体" w:hint="eastAsia"/>
          <w:sz w:val="28"/>
        </w:rPr>
      </w:pPr>
      <w:r>
        <w:rPr>
          <w:rFonts w:ascii="宋体" w:hAnsi="宋体" w:hint="eastAsia"/>
          <w:sz w:val="28"/>
        </w:rPr>
        <w:t>3） 针对村民投资者，不象一般的工薪阶层，收入来源不稳定，建议增加分期付款办法。</w:t>
      </w:r>
    </w:p>
    <w:p>
      <w:pPr>
        <w:pStyle w:val="Normal0"/>
        <w:ind w:left="420"/>
        <w:rPr>
          <w:rFonts w:ascii="宋体" w:hAnsi="宋体" w:hint="eastAsia"/>
          <w:sz w:val="28"/>
        </w:rPr>
      </w:pPr>
      <w:r>
        <w:rPr>
          <w:rFonts w:ascii="宋体" w:hAnsi="宋体" w:hint="eastAsia"/>
          <w:sz w:val="28"/>
        </w:rPr>
        <w:t>具体付款方式建议如下：</w:t>
      </w:r>
    </w:p>
    <w:tbl>
      <w:tblPr>
        <w:tblStyle w:val="TableNormal"/>
        <w:tblW w:w="972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800"/>
        <w:gridCol w:w="1080"/>
        <w:gridCol w:w="4860"/>
        <w:gridCol w:w="1980"/>
      </w:tblGrid>
      <w:tr>
        <w:tblPrEx>
          <w:tblW w:w="972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800" w:type="dxa"/>
          </w:tcPr>
          <w:p>
            <w:pPr>
              <w:pStyle w:val="Normal0"/>
              <w:rPr>
                <w:rFonts w:ascii="宋体" w:hAnsi="宋体" w:hint="eastAsia"/>
                <w:sz w:val="28"/>
              </w:rPr>
            </w:pPr>
            <w:r>
              <w:rPr>
                <w:rFonts w:ascii="宋体" w:hAnsi="宋体" w:hint="eastAsia"/>
                <w:b/>
                <w:sz w:val="28"/>
              </w:rPr>
              <w:t>方式</w:t>
            </w:r>
          </w:p>
        </w:tc>
        <w:tc>
          <w:tcPr>
            <w:tcW w:w="1080" w:type="dxa"/>
          </w:tcPr>
          <w:p>
            <w:pPr>
              <w:pStyle w:val="Normal0"/>
              <w:rPr>
                <w:rFonts w:ascii="宋体" w:hAnsi="宋体" w:hint="eastAsia"/>
                <w:sz w:val="28"/>
              </w:rPr>
            </w:pPr>
            <w:r>
              <w:rPr>
                <w:rFonts w:ascii="宋体" w:hAnsi="宋体" w:hint="eastAsia"/>
                <w:b/>
                <w:sz w:val="28"/>
              </w:rPr>
              <w:t>折扣</w:t>
            </w:r>
          </w:p>
        </w:tc>
        <w:tc>
          <w:tcPr>
            <w:tcW w:w="4860" w:type="dxa"/>
          </w:tcPr>
          <w:p>
            <w:pPr>
              <w:pStyle w:val="Normal0"/>
              <w:rPr>
                <w:rFonts w:ascii="宋体" w:hAnsi="宋体" w:hint="eastAsia"/>
                <w:sz w:val="28"/>
              </w:rPr>
            </w:pPr>
            <w:r>
              <w:rPr>
                <w:rFonts w:ascii="宋体" w:hAnsi="宋体" w:hint="eastAsia"/>
                <w:b/>
                <w:sz w:val="28"/>
              </w:rPr>
              <w:t>时间</w:t>
            </w:r>
          </w:p>
        </w:tc>
        <w:tc>
          <w:tcPr>
            <w:tcW w:w="1980" w:type="dxa"/>
          </w:tcPr>
          <w:p>
            <w:pPr>
              <w:pStyle w:val="Normal0"/>
              <w:rPr>
                <w:rFonts w:ascii="宋体" w:hAnsi="宋体" w:hint="eastAsia"/>
                <w:sz w:val="28"/>
              </w:rPr>
            </w:pPr>
            <w:r>
              <w:rPr>
                <w:rFonts w:ascii="宋体" w:hAnsi="宋体" w:hint="eastAsia"/>
                <w:b/>
                <w:sz w:val="28"/>
              </w:rPr>
              <w:t>金额</w:t>
            </w:r>
          </w:p>
        </w:tc>
      </w:tr>
      <w:tr>
        <w:tblPrEx>
          <w:tblW w:w="9720" w:type="dxa"/>
          <w:tblInd w:w="-432" w:type="dxa"/>
          <w:tblCellMar>
            <w:top w:w="0" w:type="dxa"/>
            <w:left w:w="108" w:type="dxa"/>
            <w:bottom w:w="0" w:type="dxa"/>
            <w:right w:w="108" w:type="dxa"/>
          </w:tblCellMar>
        </w:tblPrEx>
        <w:tc>
          <w:tcPr>
            <w:tcW w:w="1800" w:type="dxa"/>
          </w:tcPr>
          <w:p>
            <w:pPr>
              <w:pStyle w:val="Normal0"/>
              <w:rPr>
                <w:rFonts w:ascii="宋体" w:hAnsi="宋体" w:hint="eastAsia"/>
                <w:b/>
                <w:sz w:val="28"/>
              </w:rPr>
            </w:pPr>
            <w:r>
              <w:rPr>
                <w:rFonts w:ascii="宋体" w:hAnsi="宋体" w:hint="eastAsia"/>
                <w:sz w:val="28"/>
              </w:rPr>
              <w:t>一次性付款</w:t>
            </w:r>
          </w:p>
        </w:tc>
        <w:tc>
          <w:tcPr>
            <w:tcW w:w="1080" w:type="dxa"/>
          </w:tcPr>
          <w:p>
            <w:pPr>
              <w:pStyle w:val="Normal0"/>
              <w:rPr>
                <w:rFonts w:ascii="宋体" w:hAnsi="宋体" w:hint="eastAsia"/>
                <w:b/>
                <w:sz w:val="28"/>
              </w:rPr>
            </w:pPr>
            <w:r>
              <w:rPr>
                <w:rFonts w:ascii="宋体" w:hAnsi="宋体" w:hint="eastAsia"/>
                <w:sz w:val="28"/>
              </w:rPr>
              <w:t>95折</w:t>
            </w:r>
          </w:p>
        </w:tc>
        <w:tc>
          <w:tcPr>
            <w:tcW w:w="4860" w:type="dxa"/>
          </w:tcPr>
          <w:p>
            <w:pPr>
              <w:pStyle w:val="Normal0"/>
              <w:numPr>
                <w:ilvl w:val="0"/>
                <w:numId w:val="10"/>
              </w:numPr>
              <w:spacing w:line="460" w:lineRule="exact"/>
              <w:ind w:left="448" w:hanging="448"/>
              <w:rPr>
                <w:rFonts w:ascii="宋体" w:hAnsi="宋体" w:hint="eastAsia"/>
                <w:spacing w:val="8"/>
                <w:sz w:val="28"/>
              </w:rPr>
            </w:pPr>
            <w:r>
              <w:rPr>
                <w:rFonts w:ascii="宋体" w:hAnsi="宋体" w:hint="eastAsia"/>
                <w:spacing w:val="8"/>
                <w:sz w:val="28"/>
              </w:rPr>
              <w:t>付足定金时签署认购书</w:t>
            </w:r>
          </w:p>
          <w:p>
            <w:pPr>
              <w:pStyle w:val="Normal0"/>
              <w:numPr>
                <w:ilvl w:val="0"/>
                <w:numId w:val="10"/>
              </w:numPr>
              <w:spacing w:line="460" w:lineRule="exact"/>
              <w:rPr>
                <w:rFonts w:ascii="宋体" w:hAnsi="宋体" w:hint="eastAsia"/>
                <w:spacing w:val="8"/>
                <w:sz w:val="28"/>
              </w:rPr>
            </w:pPr>
            <w:r>
              <w:rPr>
                <w:rFonts w:ascii="宋体" w:hAnsi="宋体" w:hint="eastAsia"/>
                <w:spacing w:val="8"/>
                <w:sz w:val="28"/>
              </w:rPr>
              <w:t>签署认购书后7天内付首期并签署</w:t>
            </w:r>
            <w:r>
              <w:rPr>
                <w:rFonts w:ascii="宋体" w:hAnsi="宋体" w:hint="eastAsia"/>
                <w:sz w:val="28"/>
              </w:rPr>
              <w:t>《房地产买卖</w:t>
            </w:r>
            <w:r>
              <w:rPr>
                <w:rFonts w:ascii="宋体" w:hAnsi="宋体" w:hint="eastAsia"/>
                <w:sz w:val="28"/>
                <w:lang w:eastAsia="zh-CN"/>
              </w:rPr>
              <w:t>合同合约</w:t>
            </w:r>
            <w:r>
              <w:rPr>
                <w:rFonts w:ascii="宋体" w:hAnsi="宋体" w:hint="eastAsia"/>
                <w:sz w:val="28"/>
              </w:rPr>
              <w:t>》</w:t>
            </w:r>
          </w:p>
          <w:p>
            <w:pPr>
              <w:pStyle w:val="Normal0"/>
              <w:ind w:left="560" w:hanging="560" w:hangingChars="200"/>
              <w:rPr>
                <w:rFonts w:ascii="宋体" w:hAnsi="宋体" w:hint="eastAsia"/>
                <w:b/>
                <w:sz w:val="28"/>
              </w:rPr>
            </w:pPr>
            <w:r>
              <w:rPr>
                <w:rFonts w:ascii="宋体" w:hAnsi="宋体" w:hint="eastAsia"/>
                <w:spacing w:val="8"/>
                <w:sz w:val="28"/>
              </w:rPr>
              <w:t>3.签署</w:t>
            </w:r>
            <w:r>
              <w:rPr>
                <w:rFonts w:ascii="宋体" w:hAnsi="宋体" w:hint="eastAsia"/>
                <w:sz w:val="28"/>
              </w:rPr>
              <w:t>《房地产买卖</w:t>
            </w:r>
            <w:r>
              <w:rPr>
                <w:rFonts w:ascii="宋体" w:hAnsi="宋体" w:hint="eastAsia"/>
                <w:sz w:val="28"/>
                <w:lang w:eastAsia="zh-CN"/>
              </w:rPr>
              <w:t>合同合约</w:t>
            </w:r>
            <w:r>
              <w:rPr>
                <w:rFonts w:ascii="宋体" w:hAnsi="宋体" w:hint="eastAsia"/>
                <w:sz w:val="28"/>
              </w:rPr>
              <w:t>》</w:t>
            </w:r>
            <w:r>
              <w:rPr>
                <w:rFonts w:ascii="宋体" w:hAnsi="宋体" w:hint="eastAsia"/>
                <w:spacing w:val="8"/>
                <w:sz w:val="28"/>
              </w:rPr>
              <w:t>后10天内付完余款</w:t>
            </w:r>
          </w:p>
        </w:tc>
        <w:tc>
          <w:tcPr>
            <w:tcW w:w="1980" w:type="dxa"/>
          </w:tcPr>
          <w:p>
            <w:pPr>
              <w:pStyle w:val="Normal0"/>
              <w:spacing w:line="460" w:lineRule="exact"/>
              <w:rPr>
                <w:rFonts w:ascii="宋体" w:hAnsi="宋体" w:hint="eastAsia"/>
                <w:sz w:val="28"/>
              </w:rPr>
            </w:pPr>
            <w:r>
              <w:rPr>
                <w:rFonts w:ascii="宋体" w:hAnsi="宋体" w:hint="eastAsia"/>
                <w:sz w:val="28"/>
              </w:rPr>
              <w:t>10000元</w:t>
            </w:r>
          </w:p>
          <w:p>
            <w:pPr>
              <w:pStyle w:val="Normal0"/>
              <w:spacing w:line="460" w:lineRule="exact"/>
              <w:rPr>
                <w:rFonts w:ascii="宋体" w:hAnsi="宋体" w:hint="eastAsia"/>
                <w:sz w:val="28"/>
              </w:rPr>
            </w:pPr>
            <w:r>
              <w:rPr>
                <w:rFonts w:ascii="宋体" w:hAnsi="宋体" w:hint="eastAsia"/>
                <w:sz w:val="28"/>
              </w:rPr>
              <w:t>40%（含定金）</w:t>
            </w:r>
          </w:p>
          <w:p>
            <w:pPr>
              <w:pStyle w:val="Normal0"/>
              <w:rPr>
                <w:rFonts w:ascii="宋体" w:hAnsi="宋体" w:hint="eastAsia"/>
                <w:sz w:val="28"/>
              </w:rPr>
            </w:pPr>
            <w:r>
              <w:rPr>
                <w:rFonts w:ascii="宋体" w:hAnsi="宋体" w:hint="eastAsia"/>
                <w:sz w:val="28"/>
              </w:rPr>
              <w:t>60%</w:t>
            </w:r>
          </w:p>
        </w:tc>
      </w:tr>
      <w:tr>
        <w:tblPrEx>
          <w:tblW w:w="9720" w:type="dxa"/>
          <w:tblInd w:w="-432" w:type="dxa"/>
          <w:tblCellMar>
            <w:top w:w="0" w:type="dxa"/>
            <w:left w:w="108" w:type="dxa"/>
            <w:bottom w:w="0" w:type="dxa"/>
            <w:right w:w="108" w:type="dxa"/>
          </w:tblCellMar>
        </w:tblPrEx>
        <w:tc>
          <w:tcPr>
            <w:tcW w:w="1800" w:type="dxa"/>
          </w:tcPr>
          <w:p>
            <w:pPr>
              <w:pStyle w:val="Normal0"/>
              <w:rPr>
                <w:rFonts w:ascii="宋体" w:hAnsi="宋体" w:hint="eastAsia"/>
                <w:sz w:val="28"/>
              </w:rPr>
            </w:pPr>
            <w:r>
              <w:rPr>
                <w:rFonts w:ascii="宋体" w:hAnsi="宋体" w:hint="eastAsia"/>
                <w:sz w:val="28"/>
              </w:rPr>
              <w:t>银行按揭付款</w:t>
            </w:r>
          </w:p>
        </w:tc>
        <w:tc>
          <w:tcPr>
            <w:tcW w:w="1080" w:type="dxa"/>
          </w:tcPr>
          <w:p>
            <w:pPr>
              <w:pStyle w:val="Normal0"/>
              <w:rPr>
                <w:rFonts w:ascii="宋体" w:hAnsi="宋体" w:hint="eastAsia"/>
                <w:sz w:val="28"/>
              </w:rPr>
            </w:pPr>
            <w:r>
              <w:rPr>
                <w:rFonts w:ascii="宋体" w:hAnsi="宋体" w:hint="eastAsia"/>
                <w:sz w:val="28"/>
              </w:rPr>
              <w:t>9７折</w:t>
            </w:r>
          </w:p>
        </w:tc>
        <w:tc>
          <w:tcPr>
            <w:tcW w:w="4860" w:type="dxa"/>
          </w:tcPr>
          <w:p>
            <w:pPr>
              <w:pStyle w:val="Normal0"/>
              <w:numPr>
                <w:ilvl w:val="0"/>
                <w:numId w:val="11"/>
              </w:numPr>
              <w:spacing w:line="460" w:lineRule="exact"/>
              <w:rPr>
                <w:rFonts w:ascii="宋体" w:hAnsi="宋体" w:hint="eastAsia"/>
                <w:spacing w:val="8"/>
                <w:sz w:val="28"/>
              </w:rPr>
            </w:pPr>
            <w:r>
              <w:rPr>
                <w:rFonts w:ascii="宋体" w:hAnsi="宋体" w:hint="eastAsia"/>
                <w:spacing w:val="8"/>
                <w:sz w:val="28"/>
              </w:rPr>
              <w:t>付足定金时签署认购书</w:t>
            </w:r>
          </w:p>
          <w:p>
            <w:pPr>
              <w:pStyle w:val="Normal0"/>
              <w:spacing w:line="460" w:lineRule="exact"/>
              <w:ind w:left="402" w:hanging="402"/>
              <w:rPr>
                <w:rFonts w:ascii="宋体" w:hAnsi="宋体" w:hint="eastAsia"/>
                <w:spacing w:val="8"/>
                <w:sz w:val="28"/>
              </w:rPr>
            </w:pPr>
            <w:r>
              <w:rPr>
                <w:rFonts w:ascii="宋体" w:hAnsi="宋体" w:hint="eastAsia"/>
                <w:spacing w:val="8"/>
                <w:sz w:val="28"/>
              </w:rPr>
              <w:t>2．签署认购书后</w:t>
            </w:r>
            <w:r>
              <w:rPr>
                <w:rFonts w:ascii="宋体" w:hAnsi="宋体"/>
                <w:spacing w:val="8"/>
                <w:sz w:val="28"/>
              </w:rPr>
              <w:t>7</w:t>
            </w:r>
            <w:r>
              <w:rPr>
                <w:rFonts w:ascii="宋体" w:hAnsi="宋体" w:hint="eastAsia"/>
                <w:spacing w:val="8"/>
                <w:sz w:val="28"/>
              </w:rPr>
              <w:t>天内付首期并签署</w:t>
            </w:r>
            <w:r>
              <w:rPr>
                <w:rFonts w:ascii="宋体" w:hAnsi="宋体" w:hint="eastAsia"/>
                <w:sz w:val="28"/>
              </w:rPr>
              <w:t>《房地产买卖</w:t>
            </w:r>
            <w:r>
              <w:rPr>
                <w:rFonts w:ascii="宋体" w:hAnsi="宋体" w:hint="eastAsia"/>
                <w:sz w:val="28"/>
                <w:lang w:eastAsia="zh-CN"/>
              </w:rPr>
              <w:t>合同合约</w:t>
            </w:r>
            <w:r>
              <w:rPr>
                <w:rFonts w:ascii="宋体" w:hAnsi="宋体" w:hint="eastAsia"/>
                <w:sz w:val="28"/>
              </w:rPr>
              <w:t>》</w:t>
            </w:r>
          </w:p>
          <w:p>
            <w:pPr>
              <w:pStyle w:val="Normal0"/>
              <w:spacing w:after="0" w:line="460" w:lineRule="exact"/>
              <w:ind w:left="560" w:hanging="560" w:hangingChars="200"/>
              <w:rPr>
                <w:rFonts w:ascii="宋体" w:hAnsi="宋体" w:hint="eastAsia"/>
                <w:spacing w:val="8"/>
                <w:sz w:val="28"/>
              </w:rPr>
            </w:pPr>
            <w:r>
              <w:rPr>
                <w:rFonts w:ascii="宋体" w:hAnsi="宋体" w:hint="eastAsia"/>
                <w:spacing w:val="8"/>
                <w:sz w:val="28"/>
              </w:rPr>
              <w:t>3．签署</w:t>
            </w:r>
            <w:r>
              <w:rPr>
                <w:rFonts w:ascii="宋体" w:hAnsi="宋体" w:hint="eastAsia"/>
                <w:sz w:val="28"/>
              </w:rPr>
              <w:t>《房地产买卖</w:t>
            </w:r>
            <w:r>
              <w:rPr>
                <w:rFonts w:ascii="宋体" w:hAnsi="宋体" w:hint="eastAsia"/>
                <w:sz w:val="28"/>
                <w:lang w:eastAsia="zh-CN"/>
              </w:rPr>
              <w:t>合同合约</w:t>
            </w:r>
            <w:r>
              <w:rPr>
                <w:rFonts w:ascii="宋体" w:hAnsi="宋体" w:hint="eastAsia"/>
                <w:sz w:val="28"/>
              </w:rPr>
              <w:t>》</w:t>
            </w:r>
            <w:r>
              <w:rPr>
                <w:rFonts w:ascii="宋体" w:hAnsi="宋体" w:hint="eastAsia"/>
                <w:spacing w:val="8"/>
                <w:sz w:val="28"/>
              </w:rPr>
              <w:t>后</w:t>
            </w:r>
            <w:r>
              <w:rPr>
                <w:rFonts w:ascii="宋体" w:hAnsi="宋体"/>
                <w:spacing w:val="8"/>
                <w:sz w:val="28"/>
              </w:rPr>
              <w:t>15</w:t>
            </w:r>
          </w:p>
        </w:tc>
        <w:tc>
          <w:tcPr>
            <w:tcW w:w="1980" w:type="dxa"/>
          </w:tcPr>
          <w:p>
            <w:pPr>
              <w:pStyle w:val="Normal0"/>
              <w:spacing w:line="460" w:lineRule="exact"/>
              <w:rPr>
                <w:rFonts w:ascii="宋体" w:hAnsi="宋体" w:hint="eastAsia"/>
                <w:sz w:val="28"/>
              </w:rPr>
            </w:pPr>
            <w:r>
              <w:rPr>
                <w:rFonts w:ascii="宋体" w:hAnsi="宋体" w:hint="eastAsia"/>
                <w:sz w:val="28"/>
              </w:rPr>
              <w:t>10000元</w:t>
            </w:r>
          </w:p>
          <w:p>
            <w:pPr>
              <w:pStyle w:val="Normal0"/>
              <w:spacing w:line="460" w:lineRule="exact"/>
              <w:rPr>
                <w:rFonts w:ascii="宋体" w:hAnsi="宋体" w:hint="eastAsia"/>
                <w:sz w:val="28"/>
              </w:rPr>
            </w:pPr>
            <w:r>
              <w:rPr>
                <w:rFonts w:ascii="宋体" w:hAnsi="宋体" w:hint="eastAsia"/>
                <w:sz w:val="28"/>
              </w:rPr>
              <w:t>40%或30%（含定金）</w:t>
            </w:r>
          </w:p>
        </w:tc>
      </w:tr>
    </w:tbl>
    <w:p>
      <w:pPr>
        <w:sectPr>
          <w:headerReference w:type="default" r:id="rId33"/>
          <w:footerReference w:type="default" r:id="rId34"/>
          <w:type w:val="nextPage"/>
          <w:pgSz w:w="11906" w:h="16838"/>
          <w:pgMar w:top="1440" w:right="1418" w:bottom="1440" w:left="1797" w:header="851" w:footer="992" w:gutter="0"/>
          <w:pgNumType w:start="15"/>
          <w:cols w:num="1" w:space="425"/>
          <w:titlePg w:val="0"/>
          <w:docGrid w:type="lines" w:linePitch="312" w:charSpace="0"/>
        </w:sectPr>
      </w:pPr>
    </w:p>
    <w:tbl>
      <w:tblPr>
        <w:tblStyle w:val="TableNormal"/>
        <w:tblW w:w="972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800"/>
        <w:gridCol w:w="1080"/>
        <w:gridCol w:w="4860"/>
        <w:gridCol w:w="1980"/>
      </w:tblGrid>
      <w:tr>
        <w:tblPrEx>
          <w:tblW w:w="972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800" w:type="dxa"/>
          </w:tcPr>
          <w:p/>
        </w:tc>
        <w:tc>
          <w:tcPr>
            <w:tcW w:w="1080" w:type="dxa"/>
          </w:tcPr>
          <w:p/>
        </w:tc>
        <w:tc>
          <w:tcPr>
            <w:tcW w:w="4860" w:type="dxa"/>
          </w:tcPr>
          <w:p>
            <w:pPr>
              <w:pStyle w:val="Normal0"/>
              <w:spacing w:before="0" w:line="460" w:lineRule="exact"/>
              <w:ind w:left="560" w:hanging="560" w:hangingChars="200"/>
              <w:rPr>
                <w:rFonts w:ascii="宋体" w:hAnsi="宋体" w:hint="eastAsia"/>
                <w:spacing w:val="8"/>
                <w:sz w:val="28"/>
              </w:rPr>
            </w:pPr>
            <w:r>
              <w:rPr>
                <w:rFonts w:ascii="宋体" w:hAnsi="宋体" w:hint="eastAsia"/>
                <w:spacing w:val="8"/>
                <w:sz w:val="28"/>
              </w:rPr>
              <w:t>天内向银行申请按揭</w:t>
            </w:r>
          </w:p>
        </w:tc>
        <w:tc>
          <w:tcPr>
            <w:tcW w:w="1980" w:type="dxa"/>
          </w:tcPr>
          <w:p>
            <w:pPr>
              <w:pStyle w:val="Normal0"/>
              <w:rPr>
                <w:rFonts w:ascii="宋体" w:hAnsi="宋体" w:hint="eastAsia"/>
                <w:sz w:val="28"/>
              </w:rPr>
            </w:pPr>
            <w:r>
              <w:rPr>
                <w:rFonts w:ascii="宋体" w:hAnsi="宋体" w:hint="eastAsia"/>
                <w:sz w:val="28"/>
              </w:rPr>
              <w:t>60%或70%</w:t>
            </w:r>
          </w:p>
        </w:tc>
      </w:tr>
    </w:tbl>
    <w:p>
      <w:pPr>
        <w:pStyle w:val="Normal0"/>
        <w:rPr>
          <w:rFonts w:ascii="宋体" w:hAnsi="宋体" w:hint="eastAsia"/>
          <w:sz w:val="28"/>
        </w:rPr>
      </w:pPr>
    </w:p>
    <w:p>
      <w:pPr>
        <w:pStyle w:val="Normal0"/>
        <w:rPr>
          <w:rFonts w:ascii="宋体" w:hAnsi="宋体" w:hint="eastAsia"/>
          <w:sz w:val="28"/>
        </w:rPr>
      </w:pPr>
    </w:p>
    <w:p>
      <w:pPr>
        <w:pStyle w:val="Normal0"/>
        <w:spacing w:line="360" w:lineRule="auto"/>
        <w:rPr>
          <w:rFonts w:hint="eastAsia"/>
          <w:sz w:val="28"/>
        </w:rPr>
      </w:pPr>
      <w:r>
        <w:rPr>
          <w:rFonts w:hint="eastAsia"/>
          <w:sz w:val="28"/>
        </w:rPr>
        <w:t>注：</w:t>
      </w:r>
    </w:p>
    <w:p>
      <w:pPr>
        <w:pStyle w:val="Normal0"/>
        <w:numPr>
          <w:ilvl w:val="1"/>
          <w:numId w:val="30"/>
        </w:numPr>
        <w:rPr>
          <w:rFonts w:hint="eastAsia"/>
          <w:sz w:val="28"/>
        </w:rPr>
      </w:pPr>
      <w:r>
        <w:rPr>
          <w:rFonts w:hint="eastAsia"/>
          <w:sz w:val="28"/>
        </w:rPr>
        <w:t>购买带返租的街铺一次返还1年租金（６%）；购买位置较好内铺一次性返还2年租金（1３%）；购买位置较差内铺一次性返还3年租金（2１%）；直接在楼款的首期款内扣减。</w:t>
      </w:r>
    </w:p>
    <w:p>
      <w:pPr>
        <w:pStyle w:val="Normal0"/>
        <w:numPr>
          <w:ilvl w:val="1"/>
          <w:numId w:val="30"/>
        </w:numPr>
        <w:rPr>
          <w:rFonts w:hint="eastAsia"/>
          <w:sz w:val="24"/>
        </w:rPr>
      </w:pPr>
      <w:r>
        <w:rPr>
          <w:rFonts w:hint="eastAsia"/>
          <w:sz w:val="28"/>
        </w:rPr>
        <w:t>街铺订金5万元，其余订金为2万元。</w:t>
      </w:r>
    </w:p>
    <w:p>
      <w:pPr>
        <w:pStyle w:val="Normal0"/>
        <w:rPr>
          <w:rFonts w:hint="eastAsia"/>
          <w:sz w:val="28"/>
        </w:rPr>
      </w:pPr>
    </w:p>
    <w:p>
      <w:pPr>
        <w:pStyle w:val="Normal0"/>
        <w:rPr>
          <w:rFonts w:hint="eastAsia"/>
          <w:sz w:val="28"/>
        </w:rPr>
      </w:pPr>
    </w:p>
    <w:p>
      <w:pPr>
        <w:pStyle w:val="Normal0"/>
        <w:rPr>
          <w:rFonts w:hint="eastAsia"/>
          <w:sz w:val="24"/>
        </w:rPr>
      </w:pPr>
    </w:p>
    <w:p>
      <w:pPr>
        <w:pStyle w:val="BodyTextIndent3"/>
        <w:spacing w:line="240" w:lineRule="auto"/>
        <w:ind w:left="0" w:right="231" w:firstLine="560" w:rightChars="110"/>
        <w:rPr>
          <w:rFonts w:hint="eastAsia"/>
        </w:rPr>
      </w:pPr>
    </w:p>
    <w:p>
      <w:pPr>
        <w:pStyle w:val="Normal0"/>
        <w:ind w:firstLine="525"/>
        <w:rPr>
          <w:sz w:val="28"/>
        </w:rPr>
      </w:pPr>
    </w:p>
    <w:p>
      <w:pPr>
        <w:pStyle w:val="Normal0"/>
        <w:ind w:firstLine="525"/>
        <w:rPr>
          <w:rFonts w:hint="eastAsia"/>
          <w:sz w:val="28"/>
        </w:rPr>
      </w:pPr>
    </w:p>
    <w:p>
      <w:pPr>
        <w:pStyle w:val="Normal0"/>
        <w:ind w:firstLine="525"/>
        <w:rPr>
          <w:rFonts w:hint="eastAsia"/>
          <w:sz w:val="28"/>
        </w:rPr>
      </w:pPr>
    </w:p>
    <w:p>
      <w:pPr>
        <w:pStyle w:val="Normal0"/>
        <w:rPr>
          <w:rFonts w:hint="eastAsia"/>
          <w:sz w:val="28"/>
        </w:rPr>
      </w:pPr>
    </w:p>
    <w:p>
      <w:pPr>
        <w:pStyle w:val="Normal0"/>
        <w:spacing w:line="480" w:lineRule="auto"/>
        <w:jc w:val="center"/>
        <w:outlineLvl w:val="0"/>
        <w:rPr>
          <w:rFonts w:hint="eastAsia"/>
          <w:b/>
          <w:sz w:val="44"/>
        </w:rPr>
      </w:pPr>
    </w:p>
    <w:p>
      <w:pPr>
        <w:pStyle w:val="Normal0"/>
        <w:spacing w:line="480" w:lineRule="auto"/>
        <w:jc w:val="center"/>
        <w:outlineLvl w:val="0"/>
        <w:rPr>
          <w:rFonts w:hint="eastAsia"/>
          <w:b/>
          <w:sz w:val="44"/>
        </w:rPr>
      </w:pPr>
    </w:p>
    <w:p>
      <w:pPr>
        <w:pStyle w:val="Normal0"/>
        <w:spacing w:line="480" w:lineRule="auto"/>
        <w:jc w:val="center"/>
        <w:outlineLvl w:val="0"/>
        <w:rPr>
          <w:rFonts w:hint="eastAsia"/>
          <w:b/>
          <w:sz w:val="44"/>
        </w:rPr>
      </w:pPr>
      <w:r>
        <w:rPr>
          <w:rFonts w:hint="eastAsia"/>
          <w:b/>
          <w:sz w:val="44"/>
        </w:rPr>
        <w:t>长安明珠国际广场招商策略</w:t>
      </w:r>
    </w:p>
    <w:p>
      <w:pPr>
        <w:pStyle w:val="Normal0"/>
        <w:spacing w:line="480" w:lineRule="auto"/>
        <w:jc w:val="center"/>
        <w:outlineLvl w:val="0"/>
        <w:rPr>
          <w:rFonts w:hint="eastAsia"/>
          <w:b/>
          <w:sz w:val="44"/>
        </w:rPr>
      </w:pPr>
    </w:p>
    <w:p>
      <w:pPr>
        <w:pStyle w:val="Normal0"/>
        <w:spacing w:line="360" w:lineRule="auto"/>
        <w:ind w:firstLine="425"/>
        <w:rPr>
          <w:sz w:val="28"/>
        </w:rPr>
        <w:sectPr>
          <w:headerReference w:type="default" r:id="rId35"/>
          <w:footerReference w:type="default" r:id="rId36"/>
          <w:type w:val="nextPage"/>
          <w:pgSz w:w="11906" w:h="16838"/>
          <w:pgMar w:top="1440" w:right="1418" w:bottom="1440" w:left="1797" w:header="851" w:footer="992" w:gutter="0"/>
          <w:pgNumType w:start="16"/>
          <w:cols w:num="1" w:space="425"/>
          <w:titlePg w:val="0"/>
          <w:docGrid w:type="lines" w:linePitch="312" w:charSpace="0"/>
        </w:sectPr>
      </w:pPr>
      <w:r>
        <w:rPr>
          <w:rFonts w:hint="eastAsia"/>
          <w:b/>
          <w:sz w:val="28"/>
        </w:rPr>
        <w:t>引言：</w:t>
      </w:r>
      <w:r>
        <w:rPr>
          <w:rFonts w:hint="eastAsia"/>
          <w:sz w:val="28"/>
        </w:rPr>
        <w:t>长安·明珠广场</w:t>
      </w:r>
      <w:r>
        <w:rPr>
          <w:rFonts w:hint="eastAsia"/>
          <w:sz w:val="28"/>
          <w:lang w:eastAsia="zh-CN"/>
        </w:rPr>
        <w:t>相关项目</w:t>
      </w:r>
      <w:r>
        <w:rPr>
          <w:rFonts w:hint="eastAsia"/>
          <w:sz w:val="28"/>
        </w:rPr>
        <w:t>现阶段进入前期招商阶段，</w:t>
      </w:r>
      <w:r>
        <w:rPr>
          <w:rFonts w:hint="eastAsia"/>
          <w:color w:val="000000"/>
          <w:sz w:val="28"/>
        </w:rPr>
        <w:t>介于本</w:t>
      </w:r>
      <w:r>
        <w:rPr>
          <w:rFonts w:hint="eastAsia"/>
          <w:color w:val="000000"/>
          <w:sz w:val="28"/>
          <w:lang w:eastAsia="zh-CN"/>
        </w:rPr>
        <w:t>相关项目</w:t>
      </w:r>
      <w:r>
        <w:rPr>
          <w:rFonts w:hint="eastAsia"/>
          <w:color w:val="000000"/>
          <w:sz w:val="28"/>
        </w:rPr>
        <w:t>体量大、</w:t>
      </w:r>
      <w:r>
        <w:rPr>
          <w:rFonts w:hint="eastAsia"/>
          <w:color w:val="000000"/>
          <w:sz w:val="28"/>
          <w:lang w:eastAsia="zh-CN"/>
        </w:rPr>
        <w:t>相关项目</w:t>
      </w:r>
    </w:p>
    <w:p>
      <w:pPr>
        <w:pStyle w:val="Normal0"/>
        <w:spacing w:line="360" w:lineRule="auto"/>
        <w:ind w:firstLine="425"/>
        <w:rPr>
          <w:sz w:val="28"/>
        </w:rPr>
      </w:pPr>
      <w:r>
        <w:rPr>
          <w:rFonts w:hint="eastAsia"/>
          <w:color w:val="000000"/>
          <w:sz w:val="28"/>
        </w:rPr>
        <w:t>工程已基本完成、销售时机渐近的实际状况，通过与开发商的充分沟通后，制定了</w:t>
      </w:r>
      <w:r>
        <w:rPr>
          <w:rFonts w:hint="eastAsia"/>
          <w:color w:val="000000"/>
          <w:sz w:val="28"/>
          <w:lang w:eastAsia="zh-CN"/>
        </w:rPr>
        <w:t>相关项目</w:t>
      </w:r>
      <w:r>
        <w:rPr>
          <w:rFonts w:hint="eastAsia"/>
          <w:color w:val="000000"/>
          <w:sz w:val="28"/>
        </w:rPr>
        <w:t>招商与销售并行，以招商树立销售信心的营销策略。</w:t>
      </w:r>
      <w:r>
        <w:rPr>
          <w:rFonts w:hint="eastAsia"/>
          <w:sz w:val="28"/>
        </w:rPr>
        <w:t>现根据</w:t>
      </w:r>
      <w:r>
        <w:rPr>
          <w:rFonts w:hint="eastAsia"/>
          <w:sz w:val="28"/>
          <w:lang w:eastAsia="zh-CN"/>
        </w:rPr>
        <w:t>相关项目</w:t>
      </w:r>
      <w:r>
        <w:rPr>
          <w:rFonts w:hint="eastAsia"/>
          <w:sz w:val="28"/>
        </w:rPr>
        <w:t>的定位制定以下招商策略：</w:t>
      </w:r>
    </w:p>
    <w:p>
      <w:pPr>
        <w:pStyle w:val="Normal0"/>
        <w:tabs>
          <w:tab w:val="left" w:pos="360"/>
          <w:tab w:val="left" w:pos="720"/>
        </w:tabs>
        <w:spacing w:line="360" w:lineRule="auto"/>
        <w:ind w:left="2240" w:hanging="2240" w:hangingChars="800"/>
        <w:jc w:val="center"/>
        <w:rPr>
          <w:rFonts w:hint="eastAsia"/>
          <w:b/>
          <w:bCs/>
          <w:sz w:val="28"/>
        </w:rPr>
      </w:pPr>
      <w:r>
        <w:rPr>
          <w:rFonts w:hint="eastAsia"/>
          <w:b/>
          <w:bCs/>
          <w:sz w:val="28"/>
        </w:rPr>
        <w:t>长安明珠国际广场</w:t>
      </w:r>
      <w:r>
        <w:rPr>
          <w:rFonts w:hint="eastAsia"/>
          <w:b/>
          <w:bCs/>
          <w:sz w:val="28"/>
          <w:lang w:eastAsia="zh-CN"/>
        </w:rPr>
        <w:t>相关项目</w:t>
      </w:r>
      <w:r>
        <w:rPr>
          <w:rFonts w:hint="eastAsia"/>
          <w:b/>
          <w:bCs/>
          <w:sz w:val="28"/>
        </w:rPr>
        <w:t>定位</w:t>
      </w:r>
    </w:p>
    <w:p>
      <w:pPr>
        <w:pStyle w:val="Normal0"/>
        <w:tabs>
          <w:tab w:val="left" w:pos="360"/>
          <w:tab w:val="left" w:pos="720"/>
        </w:tabs>
        <w:spacing w:line="360" w:lineRule="auto"/>
        <w:ind w:left="2240" w:hanging="2240" w:hangingChars="800"/>
        <w:rPr>
          <w:rFonts w:hint="eastAsia"/>
          <w:sz w:val="28"/>
          <w:u w:val="single"/>
        </w:rPr>
      </w:pPr>
      <w:r>
        <w:rPr>
          <w:rFonts w:hint="eastAsia"/>
          <w:b/>
          <w:bCs/>
          <w:sz w:val="28"/>
        </w:rPr>
        <w:t>整体功能定位</w:t>
      </w:r>
      <w:r>
        <w:rPr>
          <w:rFonts w:hint="eastAsia"/>
          <w:sz w:val="28"/>
        </w:rPr>
        <w:t>——</w:t>
      </w:r>
      <w:r>
        <w:rPr>
          <w:rFonts w:hint="eastAsia"/>
          <w:sz w:val="28"/>
          <w:u w:val="single"/>
        </w:rPr>
        <w:t>以都市消费产业为主体的大型购物、休闲娱乐消费社区，展示长安形象的城市门户、对外窗口。</w:t>
      </w:r>
    </w:p>
    <w:p>
      <w:pPr>
        <w:pStyle w:val="Normal0"/>
        <w:tabs>
          <w:tab w:val="left" w:pos="360"/>
          <w:tab w:val="left" w:pos="720"/>
        </w:tabs>
        <w:spacing w:line="360" w:lineRule="auto"/>
        <w:ind w:left="1680" w:hanging="1680" w:hangingChars="600"/>
        <w:rPr>
          <w:rFonts w:ascii="宋体" w:hint="eastAsia"/>
          <w:b/>
          <w:sz w:val="28"/>
          <w:u w:val="single"/>
        </w:rPr>
      </w:pPr>
      <w:r>
        <w:rPr>
          <w:rFonts w:hint="eastAsia"/>
          <w:b/>
          <w:bCs/>
          <w:sz w:val="28"/>
        </w:rPr>
        <w:t>档次定位</w:t>
      </w:r>
      <w:r>
        <w:rPr>
          <w:rFonts w:hint="eastAsia"/>
          <w:sz w:val="28"/>
        </w:rPr>
        <w:t>—</w:t>
      </w:r>
      <w:r>
        <w:rPr>
          <w:rFonts w:hint="eastAsia"/>
          <w:b/>
          <w:bCs/>
          <w:sz w:val="28"/>
        </w:rPr>
        <w:t>—</w:t>
      </w:r>
      <w:r>
        <w:rPr>
          <w:rFonts w:hint="eastAsia"/>
          <w:sz w:val="28"/>
          <w:u w:val="single"/>
        </w:rPr>
        <w:t>建议本</w:t>
      </w:r>
      <w:r>
        <w:rPr>
          <w:rFonts w:hint="eastAsia"/>
          <w:sz w:val="28"/>
          <w:u w:val="single"/>
          <w:lang w:eastAsia="zh-CN"/>
        </w:rPr>
        <w:t>相关项目</w:t>
      </w:r>
      <w:r>
        <w:rPr>
          <w:rFonts w:hint="eastAsia"/>
          <w:sz w:val="28"/>
          <w:u w:val="single"/>
        </w:rPr>
        <w:t>的档次定为省内中高档次的购物、餐饮、休闲、娱乐风情社区。</w:t>
      </w:r>
    </w:p>
    <w:p>
      <w:pPr>
        <w:pStyle w:val="Normal0"/>
        <w:tabs>
          <w:tab w:val="left" w:pos="360"/>
          <w:tab w:val="left" w:pos="720"/>
        </w:tabs>
        <w:spacing w:line="360" w:lineRule="auto"/>
        <w:rPr>
          <w:rFonts w:hint="eastAsia"/>
          <w:bCs/>
          <w:sz w:val="24"/>
        </w:rPr>
      </w:pPr>
      <w:r>
        <w:rPr>
          <w:rFonts w:ascii="宋体" w:hint="eastAsia"/>
          <w:b/>
          <w:sz w:val="28"/>
        </w:rPr>
        <w:t>形象定位</w:t>
      </w:r>
      <w:r>
        <w:rPr>
          <w:rFonts w:ascii="宋体" w:hint="eastAsia"/>
          <w:bCs/>
          <w:sz w:val="28"/>
        </w:rPr>
        <w:t>——</w:t>
      </w:r>
      <w:r>
        <w:rPr>
          <w:rFonts w:ascii="宋体" w:hint="eastAsia"/>
          <w:bCs/>
          <w:sz w:val="28"/>
          <w:u w:val="single"/>
        </w:rPr>
        <w:t>长安城市商业中心、国际都市消费新地带。</w:t>
      </w:r>
    </w:p>
    <w:p>
      <w:pPr>
        <w:pStyle w:val="Normal0"/>
        <w:spacing w:line="360" w:lineRule="auto"/>
        <w:rPr>
          <w:rFonts w:hint="eastAsia"/>
          <w:b/>
          <w:sz w:val="28"/>
        </w:rPr>
      </w:pPr>
      <w:r>
        <w:rPr>
          <w:rFonts w:hint="eastAsia"/>
          <w:b/>
          <w:sz w:val="28"/>
        </w:rPr>
        <w:t>一、招商主题</w:t>
      </w:r>
    </w:p>
    <w:p>
      <w:pPr>
        <w:pStyle w:val="Normal0"/>
        <w:spacing w:line="360" w:lineRule="auto"/>
        <w:ind w:firstLine="560" w:firstLineChars="200"/>
        <w:rPr>
          <w:rFonts w:hint="eastAsia"/>
          <w:b/>
          <w:bCs/>
          <w:sz w:val="28"/>
        </w:rPr>
      </w:pPr>
      <w:r>
        <w:rPr>
          <w:rFonts w:ascii="宋体" w:hAnsi="宋体" w:hint="eastAsia"/>
          <w:sz w:val="28"/>
        </w:rPr>
        <w:t>结合</w:t>
      </w:r>
      <w:r>
        <w:rPr>
          <w:rFonts w:ascii="宋体" w:hAnsi="宋体" w:hint="eastAsia"/>
          <w:sz w:val="28"/>
          <w:lang w:eastAsia="zh-CN"/>
        </w:rPr>
        <w:t>相关项目</w:t>
      </w:r>
      <w:r>
        <w:rPr>
          <w:rFonts w:ascii="宋体" w:hAnsi="宋体" w:hint="eastAsia"/>
          <w:sz w:val="28"/>
        </w:rPr>
        <w:t>的定位，</w:t>
      </w:r>
      <w:r>
        <w:rPr>
          <w:rFonts w:hint="eastAsia"/>
          <w:sz w:val="28"/>
        </w:rPr>
        <w:t>鉴于本案的自身的特点及市场中高端定位，在经营商的选择上也侧重于经营商的知名度和美誉度，力争引进一批有品牌、懂经营、善</w:t>
      </w:r>
      <w:r>
        <w:rPr>
          <w:rFonts w:hint="eastAsia"/>
          <w:sz w:val="28"/>
          <w:lang w:eastAsia="zh-CN"/>
        </w:rPr>
        <w:t>管理管控</w:t>
      </w:r>
      <w:r>
        <w:rPr>
          <w:rFonts w:hint="eastAsia"/>
          <w:sz w:val="28"/>
        </w:rPr>
        <w:t>、对顾客有影响力和号召力的实力商家。招商对象主要有以下几类：</w:t>
      </w:r>
    </w:p>
    <w:p>
      <w:pPr>
        <w:pStyle w:val="Normal0"/>
        <w:spacing w:line="360" w:lineRule="auto"/>
        <w:rPr>
          <w:rFonts w:ascii="宋体" w:hAnsi="宋体" w:hint="eastAsia"/>
          <w:b/>
          <w:bCs/>
          <w:sz w:val="28"/>
        </w:rPr>
      </w:pPr>
      <w:r>
        <w:rPr>
          <w:rFonts w:ascii="宋体" w:hAnsi="宋体" w:hint="eastAsia"/>
          <w:b/>
          <w:bCs/>
          <w:sz w:val="28"/>
        </w:rPr>
        <w:t>◇  知名超级市场</w:t>
      </w:r>
    </w:p>
    <w:p>
      <w:pPr>
        <w:pStyle w:val="Normal0"/>
        <w:spacing w:line="360" w:lineRule="auto"/>
        <w:rPr>
          <w:rFonts w:ascii="宋体" w:hAnsi="宋体" w:hint="eastAsia"/>
          <w:b/>
          <w:bCs/>
          <w:sz w:val="28"/>
        </w:rPr>
      </w:pPr>
      <w:r>
        <w:rPr>
          <w:rFonts w:ascii="宋体" w:hAnsi="宋体" w:hint="eastAsia"/>
          <w:b/>
          <w:bCs/>
          <w:sz w:val="28"/>
        </w:rPr>
        <w:t>◇  百货商场</w:t>
      </w:r>
    </w:p>
    <w:p>
      <w:pPr>
        <w:pStyle w:val="Normal0"/>
        <w:spacing w:line="360" w:lineRule="auto"/>
        <w:rPr>
          <w:rFonts w:ascii="宋体" w:hAnsi="宋体" w:hint="eastAsia"/>
          <w:b/>
          <w:bCs/>
          <w:sz w:val="28"/>
        </w:rPr>
      </w:pPr>
      <w:r>
        <w:rPr>
          <w:rFonts w:ascii="宋体" w:hAnsi="宋体" w:hint="eastAsia"/>
          <w:b/>
          <w:bCs/>
          <w:sz w:val="28"/>
        </w:rPr>
        <w:t>◇  专业市场</w:t>
      </w:r>
    </w:p>
    <w:p>
      <w:pPr>
        <w:pStyle w:val="Normal0"/>
        <w:spacing w:line="360" w:lineRule="auto"/>
        <w:rPr>
          <w:rFonts w:ascii="宋体" w:hAnsi="宋体" w:hint="eastAsia"/>
          <w:b/>
          <w:bCs/>
          <w:sz w:val="28"/>
        </w:rPr>
      </w:pPr>
      <w:r>
        <w:rPr>
          <w:rFonts w:ascii="宋体" w:hAnsi="宋体" w:hint="eastAsia"/>
          <w:b/>
          <w:bCs/>
          <w:sz w:val="28"/>
        </w:rPr>
        <w:t>◇  知名餐饮娱乐</w:t>
      </w:r>
    </w:p>
    <w:p>
      <w:pPr>
        <w:pStyle w:val="Normal0"/>
        <w:spacing w:line="360" w:lineRule="auto"/>
        <w:rPr>
          <w:rFonts w:ascii="宋体" w:hAnsi="宋体" w:hint="eastAsia"/>
          <w:b/>
          <w:bCs/>
          <w:sz w:val="28"/>
        </w:rPr>
      </w:pPr>
      <w:r>
        <w:rPr>
          <w:rFonts w:ascii="宋体" w:hAnsi="宋体" w:hint="eastAsia"/>
          <w:b/>
          <w:bCs/>
          <w:sz w:val="28"/>
        </w:rPr>
        <w:t>◇  休闲健身、大型美容</w:t>
      </w:r>
    </w:p>
    <w:p>
      <w:pPr>
        <w:pStyle w:val="Normal0"/>
        <w:spacing w:line="360" w:lineRule="auto"/>
        <w:rPr>
          <w:rFonts w:ascii="宋体" w:hAnsi="宋体" w:hint="eastAsia"/>
          <w:b/>
          <w:bCs/>
          <w:sz w:val="28"/>
        </w:rPr>
      </w:pPr>
      <w:r>
        <w:rPr>
          <w:rFonts w:ascii="宋体" w:hAnsi="宋体" w:hint="eastAsia"/>
          <w:b/>
          <w:bCs/>
          <w:sz w:val="28"/>
        </w:rPr>
        <w:t>◇  婚纱摄影</w:t>
      </w:r>
    </w:p>
    <w:p>
      <w:pPr>
        <w:pStyle w:val="Normal0"/>
        <w:spacing w:line="360" w:lineRule="auto"/>
        <w:rPr>
          <w:rFonts w:ascii="宋体" w:hAnsi="宋体" w:hint="eastAsia"/>
          <w:b/>
          <w:bCs/>
          <w:sz w:val="28"/>
        </w:rPr>
      </w:pPr>
      <w:r>
        <w:rPr>
          <w:rFonts w:ascii="宋体" w:hAnsi="宋体" w:hint="eastAsia"/>
          <w:b/>
          <w:bCs/>
          <w:sz w:val="28"/>
        </w:rPr>
        <w:t>◇  西餐咖啡</w:t>
      </w:r>
    </w:p>
    <w:p>
      <w:pPr>
        <w:pStyle w:val="Normal0"/>
        <w:spacing w:line="360" w:lineRule="auto"/>
        <w:rPr>
          <w:rFonts w:ascii="宋体" w:hAnsi="宋体" w:hint="eastAsia"/>
          <w:b/>
          <w:bCs/>
          <w:sz w:val="28"/>
        </w:rPr>
        <w:sectPr>
          <w:headerReference w:type="default" r:id="rId37"/>
          <w:footerReference w:type="default" r:id="rId38"/>
          <w:type w:val="nextPage"/>
          <w:pgSz w:w="11906" w:h="16838"/>
          <w:pgMar w:top="1440" w:right="1418" w:bottom="1440" w:left="1797" w:header="851" w:footer="992" w:gutter="0"/>
          <w:pgNumType w:start="17"/>
          <w:cols w:num="1" w:space="425"/>
          <w:titlePg w:val="0"/>
          <w:docGrid w:type="lines" w:linePitch="312" w:charSpace="0"/>
        </w:sectPr>
      </w:pPr>
      <w:r>
        <w:rPr>
          <w:rFonts w:ascii="宋体" w:hAnsi="宋体" w:hint="eastAsia"/>
          <w:b/>
          <w:bCs/>
          <w:sz w:val="28"/>
        </w:rPr>
        <w:t>◇  小型个体经营商户</w:t>
      </w:r>
    </w:p>
    <w:p>
      <w:pPr>
        <w:pStyle w:val="Normal0"/>
        <w:spacing w:line="360" w:lineRule="auto"/>
        <w:rPr>
          <w:rFonts w:ascii="宋体" w:hAnsi="宋体" w:hint="eastAsia"/>
          <w:b/>
          <w:bCs/>
          <w:sz w:val="28"/>
        </w:rPr>
      </w:pPr>
    </w:p>
    <w:p>
      <w:pPr>
        <w:pStyle w:val="Normal0"/>
        <w:spacing w:line="360" w:lineRule="auto"/>
        <w:rPr>
          <w:rFonts w:hint="eastAsia"/>
          <w:sz w:val="28"/>
        </w:rPr>
      </w:pPr>
      <w:r>
        <w:rPr>
          <w:rFonts w:hint="eastAsia"/>
          <w:b/>
          <w:sz w:val="28"/>
        </w:rPr>
        <w:t>二、目标商家素质要求</w:t>
      </w:r>
    </w:p>
    <w:p>
      <w:pPr>
        <w:pStyle w:val="Normal0"/>
        <w:spacing w:line="360" w:lineRule="auto"/>
        <w:ind w:firstLine="560" w:firstLineChars="200"/>
        <w:rPr>
          <w:rFonts w:hint="eastAsia"/>
          <w:sz w:val="28"/>
        </w:rPr>
      </w:pPr>
      <w:r>
        <w:rPr>
          <w:rFonts w:hint="eastAsia"/>
          <w:sz w:val="28"/>
        </w:rPr>
        <w:t>商家的经营档次、经营风格决定了</w:t>
      </w:r>
      <w:r>
        <w:rPr>
          <w:rFonts w:hint="eastAsia"/>
          <w:sz w:val="28"/>
          <w:lang w:eastAsia="zh-CN"/>
        </w:rPr>
        <w:t>相关项目</w:t>
      </w:r>
      <w:r>
        <w:rPr>
          <w:rFonts w:hint="eastAsia"/>
          <w:sz w:val="28"/>
        </w:rPr>
        <w:t>的经营环境与整体形象，为保证今后</w:t>
      </w:r>
      <w:r>
        <w:rPr>
          <w:rFonts w:hint="eastAsia"/>
          <w:sz w:val="28"/>
          <w:lang w:eastAsia="zh-CN"/>
        </w:rPr>
        <w:t>相关项目</w:t>
      </w:r>
      <w:r>
        <w:rPr>
          <w:rFonts w:hint="eastAsia"/>
          <w:sz w:val="28"/>
        </w:rPr>
        <w:t>的可持续经营，美联建议在招商的过程严格地甄选商家条件，主要考虑以下几个方面：</w:t>
      </w:r>
    </w:p>
    <w:p>
      <w:pPr>
        <w:pStyle w:val="Normal0"/>
        <w:autoSpaceDE w:val="0"/>
        <w:autoSpaceDN w:val="0"/>
        <w:adjustRightInd w:val="0"/>
        <w:spacing w:line="360" w:lineRule="auto"/>
        <w:rPr>
          <w:rFonts w:hint="eastAsia"/>
          <w:b/>
          <w:bCs/>
          <w:sz w:val="28"/>
        </w:rPr>
      </w:pPr>
      <w:r>
        <w:rPr>
          <w:rFonts w:ascii="宋体" w:hAnsi="宋体" w:hint="eastAsia"/>
          <w:b/>
          <w:bCs/>
          <w:sz w:val="28"/>
        </w:rPr>
        <w:t xml:space="preserve">◇  </w:t>
      </w:r>
      <w:r>
        <w:rPr>
          <w:rFonts w:ascii="Verdana" w:hAnsi="Arial" w:hint="eastAsia"/>
          <w:b/>
          <w:bCs/>
          <w:color w:val="000000"/>
          <w:sz w:val="28"/>
        </w:rPr>
        <w:t>商家的品牌知名度。</w:t>
      </w:r>
    </w:p>
    <w:p>
      <w:pPr>
        <w:pStyle w:val="Normal0"/>
        <w:autoSpaceDE w:val="0"/>
        <w:autoSpaceDN w:val="0"/>
        <w:adjustRightInd w:val="0"/>
        <w:spacing w:line="360" w:lineRule="auto"/>
        <w:ind w:firstLine="560" w:firstLineChars="200"/>
        <w:rPr>
          <w:rFonts w:hint="eastAsia"/>
          <w:sz w:val="28"/>
        </w:rPr>
      </w:pPr>
      <w:r>
        <w:rPr>
          <w:rFonts w:hint="eastAsia"/>
          <w:sz w:val="28"/>
        </w:rPr>
        <w:t>品牌商家具有以点带面的辐射效应，将对整个</w:t>
      </w:r>
      <w:r>
        <w:rPr>
          <w:rFonts w:hint="eastAsia"/>
          <w:sz w:val="28"/>
          <w:lang w:eastAsia="zh-CN"/>
        </w:rPr>
        <w:t>相关项目</w:t>
      </w:r>
      <w:r>
        <w:rPr>
          <w:rFonts w:hint="eastAsia"/>
          <w:sz w:val="28"/>
        </w:rPr>
        <w:t>的推广、招商以及人气聚集起到极大的促进作用。</w:t>
      </w:r>
    </w:p>
    <w:p>
      <w:pPr>
        <w:pStyle w:val="Normal0"/>
        <w:autoSpaceDE w:val="0"/>
        <w:autoSpaceDN w:val="0"/>
        <w:adjustRightInd w:val="0"/>
        <w:spacing w:line="360" w:lineRule="auto"/>
        <w:rPr>
          <w:rFonts w:ascii="Verdana" w:hAnsi="Arial" w:hint="eastAsia"/>
          <w:b/>
          <w:bCs/>
          <w:color w:val="000000"/>
          <w:sz w:val="28"/>
        </w:rPr>
      </w:pPr>
      <w:r>
        <w:rPr>
          <w:rFonts w:ascii="宋体" w:hAnsi="宋体" w:hint="eastAsia"/>
          <w:b/>
          <w:bCs/>
          <w:sz w:val="28"/>
        </w:rPr>
        <w:t xml:space="preserve">◇  </w:t>
      </w:r>
      <w:r>
        <w:rPr>
          <w:rFonts w:ascii="Verdana" w:hAnsi="Arial" w:hint="eastAsia"/>
          <w:b/>
          <w:bCs/>
          <w:color w:val="000000"/>
          <w:sz w:val="28"/>
        </w:rPr>
        <w:t>商家经营特色的唯一性。</w:t>
      </w:r>
    </w:p>
    <w:p>
      <w:pPr>
        <w:pStyle w:val="Normal0"/>
        <w:autoSpaceDE w:val="0"/>
        <w:autoSpaceDN w:val="0"/>
        <w:adjustRightInd w:val="0"/>
        <w:spacing w:line="360" w:lineRule="auto"/>
        <w:ind w:firstLine="560" w:firstLineChars="200"/>
        <w:rPr>
          <w:rFonts w:hint="eastAsia"/>
          <w:sz w:val="28"/>
        </w:rPr>
      </w:pPr>
      <w:r>
        <w:rPr>
          <w:rFonts w:hint="eastAsia"/>
          <w:sz w:val="28"/>
        </w:rPr>
        <w:t>由于本</w:t>
      </w:r>
      <w:r>
        <w:rPr>
          <w:rFonts w:hint="eastAsia"/>
          <w:sz w:val="28"/>
          <w:lang w:eastAsia="zh-CN"/>
        </w:rPr>
        <w:t>相关项目</w:t>
      </w:r>
      <w:r>
        <w:rPr>
          <w:rFonts w:hint="eastAsia"/>
          <w:sz w:val="28"/>
        </w:rPr>
        <w:t>规模较大、起点交高，同时，为避免商场内商家的同质化现象，确保整个商场尽可能多的引进不同风格、不同特色的商家，以满足消费者多元化的需求，建议需对进驻商家进行质量筛选，以保证商家经营风格与特色的唯一性。</w:t>
      </w:r>
    </w:p>
    <w:p>
      <w:pPr>
        <w:pStyle w:val="Normal0"/>
        <w:autoSpaceDE w:val="0"/>
        <w:autoSpaceDN w:val="0"/>
        <w:adjustRightInd w:val="0"/>
        <w:spacing w:line="360" w:lineRule="auto"/>
        <w:rPr>
          <w:rFonts w:ascii="Verdana" w:hAnsi="Arial" w:hint="eastAsia"/>
          <w:b/>
          <w:bCs/>
          <w:color w:val="000000"/>
          <w:sz w:val="28"/>
        </w:rPr>
      </w:pPr>
      <w:r>
        <w:rPr>
          <w:rFonts w:ascii="宋体" w:hAnsi="宋体" w:hint="eastAsia"/>
          <w:b/>
          <w:bCs/>
          <w:sz w:val="28"/>
        </w:rPr>
        <w:t xml:space="preserve">◇  </w:t>
      </w:r>
      <w:r>
        <w:rPr>
          <w:rFonts w:ascii="Verdana" w:hAnsi="Arial" w:hint="eastAsia"/>
          <w:b/>
          <w:bCs/>
          <w:color w:val="000000"/>
          <w:sz w:val="28"/>
        </w:rPr>
        <w:t>经营年限</w:t>
      </w:r>
    </w:p>
    <w:p>
      <w:pPr>
        <w:pStyle w:val="Normal0"/>
        <w:autoSpaceDE w:val="0"/>
        <w:autoSpaceDN w:val="0"/>
        <w:adjustRightInd w:val="0"/>
        <w:spacing w:line="360" w:lineRule="auto"/>
        <w:ind w:firstLine="560" w:firstLineChars="200"/>
        <w:rPr>
          <w:rFonts w:hint="eastAsia"/>
          <w:sz w:val="28"/>
        </w:rPr>
      </w:pPr>
      <w:r>
        <w:rPr>
          <w:rFonts w:hint="eastAsia"/>
          <w:sz w:val="28"/>
        </w:rPr>
        <w:t>品牌经营商是投资客的基本收益保障，为确保</w:t>
      </w:r>
      <w:r>
        <w:rPr>
          <w:rFonts w:hint="eastAsia"/>
          <w:sz w:val="28"/>
          <w:lang w:eastAsia="zh-CN"/>
        </w:rPr>
        <w:t>相关项目</w:t>
      </w:r>
      <w:r>
        <w:rPr>
          <w:rFonts w:hint="eastAsia"/>
          <w:sz w:val="28"/>
        </w:rPr>
        <w:t>相对较稳定的市场经营氛围，需对进驻商家的经营年限需设定基本标准，对经营行业、经营业态及经营档次不同的商家采取不同的租赁年限。</w:t>
      </w:r>
    </w:p>
    <w:p>
      <w:pPr>
        <w:pStyle w:val="Normal0"/>
        <w:autoSpaceDE w:val="0"/>
        <w:autoSpaceDN w:val="0"/>
        <w:adjustRightInd w:val="0"/>
        <w:spacing w:line="360" w:lineRule="auto"/>
        <w:ind w:firstLine="560" w:firstLineChars="200"/>
        <w:rPr>
          <w:rFonts w:hint="eastAsia"/>
          <w:sz w:val="28"/>
        </w:r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968"/>
        <w:gridCol w:w="3554"/>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4968" w:type="dxa"/>
            <w:vAlign w:val="center"/>
          </w:tcPr>
          <w:p>
            <w:pPr>
              <w:pStyle w:val="Normal0"/>
              <w:autoSpaceDE w:val="0"/>
              <w:autoSpaceDN w:val="0"/>
              <w:adjustRightInd w:val="0"/>
              <w:spacing w:line="360" w:lineRule="auto"/>
              <w:jc w:val="center"/>
              <w:rPr>
                <w:rFonts w:hint="eastAsia"/>
                <w:sz w:val="28"/>
              </w:rPr>
            </w:pPr>
            <w:r>
              <w:rPr>
                <w:rFonts w:hint="eastAsia"/>
                <w:sz w:val="28"/>
              </w:rPr>
              <w:t>商家类别</w:t>
            </w:r>
          </w:p>
        </w:tc>
        <w:tc>
          <w:tcPr>
            <w:tcW w:w="3554" w:type="dxa"/>
            <w:vAlign w:val="center"/>
          </w:tcPr>
          <w:p>
            <w:pPr>
              <w:pStyle w:val="Normal0"/>
              <w:autoSpaceDE w:val="0"/>
              <w:autoSpaceDN w:val="0"/>
              <w:adjustRightInd w:val="0"/>
              <w:spacing w:line="360" w:lineRule="auto"/>
              <w:jc w:val="center"/>
              <w:rPr>
                <w:rFonts w:hint="eastAsia"/>
                <w:sz w:val="28"/>
              </w:rPr>
            </w:pPr>
            <w:r>
              <w:rPr>
                <w:rFonts w:hint="eastAsia"/>
                <w:sz w:val="28"/>
              </w:rPr>
              <w:t>租赁年限</w:t>
            </w:r>
          </w:p>
        </w:tc>
      </w:tr>
    </w:tbl>
    <w:p>
      <w:pPr>
        <w:sectPr>
          <w:headerReference w:type="default" r:id="rId39"/>
          <w:footerReference w:type="default" r:id="rId40"/>
          <w:type w:val="nextPage"/>
          <w:pgSz w:w="11906" w:h="16838"/>
          <w:pgMar w:top="1440" w:right="1418" w:bottom="1440" w:left="1797" w:header="851" w:footer="992" w:gutter="0"/>
          <w:pgNumType w:start="18"/>
          <w:cols w:num="1" w:space="425"/>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968"/>
        <w:gridCol w:w="3554"/>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1375"/>
        </w:trPr>
        <w:tc>
          <w:tcPr>
            <w:tcW w:w="4968" w:type="dxa"/>
            <w:vAlign w:val="center"/>
          </w:tcPr>
          <w:p>
            <w:pPr>
              <w:pStyle w:val="Normal0"/>
              <w:spacing w:line="360" w:lineRule="auto"/>
              <w:rPr>
                <w:rFonts w:ascii="宋体" w:hAnsi="宋体" w:hint="eastAsia"/>
                <w:b/>
                <w:bCs/>
                <w:sz w:val="28"/>
              </w:rPr>
            </w:pPr>
            <w:r>
              <w:rPr>
                <w:rFonts w:ascii="宋体" w:hAnsi="宋体" w:hint="eastAsia"/>
                <w:b/>
                <w:bCs/>
                <w:sz w:val="28"/>
              </w:rPr>
              <w:t>知名超级市场</w:t>
            </w:r>
          </w:p>
          <w:p>
            <w:pPr>
              <w:pStyle w:val="Normal0"/>
              <w:spacing w:line="360" w:lineRule="auto"/>
              <w:rPr>
                <w:rFonts w:ascii="宋体" w:hAnsi="宋体" w:hint="eastAsia"/>
                <w:b/>
                <w:bCs/>
                <w:sz w:val="28"/>
              </w:rPr>
            </w:pPr>
            <w:r>
              <w:rPr>
                <w:rFonts w:ascii="宋体" w:hAnsi="宋体" w:hint="eastAsia"/>
                <w:b/>
                <w:bCs/>
                <w:sz w:val="28"/>
              </w:rPr>
              <w:t>百货商场</w:t>
            </w:r>
          </w:p>
          <w:p>
            <w:pPr>
              <w:pStyle w:val="Normal0"/>
              <w:spacing w:line="360" w:lineRule="auto"/>
              <w:rPr>
                <w:rFonts w:hint="eastAsia"/>
                <w:sz w:val="28"/>
              </w:rPr>
            </w:pPr>
            <w:r>
              <w:rPr>
                <w:rFonts w:ascii="宋体" w:hAnsi="宋体" w:hint="eastAsia"/>
                <w:b/>
                <w:bCs/>
                <w:sz w:val="28"/>
              </w:rPr>
              <w:t>专业市场</w:t>
            </w:r>
          </w:p>
        </w:tc>
        <w:tc>
          <w:tcPr>
            <w:tcW w:w="3554" w:type="dxa"/>
            <w:vAlign w:val="center"/>
          </w:tcPr>
          <w:p>
            <w:pPr>
              <w:pStyle w:val="Normal0"/>
              <w:autoSpaceDE w:val="0"/>
              <w:autoSpaceDN w:val="0"/>
              <w:adjustRightInd w:val="0"/>
              <w:spacing w:line="360" w:lineRule="auto"/>
              <w:jc w:val="center"/>
              <w:rPr>
                <w:rFonts w:hint="eastAsia"/>
                <w:sz w:val="28"/>
              </w:rPr>
            </w:pPr>
            <w:r>
              <w:rPr>
                <w:rFonts w:hint="eastAsia"/>
                <w:sz w:val="28"/>
              </w:rPr>
              <w:t>10—15年</w:t>
            </w:r>
          </w:p>
        </w:tc>
      </w:tr>
      <w:tr>
        <w:tblPrEx>
          <w:tblW w:w="0" w:type="auto"/>
          <w:tblInd w:w="0" w:type="dxa"/>
          <w:tblCellMar>
            <w:top w:w="0" w:type="dxa"/>
            <w:left w:w="108" w:type="dxa"/>
            <w:bottom w:w="0" w:type="dxa"/>
            <w:right w:w="108" w:type="dxa"/>
          </w:tblCellMar>
        </w:tblPrEx>
        <w:tc>
          <w:tcPr>
            <w:tcW w:w="4968" w:type="dxa"/>
            <w:vAlign w:val="center"/>
          </w:tcPr>
          <w:p>
            <w:pPr>
              <w:pStyle w:val="Normal0"/>
              <w:autoSpaceDE w:val="0"/>
              <w:autoSpaceDN w:val="0"/>
              <w:adjustRightInd w:val="0"/>
              <w:spacing w:line="360" w:lineRule="auto"/>
              <w:rPr>
                <w:rFonts w:hint="eastAsia"/>
                <w:b/>
                <w:bCs/>
                <w:sz w:val="28"/>
              </w:rPr>
            </w:pPr>
            <w:r>
              <w:rPr>
                <w:rFonts w:hint="eastAsia"/>
                <w:b/>
                <w:bCs/>
                <w:sz w:val="28"/>
              </w:rPr>
              <w:t>休闲、娱乐业经营商家：</w:t>
            </w:r>
          </w:p>
          <w:p>
            <w:pPr>
              <w:pStyle w:val="Normal0"/>
              <w:spacing w:line="360" w:lineRule="auto"/>
              <w:rPr>
                <w:rFonts w:ascii="宋体" w:hAnsi="宋体" w:hint="eastAsia"/>
                <w:sz w:val="28"/>
              </w:rPr>
            </w:pPr>
            <w:r>
              <w:rPr>
                <w:rFonts w:ascii="宋体" w:hAnsi="宋体" w:hint="eastAsia"/>
                <w:sz w:val="28"/>
              </w:rPr>
              <w:t>知名餐饮</w:t>
            </w:r>
          </w:p>
          <w:p>
            <w:pPr>
              <w:pStyle w:val="Normal0"/>
              <w:spacing w:line="360" w:lineRule="auto"/>
              <w:rPr>
                <w:rFonts w:ascii="宋体" w:hAnsi="宋体" w:hint="eastAsia"/>
                <w:sz w:val="28"/>
              </w:rPr>
            </w:pPr>
            <w:r>
              <w:rPr>
                <w:rFonts w:ascii="宋体" w:hAnsi="宋体" w:hint="eastAsia"/>
                <w:sz w:val="28"/>
              </w:rPr>
              <w:t>知名娱乐</w:t>
            </w:r>
          </w:p>
          <w:p>
            <w:pPr>
              <w:pStyle w:val="Normal0"/>
              <w:spacing w:line="360" w:lineRule="auto"/>
              <w:rPr>
                <w:rFonts w:ascii="宋体" w:hAnsi="宋体" w:hint="eastAsia"/>
                <w:sz w:val="28"/>
              </w:rPr>
            </w:pPr>
            <w:r>
              <w:rPr>
                <w:rFonts w:ascii="宋体" w:hAnsi="宋体" w:hint="eastAsia"/>
                <w:sz w:val="28"/>
              </w:rPr>
              <w:t>休闲健身</w:t>
            </w:r>
          </w:p>
          <w:p>
            <w:pPr>
              <w:pStyle w:val="Normal0"/>
              <w:spacing w:line="360" w:lineRule="auto"/>
              <w:rPr>
                <w:rFonts w:ascii="宋体" w:hAnsi="宋体" w:hint="eastAsia"/>
                <w:sz w:val="28"/>
              </w:rPr>
            </w:pPr>
            <w:r>
              <w:rPr>
                <w:rFonts w:ascii="宋体" w:hAnsi="宋体" w:hint="eastAsia"/>
                <w:sz w:val="28"/>
              </w:rPr>
              <w:t>大型美容</w:t>
            </w:r>
          </w:p>
          <w:p>
            <w:pPr>
              <w:pStyle w:val="Normal0"/>
              <w:spacing w:line="360" w:lineRule="auto"/>
              <w:rPr>
                <w:rFonts w:ascii="宋体" w:hAnsi="宋体" w:hint="eastAsia"/>
                <w:sz w:val="28"/>
              </w:rPr>
            </w:pPr>
            <w:r>
              <w:rPr>
                <w:rFonts w:ascii="宋体" w:hAnsi="宋体" w:hint="eastAsia"/>
                <w:sz w:val="28"/>
              </w:rPr>
              <w:t>婚纱摄影</w:t>
            </w:r>
          </w:p>
          <w:p>
            <w:pPr>
              <w:pStyle w:val="Normal0"/>
              <w:spacing w:line="360" w:lineRule="auto"/>
              <w:rPr>
                <w:rFonts w:hint="eastAsia"/>
                <w:sz w:val="28"/>
              </w:rPr>
            </w:pPr>
            <w:r>
              <w:rPr>
                <w:rFonts w:ascii="宋体" w:hAnsi="宋体" w:hint="eastAsia"/>
                <w:sz w:val="28"/>
              </w:rPr>
              <w:t>西餐咖啡</w:t>
            </w:r>
          </w:p>
        </w:tc>
        <w:tc>
          <w:tcPr>
            <w:tcW w:w="3554" w:type="dxa"/>
            <w:vAlign w:val="center"/>
          </w:tcPr>
          <w:p>
            <w:pPr>
              <w:pStyle w:val="Normal0"/>
              <w:autoSpaceDE w:val="0"/>
              <w:autoSpaceDN w:val="0"/>
              <w:adjustRightInd w:val="0"/>
              <w:spacing w:line="360" w:lineRule="auto"/>
              <w:jc w:val="center"/>
              <w:rPr>
                <w:rFonts w:hint="eastAsia"/>
                <w:sz w:val="28"/>
              </w:rPr>
            </w:pPr>
            <w:r>
              <w:rPr>
                <w:rFonts w:hint="eastAsia"/>
                <w:sz w:val="28"/>
              </w:rPr>
              <w:t>5年左右</w:t>
            </w:r>
          </w:p>
        </w:tc>
      </w:tr>
      <w:tr>
        <w:tblPrEx>
          <w:tblW w:w="0" w:type="auto"/>
          <w:tblInd w:w="0" w:type="dxa"/>
          <w:tblCellMar>
            <w:top w:w="0" w:type="dxa"/>
            <w:left w:w="108" w:type="dxa"/>
            <w:bottom w:w="0" w:type="dxa"/>
            <w:right w:w="108" w:type="dxa"/>
          </w:tblCellMar>
        </w:tblPrEx>
        <w:tc>
          <w:tcPr>
            <w:tcW w:w="4968" w:type="dxa"/>
            <w:vAlign w:val="center"/>
          </w:tcPr>
          <w:p>
            <w:pPr>
              <w:pStyle w:val="Normal0"/>
              <w:autoSpaceDE w:val="0"/>
              <w:autoSpaceDN w:val="0"/>
              <w:adjustRightInd w:val="0"/>
              <w:spacing w:line="360" w:lineRule="auto"/>
              <w:rPr>
                <w:rFonts w:hint="eastAsia"/>
                <w:b/>
                <w:bCs/>
                <w:sz w:val="28"/>
              </w:rPr>
            </w:pPr>
            <w:r>
              <w:rPr>
                <w:rFonts w:hint="eastAsia"/>
                <w:b/>
                <w:bCs/>
                <w:sz w:val="28"/>
              </w:rPr>
              <w:t>小型个体经营商户</w:t>
            </w:r>
          </w:p>
        </w:tc>
        <w:tc>
          <w:tcPr>
            <w:tcW w:w="3554" w:type="dxa"/>
            <w:vAlign w:val="center"/>
          </w:tcPr>
          <w:p>
            <w:pPr>
              <w:pStyle w:val="Normal0"/>
              <w:autoSpaceDE w:val="0"/>
              <w:autoSpaceDN w:val="0"/>
              <w:adjustRightInd w:val="0"/>
              <w:spacing w:line="360" w:lineRule="auto"/>
              <w:jc w:val="center"/>
              <w:rPr>
                <w:rFonts w:hint="eastAsia"/>
                <w:sz w:val="28"/>
              </w:rPr>
            </w:pPr>
            <w:r>
              <w:rPr>
                <w:rFonts w:hint="eastAsia"/>
                <w:sz w:val="28"/>
              </w:rPr>
              <w:t>3年左右</w:t>
            </w:r>
          </w:p>
        </w:tc>
      </w:tr>
    </w:tbl>
    <w:p>
      <w:pPr>
        <w:pStyle w:val="Normal0"/>
        <w:spacing w:line="360" w:lineRule="auto"/>
        <w:rPr>
          <w:rFonts w:hint="eastAsia"/>
          <w:b/>
          <w:sz w:val="28"/>
        </w:rPr>
      </w:pPr>
      <w:r>
        <w:rPr>
          <w:rFonts w:hint="eastAsia"/>
          <w:b/>
          <w:bCs/>
          <w:sz w:val="28"/>
        </w:rPr>
        <w:t>三、招商主导方向</w:t>
      </w:r>
    </w:p>
    <w:p>
      <w:pPr>
        <w:pStyle w:val="Normal0"/>
        <w:spacing w:line="360" w:lineRule="auto"/>
        <w:rPr>
          <w:rFonts w:hint="eastAsia"/>
          <w:b/>
          <w:sz w:val="28"/>
        </w:rPr>
      </w:pPr>
      <w:r>
        <w:rPr>
          <w:b/>
          <w:sz w:val="28"/>
        </w:rPr>
        <w:pict>
          <v:shapetype id="_x0000_t202" coordsize="21600,21600" o:spt="202" path="m,l,21600r21600,l21600,xe">
            <v:stroke joinstyle="miter"/>
            <v:path gradientshapeok="t" o:connecttype="rect"/>
          </v:shapetype>
          <v:shape id="_x0000_s1025" o:spid="_x0000_s1025" type="#_x0000_t202" style="width:99pt;height:31.2pt;margin-top:13.1pt;margin-left:2in;mso-height-relative:page;mso-width-relative:page;position:absolute;z-index:251658240" coordsize="21600,21600">
            <v:stroke joinstyle="miter"/>
            <v:textbox>
              <w:txbxContent>
                <w:p>
                  <w:pPr>
                    <w:pStyle w:val="Normal0"/>
                    <w:jc w:val="center"/>
                    <w:rPr>
                      <w:rFonts w:hint="eastAsia"/>
                      <w:sz w:val="28"/>
                    </w:rPr>
                  </w:pPr>
                  <w:r>
                    <w:rPr>
                      <w:rFonts w:hint="eastAsia"/>
                      <w:sz w:val="28"/>
                    </w:rPr>
                    <w:t>整体招商</w:t>
                  </w:r>
                </w:p>
              </w:txbxContent>
            </v:textbox>
          </v:shape>
        </w:pict>
      </w:r>
    </w:p>
    <w:p>
      <w:pPr>
        <w:pStyle w:val="Normal0"/>
        <w:spacing w:line="360" w:lineRule="auto"/>
        <w:rPr>
          <w:rFonts w:hint="eastAsia"/>
          <w:b/>
          <w:sz w:val="28"/>
        </w:rPr>
      </w:pPr>
      <w:r>
        <w:rPr>
          <w:b/>
          <w:sz w:val="28"/>
        </w:rPr>
        <w:pict>
          <v:line id="_x0000_s1026" o:spid="_x0000_s1026" style="mso-height-relative:page;mso-width-relative:page;position:absolute;z-index:251662336" from="189pt,20.9pt" to="189pt,44.3pt" coordsize="21600,21600">
            <v:stroke endarrow="block"/>
          </v:line>
        </w:pict>
      </w:r>
    </w:p>
    <w:p>
      <w:pPr>
        <w:pStyle w:val="Normal0"/>
        <w:spacing w:line="360" w:lineRule="auto"/>
        <w:rPr>
          <w:rFonts w:hint="eastAsia"/>
          <w:b/>
          <w:sz w:val="28"/>
        </w:rPr>
      </w:pPr>
      <w:r>
        <w:rPr>
          <w:b/>
          <w:sz w:val="28"/>
        </w:rPr>
        <w:pict>
          <v:line id="_x0000_s1027" o:spid="_x0000_s1027" style="mso-height-relative:page;mso-width-relative:page;position:absolute;z-index:251661312" from="315pt,20.4pt" to="315pt,43.8pt" coordsize="21600,21600">
            <v:stroke endarrow="block"/>
          </v:line>
        </w:pict>
      </w:r>
      <w:r>
        <w:rPr>
          <w:b/>
          <w:sz w:val="28"/>
        </w:rPr>
        <w:pict>
          <v:line id="_x0000_s1028" o:spid="_x0000_s1028" style="mso-height-relative:page;mso-width-relative:page;position:absolute;z-index:251659264" from="1in,20.4pt" to="314.95pt,20.4pt" coordsize="21600,21600"/>
        </w:pict>
      </w:r>
      <w:r>
        <w:rPr>
          <w:b/>
          <w:sz w:val="28"/>
        </w:rPr>
        <w:pict>
          <v:line id="_x0000_s1029" o:spid="_x0000_s1029" style="mso-height-relative:page;mso-width-relative:page;position:absolute;z-index:251660288" from="1in,20.4pt" to="1in,43.8pt" coordsize="21600,21600">
            <v:stroke endarrow="block"/>
          </v:line>
        </w:pict>
      </w:r>
    </w:p>
    <w:p>
      <w:pPr>
        <w:pStyle w:val="Normal0"/>
        <w:spacing w:line="360" w:lineRule="auto"/>
        <w:rPr>
          <w:rFonts w:hint="eastAsia"/>
          <w:b/>
          <w:sz w:val="28"/>
        </w:rPr>
      </w:pPr>
      <w:r>
        <w:rPr>
          <w:b/>
          <w:sz w:val="28"/>
        </w:rPr>
        <w:pict>
          <v:shape id="_x0000_s1030" o:spid="_x0000_s1030" type="#_x0000_t202" style="width:207pt;height:31.7pt;margin-top:20.4pt;margin-left:9pt;mso-height-relative:page;mso-width-relative:page;position:absolute;z-index:251663360" coordsize="21600,21600">
            <v:stroke joinstyle="miter"/>
            <v:textbox>
              <w:txbxContent>
                <w:p>
                  <w:pPr>
                    <w:pStyle w:val="Normal0"/>
                    <w:spacing w:line="360" w:lineRule="auto"/>
                    <w:rPr>
                      <w:rFonts w:ascii="宋体" w:hAnsi="宋体" w:hint="eastAsia"/>
                      <w:b/>
                      <w:bCs/>
                      <w:sz w:val="24"/>
                    </w:rPr>
                  </w:pPr>
                  <w:r>
                    <w:rPr>
                      <w:rFonts w:ascii="宋体" w:hAnsi="宋体" w:hint="eastAsia"/>
                      <w:b/>
                      <w:bCs/>
                      <w:sz w:val="24"/>
                    </w:rPr>
                    <w:t>知名超级市场、百货商场、专业市场</w:t>
                  </w:r>
                </w:p>
                <w:p>
                  <w:pPr>
                    <w:pStyle w:val="Normal0"/>
                    <w:spacing w:line="360" w:lineRule="auto"/>
                    <w:rPr>
                      <w:rFonts w:ascii="宋体" w:hAnsi="宋体" w:hint="eastAsia"/>
                      <w:b/>
                      <w:bCs/>
                      <w:sz w:val="24"/>
                    </w:rPr>
                  </w:pPr>
                </w:p>
                <w:p>
                  <w:pPr>
                    <w:pStyle w:val="Normal0"/>
                    <w:spacing w:line="360" w:lineRule="auto"/>
                    <w:rPr>
                      <w:rFonts w:ascii="宋体" w:hAnsi="宋体" w:hint="eastAsia"/>
                      <w:b/>
                      <w:bCs/>
                      <w:sz w:val="24"/>
                    </w:rPr>
                  </w:pPr>
                </w:p>
                <w:p>
                  <w:pPr>
                    <w:pStyle w:val="Normal0"/>
                    <w:spacing w:line="360" w:lineRule="auto"/>
                    <w:rPr>
                      <w:rFonts w:ascii="宋体" w:hAnsi="宋体" w:hint="eastAsia"/>
                      <w:b/>
                      <w:bCs/>
                      <w:sz w:val="24"/>
                    </w:rPr>
                  </w:pPr>
                </w:p>
                <w:p>
                  <w:pPr>
                    <w:pStyle w:val="Normal0"/>
                    <w:spacing w:line="360" w:lineRule="auto"/>
                    <w:rPr>
                      <w:rFonts w:ascii="宋体" w:hAnsi="宋体" w:hint="eastAsia"/>
                      <w:b/>
                      <w:bCs/>
                      <w:sz w:val="24"/>
                    </w:rPr>
                  </w:pPr>
                  <w:r>
                    <w:rPr>
                      <w:rFonts w:ascii="宋体" w:hAnsi="宋体" w:hint="eastAsia"/>
                      <w:b/>
                      <w:bCs/>
                      <w:sz w:val="24"/>
                    </w:rPr>
                    <w:t>百货商场</w:t>
                  </w:r>
                </w:p>
                <w:p>
                  <w:pPr>
                    <w:pStyle w:val="Normal0"/>
                    <w:jc w:val="center"/>
                    <w:rPr>
                      <w:rFonts w:hint="eastAsia"/>
                      <w:sz w:val="24"/>
                    </w:rPr>
                  </w:pPr>
                  <w:r>
                    <w:rPr>
                      <w:rFonts w:ascii="宋体" w:hAnsi="宋体" w:hint="eastAsia"/>
                      <w:b/>
                      <w:bCs/>
                      <w:sz w:val="24"/>
                    </w:rPr>
                    <w:t>专业市场</w:t>
                  </w:r>
                </w:p>
              </w:txbxContent>
            </v:textbox>
          </v:shape>
        </w:pict>
      </w:r>
      <w:r>
        <w:rPr>
          <w:b/>
          <w:sz w:val="28"/>
        </w:rPr>
        <w:pict>
          <v:shape id="_x0000_s1031" o:spid="_x0000_s1031" type="#_x0000_t202" style="width:225pt;height:31.2pt;margin-top:20.4pt;margin-left:225pt;mso-height-relative:page;mso-width-relative:page;position:absolute;z-index:251664384" coordsize="21600,21600">
            <v:stroke joinstyle="miter"/>
            <v:textbox>
              <w:txbxContent>
                <w:p>
                  <w:pPr>
                    <w:pStyle w:val="Normal0"/>
                    <w:jc w:val="center"/>
                    <w:rPr>
                      <w:rFonts w:hint="eastAsia"/>
                      <w:sz w:val="28"/>
                    </w:rPr>
                  </w:pPr>
                  <w:r>
                    <w:rPr>
                      <w:rFonts w:hint="eastAsia"/>
                      <w:sz w:val="28"/>
                    </w:rPr>
                    <w:t>知名餐饮、娱乐、小商家</w:t>
                  </w:r>
                </w:p>
              </w:txbxContent>
            </v:textbox>
          </v:shape>
        </w:pict>
      </w:r>
    </w:p>
    <w:p>
      <w:pPr>
        <w:pStyle w:val="Normal0"/>
        <w:spacing w:line="360" w:lineRule="auto"/>
        <w:rPr>
          <w:rFonts w:hint="eastAsia"/>
          <w:b/>
          <w:sz w:val="28"/>
        </w:rPr>
      </w:pPr>
      <w:r>
        <w:rPr>
          <w:b/>
          <w:sz w:val="28"/>
        </w:rPr>
        <w:pict>
          <v:line id="_x0000_s1032" o:spid="_x0000_s1032" style="mso-height-relative:page;mso-width-relative:page;position:absolute;z-index:251665408" from="99pt,28.7pt" to="99pt,67.7pt" coordsize="21600,21600">
            <v:stroke endarrow="block"/>
          </v:line>
        </w:pict>
      </w:r>
    </w:p>
    <w:p>
      <w:pPr>
        <w:pStyle w:val="Normal0"/>
        <w:spacing w:line="360" w:lineRule="auto"/>
        <w:rPr>
          <w:rFonts w:hint="eastAsia"/>
          <w:b/>
          <w:sz w:val="28"/>
        </w:rPr>
      </w:pPr>
      <w:r>
        <w:rPr>
          <w:b/>
          <w:sz w:val="28"/>
        </w:rPr>
        <w:pict>
          <v:line id="_x0000_s1033" o:spid="_x0000_s1033" style="mso-height-relative:page;mso-width-relative:page;position:absolute;z-index:251668480" from="315pt,4.8pt" to="315pt,67.7pt" coordsize="21600,21600">
            <v:stroke endarrow="block"/>
          </v:line>
        </w:pict>
      </w:r>
    </w:p>
    <w:p>
      <w:pPr>
        <w:pStyle w:val="Normal0"/>
        <w:spacing w:line="360" w:lineRule="auto"/>
        <w:rPr>
          <w:rFonts w:hint="eastAsia"/>
          <w:b/>
          <w:sz w:val="28"/>
        </w:rPr>
      </w:pPr>
      <w:r>
        <w:rPr>
          <w:b/>
          <w:sz w:val="28"/>
        </w:rPr>
        <w:pict>
          <v:line id="_x0000_s1034" o:spid="_x0000_s1034" style="mso-height-relative:page;mso-width-relative:page;position:absolute;z-index:251672576" from="153pt,13.1pt" to="153pt,36.5pt" coordsize="21600,21600">
            <v:stroke endarrow="block"/>
          </v:line>
        </w:pict>
      </w:r>
      <w:r>
        <w:rPr>
          <w:b/>
          <w:sz w:val="28"/>
        </w:rPr>
        <w:pict>
          <v:line id="_x0000_s1035" o:spid="_x0000_s1035" style="mso-height-relative:page;mso-width-relative:page;position:absolute;z-index:251667456" from="27pt,13.1pt" to="27pt,36.5pt" coordsize="21600,21600">
            <v:stroke endarrow="block"/>
          </v:line>
        </w:pict>
      </w:r>
      <w:r>
        <w:rPr>
          <w:b/>
          <w:sz w:val="28"/>
        </w:rPr>
        <w:pict>
          <v:line id="_x0000_s1036" o:spid="_x0000_s1036" style="mso-height-relative:page;mso-width-relative:page;position:absolute;z-index:251666432" from="27pt,13.1pt" to="153pt,13.1pt" coordsize="21600,21600"/>
        </w:pict>
      </w:r>
    </w:p>
    <w:p>
      <w:pPr>
        <w:pStyle w:val="Normal0"/>
        <w:spacing w:line="360" w:lineRule="auto"/>
        <w:rPr>
          <w:rFonts w:hint="eastAsia"/>
          <w:b/>
          <w:sz w:val="28"/>
        </w:rPr>
      </w:pPr>
      <w:r>
        <w:rPr>
          <w:b/>
          <w:sz w:val="28"/>
        </w:rPr>
        <w:pict>
          <v:shape id="_x0000_s1037" o:spid="_x0000_s1037" type="#_x0000_t202" style="width:162pt;height:62.4pt;margin-top:15.6pt;margin-left:243pt;mso-height-relative:page;mso-width-relative:page;position:absolute;z-index:251671552" coordsize="21600,21600">
            <v:stroke joinstyle="miter"/>
            <v:textbox>
              <w:txbxContent>
                <w:p>
                  <w:pPr>
                    <w:pStyle w:val="Normal0"/>
                    <w:rPr>
                      <w:rFonts w:hint="eastAsia"/>
                      <w:sz w:val="24"/>
                    </w:rPr>
                  </w:pPr>
                  <w:r>
                    <w:rPr>
                      <w:rFonts w:hint="eastAsia"/>
                      <w:sz w:val="24"/>
                    </w:rPr>
                    <w:t>珠三角知名特色餐饮、酒吧、茶艺、KTV等娱乐经营商家，省内知名品牌代理商</w:t>
                  </w:r>
                </w:p>
              </w:txbxContent>
            </v:textbox>
          </v:shape>
        </w:pict>
      </w:r>
      <w:r>
        <w:rPr>
          <w:b/>
          <w:sz w:val="28"/>
        </w:rPr>
        <w:pict>
          <v:shape id="_x0000_s1038" o:spid="_x0000_s1038" type="#_x0000_t202" style="width:117pt;height:64.9pt;margin-top:13.1pt;margin-left:99pt;mso-height-relative:page;mso-width-relative:page;position:absolute;z-index:251670528" coordsize="21600,21600">
            <v:stroke joinstyle="miter"/>
            <v:textbox>
              <w:txbxContent>
                <w:p>
                  <w:pPr>
                    <w:pStyle w:val="Normal0"/>
                    <w:rPr>
                      <w:rFonts w:hint="eastAsia"/>
                      <w:sz w:val="24"/>
                    </w:rPr>
                  </w:pPr>
                  <w:r>
                    <w:rPr>
                      <w:rFonts w:hint="eastAsia"/>
                      <w:bCs/>
                      <w:sz w:val="28"/>
                    </w:rPr>
                    <w:t>国内外知名专业市场</w:t>
                  </w:r>
                </w:p>
              </w:txbxContent>
            </v:textbox>
          </v:shape>
        </w:pict>
      </w:r>
      <w:r>
        <w:rPr>
          <w:b/>
          <w:sz w:val="28"/>
        </w:rPr>
        <w:pict>
          <v:shape id="_x0000_s1039" o:spid="_x0000_s1039" type="#_x0000_t202" style="width:108pt;height:64.9pt;margin-top:13.1pt;margin-left:-18pt;mso-height-relative:page;mso-width-relative:page;position:absolute;z-index:251669504" coordsize="21600,21600">
            <v:stroke joinstyle="miter"/>
            <v:textbox>
              <w:txbxContent>
                <w:p>
                  <w:pPr>
                    <w:pStyle w:val="BodyText"/>
                    <w:rPr>
                      <w:rFonts w:hint="eastAsia"/>
                    </w:rPr>
                  </w:pPr>
                  <w:r>
                    <w:rPr>
                      <w:rFonts w:hint="eastAsia"/>
                    </w:rPr>
                    <w:t>国内外知名超市、百货商场</w:t>
                  </w:r>
                </w:p>
              </w:txbxContent>
            </v:textbox>
          </v:shape>
        </w:pict>
      </w:r>
    </w:p>
    <w:p>
      <w:pPr>
        <w:pStyle w:val="Normal0"/>
        <w:spacing w:line="360" w:lineRule="auto"/>
        <w:rPr>
          <w:rFonts w:hint="eastAsia"/>
          <w:b/>
          <w:bCs/>
          <w:sz w:val="28"/>
          <w:u w:val="single"/>
        </w:rPr>
        <w:sectPr>
          <w:headerReference w:type="default" r:id="rId41"/>
          <w:footerReference w:type="default" r:id="rId42"/>
          <w:type w:val="nextPage"/>
          <w:pgSz w:w="11906" w:h="16838"/>
          <w:pgMar w:top="1440" w:right="1418" w:bottom="1440" w:left="1797" w:header="851" w:footer="992" w:gutter="0"/>
          <w:pgNumType w:start="19"/>
          <w:cols w:num="1" w:space="425"/>
          <w:titlePg w:val="0"/>
          <w:docGrid w:type="lines" w:linePitch="312" w:charSpace="0"/>
        </w:sectPr>
      </w:pPr>
    </w:p>
    <w:p>
      <w:pPr>
        <w:pStyle w:val="Normal0"/>
        <w:spacing w:line="360" w:lineRule="auto"/>
        <w:rPr>
          <w:rFonts w:hint="eastAsia"/>
          <w:b/>
          <w:bCs/>
          <w:sz w:val="28"/>
          <w:u w:val="single"/>
        </w:rPr>
      </w:pPr>
    </w:p>
    <w:p>
      <w:pPr>
        <w:pStyle w:val="Normal0"/>
        <w:numPr>
          <w:ilvl w:val="0"/>
          <w:numId w:val="13"/>
        </w:numPr>
        <w:spacing w:line="360" w:lineRule="auto"/>
        <w:rPr>
          <w:rFonts w:hint="eastAsia"/>
          <w:b/>
          <w:bCs/>
          <w:sz w:val="28"/>
          <w:u w:val="single"/>
        </w:rPr>
      </w:pPr>
      <w:r>
        <w:rPr>
          <w:rFonts w:hint="eastAsia"/>
          <w:b/>
          <w:bCs/>
          <w:sz w:val="28"/>
          <w:u w:val="single"/>
        </w:rPr>
        <w:t>全面接触 重点选择</w:t>
      </w:r>
    </w:p>
    <w:p>
      <w:pPr>
        <w:pStyle w:val="Normal0"/>
        <w:spacing w:line="360" w:lineRule="auto"/>
        <w:rPr>
          <w:rFonts w:hint="eastAsia"/>
          <w:sz w:val="28"/>
        </w:rPr>
      </w:pPr>
      <w:r>
        <w:rPr>
          <w:rFonts w:hint="eastAsia"/>
          <w:sz w:val="28"/>
        </w:rPr>
        <w:t>在前期招商阶段主要采用的策略，针对招商对象不同，手段方法各异：</w:t>
      </w:r>
    </w:p>
    <w:p>
      <w:pPr>
        <w:pStyle w:val="Normal0"/>
        <w:spacing w:line="360" w:lineRule="auto"/>
        <w:ind w:left="980" w:hanging="560" w:leftChars="200" w:hangingChars="200"/>
        <w:rPr>
          <w:rFonts w:hint="eastAsia"/>
          <w:sz w:val="28"/>
        </w:rPr>
      </w:pPr>
      <w:r>
        <w:rPr>
          <w:rFonts w:ascii="宋体" w:hAnsi="宋体" w:hint="eastAsia"/>
          <w:sz w:val="28"/>
        </w:rPr>
        <w:t xml:space="preserve">◇  </w:t>
      </w:r>
      <w:r>
        <w:rPr>
          <w:rFonts w:hint="eastAsia"/>
          <w:sz w:val="28"/>
        </w:rPr>
        <w:t>对已进入珠三角市场并经营相当时间的国内外知名超市、百货商场，通过业内进行全面接触，对具有初步市场拓展意向的商家重点予以关注，并派专人进行跟踪，及时了解客户动态。</w:t>
      </w:r>
    </w:p>
    <w:p>
      <w:pPr>
        <w:pStyle w:val="Normal0"/>
        <w:spacing w:line="360" w:lineRule="auto"/>
        <w:ind w:left="980" w:hanging="560" w:leftChars="200" w:hangingChars="200"/>
        <w:rPr>
          <w:rFonts w:hint="eastAsia"/>
          <w:sz w:val="28"/>
        </w:rPr>
      </w:pPr>
      <w:r>
        <w:rPr>
          <w:rFonts w:ascii="宋体" w:hAnsi="宋体" w:hint="eastAsia"/>
          <w:sz w:val="28"/>
        </w:rPr>
        <w:t xml:space="preserve">◇  </w:t>
      </w:r>
      <w:r>
        <w:rPr>
          <w:rFonts w:hint="eastAsia"/>
          <w:sz w:val="28"/>
        </w:rPr>
        <w:t>通过招商人员的前期客户接洽，掌握目标商家的基本信息，以及通过各种信息渠道挖掘潜在客户资源，辅助招商工作前期顺利开展；</w:t>
      </w:r>
    </w:p>
    <w:p>
      <w:pPr>
        <w:pStyle w:val="Normal0"/>
        <w:spacing w:line="360" w:lineRule="auto"/>
        <w:ind w:left="980" w:hanging="560" w:leftChars="200" w:hangingChars="200"/>
        <w:rPr>
          <w:rFonts w:hint="eastAsia"/>
          <w:sz w:val="28"/>
        </w:rPr>
      </w:pPr>
      <w:r>
        <w:rPr>
          <w:rFonts w:ascii="宋体" w:hAnsi="宋体" w:hint="eastAsia"/>
          <w:sz w:val="28"/>
        </w:rPr>
        <w:t xml:space="preserve">◇  </w:t>
      </w:r>
      <w:r>
        <w:rPr>
          <w:rFonts w:hint="eastAsia"/>
          <w:sz w:val="28"/>
        </w:rPr>
        <w:t>与开发商充分沟通后，通过必要的上层人际关系与主流经营商家建立初步沟通渠道。</w:t>
      </w:r>
    </w:p>
    <w:p>
      <w:pPr>
        <w:pStyle w:val="Normal0"/>
        <w:numPr>
          <w:ilvl w:val="0"/>
          <w:numId w:val="13"/>
        </w:numPr>
        <w:spacing w:line="360" w:lineRule="auto"/>
        <w:rPr>
          <w:rFonts w:hint="eastAsia"/>
          <w:b/>
          <w:bCs/>
          <w:sz w:val="28"/>
          <w:u w:val="single"/>
        </w:rPr>
      </w:pPr>
      <w:r>
        <w:rPr>
          <w:rFonts w:hint="eastAsia"/>
          <w:b/>
          <w:bCs/>
          <w:sz w:val="28"/>
          <w:u w:val="single"/>
        </w:rPr>
        <w:t>及时跟进 策略应对</w:t>
      </w:r>
    </w:p>
    <w:p>
      <w:pPr>
        <w:pStyle w:val="Normal0"/>
        <w:spacing w:line="360" w:lineRule="auto"/>
        <w:ind w:left="980" w:hanging="560" w:leftChars="200" w:hangingChars="200"/>
        <w:rPr>
          <w:rFonts w:hint="eastAsia"/>
          <w:sz w:val="28"/>
        </w:rPr>
      </w:pPr>
      <w:r>
        <w:rPr>
          <w:rFonts w:ascii="宋体" w:hAnsi="宋体" w:hint="eastAsia"/>
          <w:sz w:val="28"/>
        </w:rPr>
        <w:t xml:space="preserve">◇  </w:t>
      </w:r>
      <w:r>
        <w:rPr>
          <w:rFonts w:hint="eastAsia"/>
          <w:sz w:val="28"/>
        </w:rPr>
        <w:t>通过初步接洽，对前期招商的结果及时进行总结筛选，选出对本</w:t>
      </w:r>
      <w:r>
        <w:rPr>
          <w:rFonts w:hint="eastAsia"/>
          <w:sz w:val="28"/>
          <w:lang w:eastAsia="zh-CN"/>
        </w:rPr>
        <w:t>相关项目</w:t>
      </w:r>
      <w:r>
        <w:rPr>
          <w:rFonts w:hint="eastAsia"/>
          <w:sz w:val="28"/>
        </w:rPr>
        <w:t xml:space="preserve">有意向的目标客户，针对目标客户的经营规模、意向程度、经营业种的不同，采用用各种招商对应策略进行重点的一对一跟进。 </w:t>
      </w:r>
    </w:p>
    <w:p>
      <w:pPr>
        <w:pStyle w:val="Normal0"/>
        <w:spacing w:line="360" w:lineRule="auto"/>
        <w:ind w:left="980" w:hanging="560" w:leftChars="200" w:hangingChars="200"/>
        <w:rPr>
          <w:rFonts w:hint="eastAsia"/>
          <w:sz w:val="28"/>
        </w:rPr>
        <w:sectPr>
          <w:headerReference w:type="default" r:id="rId43"/>
          <w:footerReference w:type="default" r:id="rId44"/>
          <w:type w:val="nextPage"/>
          <w:pgSz w:w="11906" w:h="16838"/>
          <w:pgMar w:top="1440" w:right="1418" w:bottom="1440" w:left="1797" w:header="851" w:footer="992" w:gutter="0"/>
          <w:pgNumType w:start="20"/>
          <w:cols w:num="1" w:space="425"/>
          <w:titlePg w:val="0"/>
          <w:docGrid w:type="lines" w:linePitch="312" w:charSpace="0"/>
        </w:sectPr>
      </w:pPr>
      <w:r>
        <w:rPr>
          <w:rFonts w:ascii="宋体" w:hAnsi="宋体" w:hint="eastAsia"/>
          <w:sz w:val="28"/>
        </w:rPr>
        <w:t xml:space="preserve">◇  </w:t>
      </w:r>
      <w:r>
        <w:rPr>
          <w:rFonts w:hint="eastAsia"/>
          <w:sz w:val="28"/>
        </w:rPr>
        <w:t>充分展示本</w:t>
      </w:r>
      <w:r>
        <w:rPr>
          <w:rFonts w:hint="eastAsia"/>
          <w:sz w:val="28"/>
          <w:lang w:eastAsia="zh-CN"/>
        </w:rPr>
        <w:t>相关项目</w:t>
      </w:r>
    </w:p>
    <w:p>
      <w:pPr>
        <w:pStyle w:val="Normal0"/>
        <w:spacing w:line="360" w:lineRule="auto"/>
        <w:ind w:left="980" w:hanging="560" w:leftChars="200" w:hangingChars="200"/>
        <w:rPr>
          <w:rFonts w:hint="eastAsia"/>
          <w:sz w:val="28"/>
        </w:rPr>
      </w:pPr>
      <w:r>
        <w:rPr>
          <w:rFonts w:hint="eastAsia"/>
          <w:sz w:val="28"/>
        </w:rPr>
        <w:t>所处的高度，未来作为长安镇乃至东莞地区的城市窗口的形象。运用旁敲侧击的招商方式，先从档次、规模较低的商家进行洽谈，通过与这些商家的沟通，更加充分地了解行业动态与客户心态，为同时跟进的品牌商家深入洽谈做更充分的准备。招商形式上做到二者兼顾，以品牌商家为主要引进的目标。</w:t>
      </w:r>
    </w:p>
    <w:p>
      <w:pPr>
        <w:pStyle w:val="Normal0"/>
        <w:spacing w:line="360" w:lineRule="auto"/>
        <w:ind w:left="980" w:hanging="560" w:leftChars="200" w:hangingChars="200"/>
        <w:rPr>
          <w:rFonts w:hint="eastAsia"/>
          <w:sz w:val="28"/>
        </w:rPr>
      </w:pPr>
      <w:r>
        <w:rPr>
          <w:rFonts w:ascii="宋体" w:hAnsi="宋体" w:hint="eastAsia"/>
          <w:sz w:val="28"/>
        </w:rPr>
        <w:t xml:space="preserve">◇  </w:t>
      </w:r>
      <w:r>
        <w:rPr>
          <w:rFonts w:hint="eastAsia"/>
          <w:sz w:val="28"/>
        </w:rPr>
        <w:t>及时发布商家进驻的信息，形成对目标客户的压迫感，通过后期我方高层的介入谈判，达到品牌客户进驻的效果。</w:t>
      </w:r>
    </w:p>
    <w:p>
      <w:pPr>
        <w:pStyle w:val="Normal0"/>
        <w:numPr>
          <w:ilvl w:val="0"/>
          <w:numId w:val="13"/>
        </w:numPr>
        <w:spacing w:line="360" w:lineRule="auto"/>
        <w:rPr>
          <w:rFonts w:hint="eastAsia"/>
          <w:b/>
          <w:bCs/>
          <w:sz w:val="28"/>
        </w:rPr>
      </w:pPr>
      <w:r>
        <w:rPr>
          <w:rFonts w:hint="eastAsia"/>
          <w:b/>
          <w:bCs/>
          <w:sz w:val="28"/>
          <w:u w:val="single"/>
        </w:rPr>
        <w:t xml:space="preserve">总体控制  空间调控 </w:t>
      </w:r>
    </w:p>
    <w:p>
      <w:pPr>
        <w:pStyle w:val="Normal0"/>
        <w:spacing w:line="360" w:lineRule="auto"/>
        <w:ind w:left="980" w:hanging="560" w:leftChars="200" w:hangingChars="200"/>
        <w:rPr>
          <w:rFonts w:hint="eastAsia"/>
          <w:sz w:val="28"/>
        </w:rPr>
      </w:pPr>
      <w:r>
        <w:rPr>
          <w:rFonts w:ascii="宋体" w:hAnsi="宋体" w:hint="eastAsia"/>
          <w:sz w:val="28"/>
        </w:rPr>
        <w:t xml:space="preserve">◇  </w:t>
      </w:r>
      <w:r>
        <w:rPr>
          <w:rFonts w:hint="eastAsia"/>
          <w:sz w:val="28"/>
        </w:rPr>
        <w:t>进入公开招商阶段时，主力客户的招商工作已经基本完成，空余的面积将利用招商惯性进行招商。面向市场小型经营商家进行公开招商，对欲进驻的商家要求其递交相关资质等材料后，根据市场定位的需求进行严格筛选，符合本</w:t>
      </w:r>
      <w:r>
        <w:rPr>
          <w:rFonts w:hint="eastAsia"/>
          <w:sz w:val="28"/>
          <w:lang w:eastAsia="zh-CN"/>
        </w:rPr>
        <w:t>相关项目</w:t>
      </w:r>
      <w:r>
        <w:rPr>
          <w:rFonts w:hint="eastAsia"/>
          <w:sz w:val="28"/>
        </w:rPr>
        <w:t>特质的方可进驻。</w:t>
      </w:r>
    </w:p>
    <w:p>
      <w:pPr>
        <w:pStyle w:val="Normal0"/>
        <w:spacing w:line="360" w:lineRule="auto"/>
        <w:ind w:left="980" w:hanging="560" w:leftChars="200" w:hangingChars="200"/>
        <w:rPr>
          <w:rFonts w:hint="eastAsia"/>
          <w:sz w:val="28"/>
        </w:rPr>
      </w:pPr>
      <w:r>
        <w:rPr>
          <w:rFonts w:ascii="宋体" w:hAnsi="宋体" w:hint="eastAsia"/>
          <w:sz w:val="28"/>
        </w:rPr>
        <w:t xml:space="preserve">◇  </w:t>
      </w:r>
      <w:r>
        <w:rPr>
          <w:rFonts w:hint="eastAsia"/>
          <w:sz w:val="28"/>
        </w:rPr>
        <w:t>同时紧密关注一些新的品牌商家，以及前期观望意向比较浓厚的品牌商家的入驻意向，通过不定期的电话联系，保持与之信息交流的顺畅。</w:t>
      </w:r>
    </w:p>
    <w:p>
      <w:pPr>
        <w:pStyle w:val="Normal0"/>
        <w:spacing w:line="360" w:lineRule="auto"/>
        <w:ind w:left="980" w:hanging="560" w:leftChars="200" w:hangingChars="200"/>
        <w:rPr>
          <w:rFonts w:hint="eastAsia"/>
          <w:sz w:val="28"/>
        </w:rPr>
      </w:pPr>
      <w:r>
        <w:rPr>
          <w:rFonts w:ascii="宋体" w:hAnsi="宋体" w:hint="eastAsia"/>
          <w:sz w:val="28"/>
        </w:rPr>
        <w:t xml:space="preserve">◇  </w:t>
      </w:r>
      <w:r>
        <w:rPr>
          <w:rFonts w:hint="eastAsia"/>
          <w:sz w:val="28"/>
        </w:rPr>
        <w:t>甄选来访商家，严格审核商家的经营风格、经营实力以及经营范围，由招商组内部讨论后报</w:t>
      </w:r>
      <w:r>
        <w:rPr>
          <w:rFonts w:hint="eastAsia"/>
          <w:sz w:val="28"/>
          <w:lang w:eastAsia="zh-CN"/>
        </w:rPr>
        <w:t>相关项目</w:t>
      </w:r>
      <w:r>
        <w:rPr>
          <w:rFonts w:hint="eastAsia"/>
          <w:sz w:val="28"/>
        </w:rPr>
        <w:t>组批准才可进行下一步的招商工作。</w:t>
      </w:r>
    </w:p>
    <w:p>
      <w:pPr>
        <w:pStyle w:val="Normal0"/>
        <w:spacing w:line="360" w:lineRule="auto"/>
        <w:ind w:left="420"/>
        <w:rPr>
          <w:rFonts w:hint="eastAsia"/>
          <w:sz w:val="28"/>
        </w:rPr>
      </w:pPr>
    </w:p>
    <w:p>
      <w:pPr>
        <w:pStyle w:val="Normal0"/>
        <w:spacing w:line="360" w:lineRule="auto"/>
        <w:rPr>
          <w:rFonts w:hint="eastAsia"/>
          <w:b/>
          <w:bCs/>
          <w:sz w:val="28"/>
        </w:rPr>
      </w:pPr>
      <w:r>
        <w:rPr>
          <w:rFonts w:hint="eastAsia"/>
          <w:b/>
          <w:bCs/>
          <w:sz w:val="28"/>
        </w:rPr>
        <w:t>四、招商各阶段的推广</w:t>
      </w:r>
    </w:p>
    <w:p>
      <w:pPr>
        <w:pStyle w:val="Normal0"/>
        <w:ind w:firstLine="560" w:firstLineChars="200"/>
        <w:rPr>
          <w:rFonts w:ascii="宋体" w:hAnsi="宋体" w:hint="eastAsia"/>
          <w:sz w:val="28"/>
        </w:rPr>
      </w:pPr>
      <w:r>
        <w:rPr>
          <w:rFonts w:hint="eastAsia"/>
          <w:sz w:val="28"/>
        </w:rPr>
        <w:t>在招商与销售同步并行的情况下，</w:t>
      </w:r>
      <w:r>
        <w:rPr>
          <w:rFonts w:hint="eastAsia"/>
          <w:sz w:val="28"/>
          <w:lang w:eastAsia="zh-CN"/>
        </w:rPr>
        <w:t>相关项目</w:t>
      </w:r>
      <w:r>
        <w:rPr>
          <w:rFonts w:hint="eastAsia"/>
          <w:sz w:val="28"/>
        </w:rPr>
        <w:t>招商工作的开展分为前期内部招商、公开招商两个阶段。</w:t>
      </w:r>
      <w:r>
        <w:rPr>
          <w:rFonts w:ascii="宋体" w:hAnsi="宋体" w:hint="eastAsia"/>
          <w:sz w:val="28"/>
        </w:rPr>
        <w:t>并对每个阶段采取不同的、具针对性的推广策略。</w:t>
      </w:r>
    </w:p>
    <w:p>
      <w:pPr>
        <w:pStyle w:val="Normal0"/>
        <w:spacing w:line="360" w:lineRule="auto"/>
        <w:rPr>
          <w:rFonts w:hint="eastAsia"/>
          <w:b/>
          <w:bCs/>
          <w:sz w:val="28"/>
        </w:rPr>
      </w:pPr>
      <w:r>
        <w:rPr>
          <w:rFonts w:ascii="宋体" w:hAnsi="宋体" w:hint="eastAsia"/>
          <w:b/>
          <w:bCs/>
          <w:sz w:val="28"/>
        </w:rPr>
        <w:t>1、前期内部招商</w:t>
      </w:r>
      <w:r>
        <w:rPr>
          <w:rFonts w:hint="eastAsia"/>
          <w:b/>
          <w:bCs/>
          <w:sz w:val="28"/>
        </w:rPr>
        <w:t xml:space="preserve">：                             </w:t>
      </w:r>
      <w:r>
        <w:rPr>
          <w:rFonts w:hint="eastAsia"/>
          <w:sz w:val="28"/>
        </w:rPr>
        <w:t>出租率约30％</w:t>
      </w:r>
    </w:p>
    <w:p>
      <w:pPr>
        <w:pStyle w:val="Normal0"/>
        <w:spacing w:line="360" w:lineRule="auto"/>
        <w:ind w:firstLine="358" w:firstLineChars="128"/>
        <w:rPr>
          <w:rFonts w:hint="eastAsia"/>
          <w:b/>
          <w:bCs/>
          <w:sz w:val="28"/>
        </w:rPr>
        <w:sectPr>
          <w:headerReference w:type="default" r:id="rId45"/>
          <w:footerReference w:type="default" r:id="rId46"/>
          <w:type w:val="nextPage"/>
          <w:pgSz w:w="11906" w:h="16838"/>
          <w:pgMar w:top="1440" w:right="1418" w:bottom="1440" w:left="1797" w:header="851" w:footer="992" w:gutter="0"/>
          <w:pgNumType w:start="21"/>
          <w:cols w:num="1" w:space="425"/>
          <w:titlePg w:val="0"/>
          <w:docGrid w:type="lines" w:linePitch="312" w:charSpace="0"/>
        </w:sectPr>
      </w:pPr>
      <w:r>
        <w:rPr>
          <w:rFonts w:ascii="宋体" w:hAnsi="宋体" w:hint="eastAsia"/>
          <w:bCs/>
          <w:sz w:val="28"/>
        </w:rPr>
        <w:t>时间：２００４年１２月中旬――４月</w:t>
      </w:r>
    </w:p>
    <w:p>
      <w:pPr>
        <w:pStyle w:val="Normal0"/>
        <w:spacing w:line="360" w:lineRule="auto"/>
        <w:ind w:left="420" w:firstLine="560" w:leftChars="200" w:firstLineChars="200"/>
        <w:rPr>
          <w:rFonts w:ascii="宋体" w:hAnsi="宋体" w:hint="eastAsia"/>
          <w:bCs/>
          <w:sz w:val="28"/>
        </w:rPr>
      </w:pPr>
      <w:r>
        <w:rPr>
          <w:rFonts w:hint="eastAsia"/>
          <w:sz w:val="28"/>
        </w:rPr>
        <w:t>通过媒体的有限推广，向潜在租赁客户群发出招商告知信息，同时接受意向性较强的客户群登记；针对省内外品牌商家的引进工作，工作模式为面对面招商形式，争取前期签约，调整确定全面招租的条件及规范，为公开招商做好资源准备。</w:t>
      </w:r>
      <w:r>
        <w:rPr>
          <w:rFonts w:ascii="宋体" w:hAnsi="宋体" w:hint="eastAsia"/>
          <w:bCs/>
          <w:sz w:val="28"/>
        </w:rPr>
        <w:t xml:space="preserve"> </w:t>
      </w:r>
    </w:p>
    <w:p>
      <w:pPr>
        <w:pStyle w:val="Normal0"/>
        <w:ind w:firstLine="280" w:firstLineChars="100"/>
        <w:rPr>
          <w:rFonts w:ascii="宋体" w:hAnsi="宋体" w:hint="eastAsia"/>
          <w:b/>
          <w:sz w:val="28"/>
        </w:rPr>
      </w:pPr>
      <w:r>
        <w:rPr>
          <w:rFonts w:ascii="宋体" w:hAnsi="宋体" w:hint="eastAsia"/>
          <w:b/>
          <w:sz w:val="28"/>
        </w:rPr>
        <w:t>推广目标</w:t>
      </w:r>
    </w:p>
    <w:p>
      <w:pPr>
        <w:pStyle w:val="Normal0"/>
        <w:numPr>
          <w:ilvl w:val="0"/>
          <w:numId w:val="31"/>
        </w:numPr>
        <w:rPr>
          <w:rFonts w:ascii="宋体" w:hAnsi="宋体" w:hint="eastAsia"/>
          <w:sz w:val="28"/>
        </w:rPr>
      </w:pPr>
      <w:r>
        <w:rPr>
          <w:rFonts w:ascii="宋体" w:hAnsi="宋体" w:hint="eastAsia"/>
          <w:sz w:val="28"/>
        </w:rPr>
        <w:t>通过地盘包装、客户联系等准备工作，使</w:t>
      </w:r>
      <w:r>
        <w:rPr>
          <w:rFonts w:ascii="宋体" w:hAnsi="宋体" w:hint="eastAsia"/>
          <w:sz w:val="28"/>
          <w:lang w:eastAsia="zh-CN"/>
        </w:rPr>
        <w:t>相关项目</w:t>
      </w:r>
      <w:r>
        <w:rPr>
          <w:rFonts w:ascii="宋体" w:hAnsi="宋体" w:hint="eastAsia"/>
          <w:sz w:val="28"/>
        </w:rPr>
        <w:t>在一定范围内为市场所关注，初步树立明珠国际广场及公司的品牌形象。</w:t>
      </w:r>
    </w:p>
    <w:p>
      <w:pPr>
        <w:pStyle w:val="Normal0"/>
        <w:numPr>
          <w:ilvl w:val="0"/>
          <w:numId w:val="31"/>
        </w:numPr>
        <w:rPr>
          <w:rFonts w:ascii="宋体" w:hAnsi="宋体" w:hint="eastAsia"/>
          <w:sz w:val="28"/>
        </w:rPr>
      </w:pPr>
      <w:r>
        <w:rPr>
          <w:rFonts w:ascii="宋体" w:hAnsi="宋体" w:hint="eastAsia"/>
          <w:sz w:val="28"/>
        </w:rPr>
        <w:t>为大型商家进驻造势。</w:t>
      </w:r>
    </w:p>
    <w:p>
      <w:pPr>
        <w:pStyle w:val="Normal0"/>
        <w:tabs>
          <w:tab w:val="left" w:pos="1620"/>
        </w:tabs>
        <w:ind w:firstLine="280" w:firstLineChars="100"/>
        <w:rPr>
          <w:rFonts w:ascii="宋体" w:hAnsi="宋体" w:hint="eastAsia"/>
          <w:b/>
          <w:bCs/>
          <w:sz w:val="28"/>
        </w:rPr>
      </w:pPr>
      <w:r>
        <w:rPr>
          <w:rFonts w:ascii="宋体" w:hAnsi="宋体" w:hint="eastAsia"/>
          <w:b/>
          <w:bCs/>
          <w:sz w:val="28"/>
        </w:rPr>
        <w:t>招商必备条件</w:t>
      </w:r>
    </w:p>
    <w:p>
      <w:pPr>
        <w:pStyle w:val="Normal0"/>
        <w:numPr>
          <w:ilvl w:val="0"/>
          <w:numId w:val="15"/>
        </w:numPr>
        <w:rPr>
          <w:rFonts w:ascii="宋体" w:hAnsi="宋体" w:hint="eastAsia"/>
          <w:sz w:val="28"/>
        </w:rPr>
      </w:pPr>
      <w:r>
        <w:rPr>
          <w:rFonts w:ascii="宋体" w:hAnsi="宋体" w:hint="eastAsia"/>
          <w:sz w:val="28"/>
          <w:lang w:eastAsia="zh-CN"/>
        </w:rPr>
        <w:t>相关项目</w:t>
      </w:r>
      <w:r>
        <w:rPr>
          <w:rFonts w:ascii="宋体" w:hAnsi="宋体" w:hint="eastAsia"/>
          <w:sz w:val="28"/>
        </w:rPr>
        <w:t>的基本资料完成，客户能通过相关资料对</w:t>
      </w:r>
      <w:r>
        <w:rPr>
          <w:rFonts w:ascii="宋体" w:hAnsi="宋体" w:hint="eastAsia"/>
          <w:sz w:val="28"/>
          <w:lang w:eastAsia="zh-CN"/>
        </w:rPr>
        <w:t>相关项目</w:t>
      </w:r>
      <w:r>
        <w:rPr>
          <w:rFonts w:ascii="宋体" w:hAnsi="宋体" w:hint="eastAsia"/>
          <w:sz w:val="28"/>
        </w:rPr>
        <w:t>和开发商有个全面的认识；</w:t>
      </w:r>
    </w:p>
    <w:p>
      <w:pPr>
        <w:pStyle w:val="Normal0"/>
        <w:numPr>
          <w:ilvl w:val="0"/>
          <w:numId w:val="15"/>
        </w:numPr>
        <w:tabs>
          <w:tab w:val="left" w:pos="1700"/>
        </w:tabs>
        <w:rPr>
          <w:rFonts w:hint="eastAsia"/>
          <w:sz w:val="28"/>
        </w:rPr>
      </w:pPr>
      <w:r>
        <w:rPr>
          <w:rFonts w:ascii="宋体" w:hAnsi="宋体" w:hint="eastAsia"/>
          <w:sz w:val="28"/>
        </w:rPr>
        <w:t>现场的接待、一定的外在形象完成。</w:t>
      </w:r>
    </w:p>
    <w:p>
      <w:pPr>
        <w:pStyle w:val="Normal0"/>
        <w:tabs>
          <w:tab w:val="left" w:pos="1620"/>
        </w:tabs>
        <w:ind w:firstLine="280" w:firstLineChars="100"/>
        <w:rPr>
          <w:rFonts w:ascii="宋体" w:hAnsi="宋体" w:hint="eastAsia"/>
          <w:b/>
          <w:bCs/>
          <w:sz w:val="28"/>
        </w:rPr>
      </w:pPr>
      <w:r>
        <w:rPr>
          <w:rFonts w:ascii="宋体" w:hAnsi="宋体" w:hint="eastAsia"/>
          <w:b/>
          <w:bCs/>
          <w:sz w:val="28"/>
        </w:rPr>
        <w:t>招商对象</w:t>
      </w:r>
    </w:p>
    <w:p>
      <w:pPr>
        <w:pStyle w:val="Normal0"/>
        <w:numPr>
          <w:ilvl w:val="0"/>
          <w:numId w:val="16"/>
        </w:numPr>
        <w:rPr>
          <w:rFonts w:ascii="宋体" w:hAnsi="宋体" w:hint="eastAsia"/>
          <w:sz w:val="28"/>
        </w:rPr>
      </w:pPr>
      <w:r>
        <w:rPr>
          <w:rFonts w:ascii="宋体" w:hAnsi="宋体" w:hint="eastAsia"/>
          <w:sz w:val="28"/>
        </w:rPr>
        <w:t>各类目标商家；</w:t>
      </w:r>
    </w:p>
    <w:p>
      <w:pPr>
        <w:pStyle w:val="Normal0"/>
        <w:numPr>
          <w:ilvl w:val="0"/>
          <w:numId w:val="16"/>
        </w:numPr>
        <w:rPr>
          <w:rFonts w:ascii="宋体" w:hAnsi="宋体" w:hint="eastAsia"/>
          <w:sz w:val="28"/>
        </w:rPr>
      </w:pPr>
      <w:r>
        <w:rPr>
          <w:rFonts w:ascii="宋体" w:hAnsi="宋体" w:hint="eastAsia"/>
          <w:sz w:val="28"/>
        </w:rPr>
        <w:t>部分中小型商家；</w:t>
      </w:r>
    </w:p>
    <w:p>
      <w:pPr>
        <w:pStyle w:val="Normal0"/>
        <w:ind w:firstLine="280" w:firstLineChars="100"/>
        <w:rPr>
          <w:rFonts w:ascii="宋体" w:hAnsi="宋体" w:hint="eastAsia"/>
          <w:b/>
          <w:bCs/>
          <w:sz w:val="28"/>
        </w:rPr>
      </w:pPr>
      <w:r>
        <w:rPr>
          <w:rFonts w:ascii="宋体" w:hAnsi="宋体" w:hint="eastAsia"/>
          <w:b/>
          <w:bCs/>
          <w:sz w:val="28"/>
        </w:rPr>
        <w:t>销售流程：</w:t>
      </w:r>
    </w:p>
    <w:p>
      <w:pPr>
        <w:pStyle w:val="Normal0"/>
        <w:tabs>
          <w:tab w:val="left" w:pos="1260"/>
        </w:tabs>
        <w:ind w:firstLine="280" w:firstLineChars="100"/>
        <w:rPr>
          <w:rFonts w:ascii="宋体" w:hAnsi="宋体" w:hint="eastAsia"/>
          <w:sz w:val="28"/>
        </w:rPr>
      </w:pPr>
      <w:r>
        <w:rPr>
          <w:rFonts w:ascii="宋体" w:hAnsi="宋体" w:hint="eastAsia"/>
          <w:sz w:val="28"/>
        </w:rPr>
        <w:t>此阶段工作目的：</w:t>
      </w:r>
    </w:p>
    <w:p>
      <w:pPr>
        <w:pStyle w:val="Normal0"/>
        <w:numPr>
          <w:ilvl w:val="0"/>
          <w:numId w:val="2"/>
        </w:numPr>
        <w:rPr>
          <w:rFonts w:ascii="宋体" w:hAnsi="宋体" w:hint="eastAsia"/>
          <w:sz w:val="28"/>
        </w:rPr>
      </w:pPr>
      <w:r>
        <w:rPr>
          <w:rFonts w:ascii="宋体" w:hAnsi="宋体" w:hint="eastAsia"/>
          <w:sz w:val="28"/>
        </w:rPr>
        <w:t>累积客户资料，并抓住潜在客户；</w:t>
      </w:r>
    </w:p>
    <w:p>
      <w:pPr>
        <w:pStyle w:val="Normal0"/>
        <w:numPr>
          <w:ilvl w:val="0"/>
          <w:numId w:val="2"/>
        </w:numPr>
        <w:rPr>
          <w:rFonts w:ascii="宋体" w:hAnsi="宋体" w:hint="eastAsia"/>
          <w:sz w:val="28"/>
        </w:rPr>
      </w:pPr>
      <w:r>
        <w:rPr>
          <w:rFonts w:ascii="宋体" w:hAnsi="宋体" w:hint="eastAsia"/>
          <w:sz w:val="28"/>
        </w:rPr>
        <w:t>通过一系列的运作手段，使目标客户对</w:t>
      </w:r>
      <w:r>
        <w:rPr>
          <w:rFonts w:ascii="宋体" w:hAnsi="宋体" w:hint="eastAsia"/>
          <w:sz w:val="28"/>
          <w:lang w:eastAsia="zh-CN"/>
        </w:rPr>
        <w:t>相关项目</w:t>
      </w:r>
      <w:r>
        <w:rPr>
          <w:rFonts w:ascii="宋体" w:hAnsi="宋体" w:hint="eastAsia"/>
          <w:sz w:val="28"/>
        </w:rPr>
        <w:t>产生兴趣，并最终进驻；</w:t>
      </w:r>
    </w:p>
    <w:p>
      <w:pPr>
        <w:pStyle w:val="Normal0"/>
        <w:numPr>
          <w:ilvl w:val="0"/>
          <w:numId w:val="2"/>
        </w:numPr>
        <w:rPr>
          <w:rFonts w:ascii="宋体" w:hAnsi="宋体" w:hint="eastAsia"/>
          <w:sz w:val="28"/>
        </w:rPr>
        <w:sectPr>
          <w:headerReference w:type="default" r:id="rId47"/>
          <w:footerReference w:type="default" r:id="rId48"/>
          <w:type w:val="nextPage"/>
          <w:pgSz w:w="11906" w:h="16838"/>
          <w:pgMar w:top="1440" w:right="1418" w:bottom="1440" w:left="1797" w:header="851" w:footer="992" w:gutter="0"/>
          <w:pgNumType w:start="22"/>
          <w:cols w:num="1" w:space="425"/>
          <w:titlePg w:val="0"/>
          <w:docGrid w:type="lines" w:linePitch="312" w:charSpace="0"/>
        </w:sectPr>
      </w:pPr>
      <w:r>
        <w:rPr>
          <w:rFonts w:ascii="宋体" w:hAnsi="宋体" w:hint="eastAsia"/>
          <w:sz w:val="28"/>
        </w:rPr>
        <w:t>通过大型商家的进驻，带动其他位置的招商及销售。</w:t>
      </w:r>
    </w:p>
    <w:p>
      <w:pPr>
        <w:pStyle w:val="Normal0"/>
        <w:tabs>
          <w:tab w:val="left" w:pos="1260"/>
        </w:tabs>
        <w:ind w:firstLine="848" w:firstLineChars="303"/>
        <w:rPr>
          <w:rFonts w:ascii="宋体" w:hAnsi="宋体" w:hint="eastAsia"/>
          <w:b/>
          <w:bCs/>
          <w:sz w:val="28"/>
        </w:rPr>
      </w:pPr>
      <w:r>
        <w:rPr>
          <w:rFonts w:ascii="宋体" w:hAnsi="宋体" w:hint="eastAsia"/>
          <w:b/>
          <w:bCs/>
          <w:sz w:val="28"/>
        </w:rPr>
        <w:t>因此流程设置：</w:t>
      </w:r>
    </w:p>
    <w:p>
      <w:pPr>
        <w:pStyle w:val="Normal0"/>
        <w:numPr>
          <w:ilvl w:val="0"/>
          <w:numId w:val="17"/>
        </w:numPr>
        <w:tabs>
          <w:tab w:val="left" w:pos="1280"/>
        </w:tabs>
        <w:rPr>
          <w:rFonts w:ascii="宋体" w:hAnsi="宋体" w:hint="eastAsia"/>
          <w:sz w:val="28"/>
        </w:rPr>
      </w:pPr>
      <w:r>
        <w:rPr>
          <w:rFonts w:ascii="宋体" w:hAnsi="宋体" w:hint="eastAsia"/>
          <w:sz w:val="28"/>
        </w:rPr>
        <w:t>设立登记表</w:t>
      </w:r>
    </w:p>
    <w:p>
      <w:pPr>
        <w:pStyle w:val="Normal0"/>
        <w:numPr>
          <w:ilvl w:val="0"/>
          <w:numId w:val="17"/>
        </w:numPr>
        <w:tabs>
          <w:tab w:val="left" w:pos="1280"/>
        </w:tabs>
        <w:rPr>
          <w:rFonts w:ascii="宋体" w:hAnsi="宋体" w:hint="eastAsia"/>
          <w:sz w:val="28"/>
        </w:rPr>
      </w:pPr>
      <w:r>
        <w:rPr>
          <w:rFonts w:ascii="宋体" w:hAnsi="宋体" w:hint="eastAsia"/>
          <w:sz w:val="28"/>
        </w:rPr>
        <w:t>制定优惠措施</w:t>
      </w:r>
    </w:p>
    <w:p>
      <w:pPr>
        <w:pStyle w:val="Heading2"/>
        <w:numPr>
          <w:ilvl w:val="0"/>
          <w:numId w:val="17"/>
        </w:numPr>
        <w:rPr>
          <w:rFonts w:hint="eastAsia"/>
        </w:rPr>
      </w:pPr>
      <w:r>
        <w:rPr>
          <w:rFonts w:hint="eastAsia"/>
        </w:rPr>
        <w:t>举行一定的活动</w:t>
      </w:r>
    </w:p>
    <w:p>
      <w:pPr>
        <w:pStyle w:val="Normal0"/>
        <w:ind w:firstLine="280" w:firstLineChars="100"/>
        <w:rPr>
          <w:rFonts w:ascii="宋体" w:hAnsi="宋体" w:hint="eastAsia"/>
          <w:b/>
          <w:bCs/>
          <w:sz w:val="28"/>
        </w:rPr>
      </w:pPr>
      <w:r>
        <w:rPr>
          <w:rFonts w:ascii="宋体" w:hAnsi="宋体" w:hint="eastAsia"/>
          <w:b/>
          <w:bCs/>
          <w:sz w:val="28"/>
        </w:rPr>
        <w:t>宣传渠道</w:t>
      </w:r>
    </w:p>
    <w:p>
      <w:pPr>
        <w:pStyle w:val="Normal0"/>
        <w:ind w:firstLine="280" w:firstLineChars="100"/>
        <w:rPr>
          <w:rFonts w:ascii="宋体" w:hAnsi="宋体" w:hint="eastAsia"/>
          <w:sz w:val="28"/>
        </w:rPr>
      </w:pPr>
      <w:r>
        <w:rPr>
          <w:rFonts w:ascii="宋体" w:hAnsi="宋体" w:hint="eastAsia"/>
          <w:sz w:val="28"/>
        </w:rPr>
        <w:t>通过一定的网络资源和媒体诉求，达到广而高之的目的。</w:t>
      </w:r>
    </w:p>
    <w:p>
      <w:pPr>
        <w:pStyle w:val="Normal0"/>
        <w:ind w:left="279" w:leftChars="133"/>
        <w:rPr>
          <w:rFonts w:ascii="宋体" w:hAnsi="宋体" w:hint="eastAsia"/>
          <w:sz w:val="28"/>
        </w:rPr>
      </w:pPr>
      <w:r>
        <w:rPr>
          <w:rFonts w:ascii="宋体" w:hAnsi="宋体" w:hint="eastAsia"/>
          <w:sz w:val="28"/>
        </w:rPr>
        <w:t>楼书形式：通过对</w:t>
      </w:r>
      <w:r>
        <w:rPr>
          <w:rFonts w:ascii="宋体" w:hAnsi="宋体" w:hint="eastAsia"/>
          <w:sz w:val="28"/>
          <w:lang w:eastAsia="zh-CN"/>
        </w:rPr>
        <w:t>相关项目</w:t>
      </w:r>
      <w:r>
        <w:rPr>
          <w:rFonts w:ascii="宋体" w:hAnsi="宋体" w:hint="eastAsia"/>
          <w:sz w:val="28"/>
        </w:rPr>
        <w:t>的基本点的描叙，使客户对</w:t>
      </w:r>
      <w:r>
        <w:rPr>
          <w:rFonts w:ascii="宋体" w:hAnsi="宋体" w:hint="eastAsia"/>
          <w:sz w:val="28"/>
          <w:lang w:eastAsia="zh-CN"/>
        </w:rPr>
        <w:t>相关项目</w:t>
      </w:r>
      <w:r>
        <w:rPr>
          <w:rFonts w:ascii="宋体" w:hAnsi="宋体" w:hint="eastAsia"/>
          <w:sz w:val="28"/>
        </w:rPr>
        <w:t>有一个基本的认识。</w:t>
      </w:r>
    </w:p>
    <w:p>
      <w:pPr>
        <w:pStyle w:val="Normal0"/>
        <w:ind w:firstLine="280" w:firstLineChars="100"/>
        <w:rPr>
          <w:rFonts w:ascii="宋体" w:hAnsi="宋体" w:hint="eastAsia"/>
          <w:sz w:val="28"/>
        </w:rPr>
      </w:pPr>
      <w:r>
        <w:rPr>
          <w:rFonts w:ascii="宋体" w:hAnsi="宋体" w:hint="eastAsia"/>
          <w:sz w:val="28"/>
        </w:rPr>
        <w:t>宣传主题：</w:t>
      </w:r>
      <w:r>
        <w:rPr>
          <w:rFonts w:ascii="宋体" w:hAnsi="宋体" w:hint="eastAsia"/>
          <w:sz w:val="28"/>
          <w:lang w:eastAsia="zh-CN"/>
        </w:rPr>
        <w:t>相关项目</w:t>
      </w:r>
      <w:r>
        <w:rPr>
          <w:rFonts w:ascii="宋体" w:hAnsi="宋体" w:hint="eastAsia"/>
          <w:sz w:val="28"/>
        </w:rPr>
        <w:t>的完善规划和巨大的商业空间</w:t>
      </w:r>
    </w:p>
    <w:p>
      <w:pPr>
        <w:pStyle w:val="Normal0"/>
        <w:ind w:firstLine="280" w:firstLineChars="100"/>
        <w:rPr>
          <w:rFonts w:ascii="宋体" w:hAnsi="宋体" w:hint="eastAsia"/>
          <w:sz w:val="28"/>
        </w:rPr>
      </w:pPr>
      <w:r>
        <w:rPr>
          <w:rFonts w:ascii="宋体" w:hAnsi="宋体" w:hint="eastAsia"/>
          <w:sz w:val="28"/>
        </w:rPr>
        <w:t>投资前景：以详细的数字、实例说明宏观商业景象</w:t>
      </w:r>
    </w:p>
    <w:p>
      <w:pPr>
        <w:pStyle w:val="Normal0"/>
        <w:numPr>
          <w:ilvl w:val="0"/>
          <w:numId w:val="18"/>
        </w:numPr>
        <w:tabs>
          <w:tab w:val="left" w:pos="2540"/>
        </w:tabs>
        <w:rPr>
          <w:rFonts w:ascii="宋体" w:hAnsi="宋体" w:hint="eastAsia"/>
          <w:sz w:val="28"/>
        </w:rPr>
      </w:pPr>
      <w:r>
        <w:rPr>
          <w:rFonts w:ascii="宋体" w:hAnsi="宋体" w:hint="eastAsia"/>
          <w:sz w:val="28"/>
        </w:rPr>
        <w:t>长安城镇的的发展前景</w:t>
      </w:r>
    </w:p>
    <w:p>
      <w:pPr>
        <w:pStyle w:val="Normal0"/>
        <w:numPr>
          <w:ilvl w:val="0"/>
          <w:numId w:val="18"/>
        </w:numPr>
        <w:tabs>
          <w:tab w:val="left" w:pos="2540"/>
        </w:tabs>
        <w:rPr>
          <w:rFonts w:ascii="宋体" w:hAnsi="宋体" w:hint="eastAsia"/>
          <w:sz w:val="28"/>
        </w:rPr>
      </w:pPr>
      <w:r>
        <w:rPr>
          <w:rFonts w:ascii="宋体" w:hAnsi="宋体" w:hint="eastAsia"/>
          <w:sz w:val="28"/>
        </w:rPr>
        <w:t>长安中心商圈的前景</w:t>
      </w:r>
    </w:p>
    <w:p>
      <w:pPr>
        <w:pStyle w:val="Normal0"/>
        <w:numPr>
          <w:ilvl w:val="0"/>
          <w:numId w:val="18"/>
        </w:numPr>
        <w:tabs>
          <w:tab w:val="left" w:pos="2540"/>
        </w:tabs>
        <w:rPr>
          <w:rFonts w:ascii="宋体" w:hAnsi="宋体" w:hint="eastAsia"/>
          <w:sz w:val="28"/>
        </w:rPr>
      </w:pPr>
      <w:r>
        <w:rPr>
          <w:rFonts w:ascii="宋体" w:hAnsi="宋体" w:hint="eastAsia"/>
          <w:sz w:val="28"/>
        </w:rPr>
        <w:t>本</w:t>
      </w:r>
      <w:r>
        <w:rPr>
          <w:rFonts w:ascii="宋体" w:hAnsi="宋体" w:hint="eastAsia"/>
          <w:sz w:val="28"/>
          <w:lang w:eastAsia="zh-CN"/>
        </w:rPr>
        <w:t>相关项目</w:t>
      </w:r>
      <w:r>
        <w:rPr>
          <w:rFonts w:ascii="宋体" w:hAnsi="宋体" w:hint="eastAsia"/>
          <w:sz w:val="28"/>
        </w:rPr>
        <w:t>的优势</w:t>
      </w:r>
    </w:p>
    <w:p>
      <w:pPr>
        <w:pStyle w:val="Normal0"/>
        <w:ind w:firstLine="280" w:firstLineChars="100"/>
        <w:rPr>
          <w:rFonts w:ascii="宋体" w:hAnsi="宋体" w:hint="eastAsia"/>
          <w:sz w:val="28"/>
        </w:rPr>
      </w:pPr>
      <w:r>
        <w:rPr>
          <w:rFonts w:ascii="宋体" w:hAnsi="宋体" w:hint="eastAsia"/>
          <w:sz w:val="28"/>
        </w:rPr>
        <w:t>设计形式：美观及有高档的前景。</w:t>
      </w:r>
    </w:p>
    <w:p>
      <w:pPr>
        <w:pStyle w:val="Normal0"/>
        <w:ind w:left="279" w:leftChars="133"/>
        <w:rPr>
          <w:rFonts w:ascii="宋体" w:hAnsi="宋体" w:hint="eastAsia"/>
          <w:sz w:val="28"/>
        </w:rPr>
      </w:pPr>
      <w:r>
        <w:rPr>
          <w:rFonts w:ascii="宋体" w:hAnsi="宋体" w:hint="eastAsia"/>
          <w:sz w:val="28"/>
        </w:rPr>
        <w:t>投放途径：放置在高级酒店、饭馆、咖啡店等高消费、休闲场所，作渗透式的前期宣传。</w:t>
      </w:r>
    </w:p>
    <w:p>
      <w:pPr>
        <w:pStyle w:val="Normal0"/>
        <w:spacing w:line="580" w:lineRule="exact"/>
        <w:ind w:left="279" w:firstLine="560" w:leftChars="133" w:firstLineChars="200"/>
        <w:rPr>
          <w:rFonts w:hint="eastAsia"/>
          <w:sz w:val="28"/>
        </w:rPr>
      </w:pPr>
      <w:r>
        <w:rPr>
          <w:rFonts w:ascii="宋体" w:hAnsi="宋体" w:hint="eastAsia"/>
          <w:sz w:val="28"/>
        </w:rPr>
        <w:t>该</w:t>
      </w:r>
      <w:r>
        <w:rPr>
          <w:rFonts w:hint="eastAsia"/>
          <w:sz w:val="28"/>
        </w:rPr>
        <w:t>阶段主要引起市场对此片区的注意，逐渐熟悉并关注、认同</w:t>
      </w:r>
      <w:r>
        <w:rPr>
          <w:rFonts w:hint="eastAsia"/>
          <w:sz w:val="28"/>
          <w:lang w:eastAsia="zh-CN"/>
        </w:rPr>
        <w:t>相关项目</w:t>
      </w:r>
      <w:r>
        <w:rPr>
          <w:rFonts w:hint="eastAsia"/>
          <w:sz w:val="28"/>
        </w:rPr>
        <w:t>，所以主题重点在于</w:t>
      </w:r>
      <w:r>
        <w:rPr>
          <w:rFonts w:hint="eastAsia"/>
          <w:sz w:val="28"/>
          <w:lang w:eastAsia="zh-CN"/>
        </w:rPr>
        <w:t>相关项目</w:t>
      </w:r>
      <w:r>
        <w:rPr>
          <w:rFonts w:hint="eastAsia"/>
          <w:sz w:val="28"/>
        </w:rPr>
        <w:t>的发展前景，而不过多涉及</w:t>
      </w:r>
      <w:r>
        <w:rPr>
          <w:rFonts w:hint="eastAsia"/>
          <w:sz w:val="28"/>
          <w:lang w:eastAsia="zh-CN"/>
        </w:rPr>
        <w:t>相关项目</w:t>
      </w:r>
      <w:r>
        <w:rPr>
          <w:rFonts w:hint="eastAsia"/>
          <w:sz w:val="28"/>
        </w:rPr>
        <w:t>细节。</w:t>
      </w:r>
    </w:p>
    <w:p>
      <w:pPr>
        <w:pStyle w:val="Normal0"/>
        <w:numPr>
          <w:ilvl w:val="0"/>
          <w:numId w:val="19"/>
        </w:numPr>
        <w:rPr>
          <w:rFonts w:ascii="宋体" w:hAnsi="宋体" w:hint="eastAsia"/>
          <w:sz w:val="28"/>
        </w:rPr>
      </w:pPr>
      <w:r>
        <w:rPr>
          <w:rFonts w:ascii="宋体" w:hAnsi="宋体" w:hint="eastAsia"/>
          <w:sz w:val="28"/>
        </w:rPr>
        <w:t>长安中心区整体规划</w:t>
      </w:r>
    </w:p>
    <w:p>
      <w:pPr>
        <w:pStyle w:val="Normal0"/>
        <w:numPr>
          <w:ilvl w:val="0"/>
          <w:numId w:val="19"/>
        </w:numPr>
        <w:rPr>
          <w:rFonts w:ascii="宋体" w:hAnsi="宋体" w:hint="eastAsia"/>
          <w:sz w:val="28"/>
        </w:rPr>
        <w:sectPr>
          <w:headerReference w:type="default" r:id="rId49"/>
          <w:footerReference w:type="default" r:id="rId50"/>
          <w:type w:val="nextPage"/>
          <w:pgSz w:w="11906" w:h="16838"/>
          <w:pgMar w:top="1440" w:right="1418" w:bottom="1440" w:left="1797" w:header="851" w:footer="992" w:gutter="0"/>
          <w:pgNumType w:start="23"/>
          <w:cols w:num="1" w:space="425"/>
          <w:titlePg w:val="0"/>
          <w:docGrid w:type="lines" w:linePitch="312" w:charSpace="0"/>
        </w:sectPr>
      </w:pPr>
      <w:r>
        <w:rPr>
          <w:rFonts w:ascii="宋体" w:hAnsi="宋体" w:hint="eastAsia"/>
          <w:sz w:val="28"/>
        </w:rPr>
        <w:t>长安中心区打造高品质商业中心</w:t>
      </w:r>
    </w:p>
    <w:p>
      <w:pPr>
        <w:pStyle w:val="Normal0"/>
        <w:numPr>
          <w:ilvl w:val="0"/>
          <w:numId w:val="19"/>
        </w:numPr>
        <w:rPr>
          <w:rFonts w:ascii="宋体" w:hAnsi="宋体" w:hint="eastAsia"/>
          <w:sz w:val="28"/>
        </w:rPr>
      </w:pPr>
      <w:r>
        <w:rPr>
          <w:rFonts w:ascii="宋体" w:hAnsi="宋体" w:hint="eastAsia"/>
          <w:sz w:val="28"/>
        </w:rPr>
        <w:t>长安中心区蕴藏巨大商机，各商家跃跃欲试</w:t>
      </w:r>
    </w:p>
    <w:p>
      <w:pPr>
        <w:pStyle w:val="Normal0"/>
        <w:numPr>
          <w:ilvl w:val="0"/>
          <w:numId w:val="19"/>
        </w:numPr>
        <w:rPr>
          <w:rFonts w:ascii="宋体" w:hAnsi="宋体" w:hint="eastAsia"/>
          <w:sz w:val="28"/>
        </w:rPr>
      </w:pPr>
      <w:r>
        <w:rPr>
          <w:rFonts w:ascii="宋体" w:hAnsi="宋体" w:hint="eastAsia"/>
          <w:sz w:val="28"/>
        </w:rPr>
        <w:t>有多家大型商业机构预进驻</w:t>
      </w:r>
    </w:p>
    <w:p>
      <w:pPr>
        <w:pStyle w:val="Normal0"/>
        <w:tabs>
          <w:tab w:val="left" w:pos="985"/>
        </w:tabs>
        <w:rPr>
          <w:rFonts w:ascii="宋体" w:hAnsi="宋体" w:hint="eastAsia"/>
          <w:b/>
          <w:bCs/>
          <w:sz w:val="28"/>
        </w:rPr>
      </w:pPr>
      <w:r>
        <w:rPr>
          <w:rFonts w:ascii="宋体" w:hAnsi="宋体" w:hint="eastAsia"/>
          <w:b/>
          <w:bCs/>
          <w:sz w:val="28"/>
        </w:rPr>
        <w:t>事件行销：</w:t>
      </w:r>
    </w:p>
    <w:p>
      <w:pPr>
        <w:pStyle w:val="Normal0"/>
        <w:spacing w:line="360" w:lineRule="auto"/>
        <w:rPr>
          <w:rFonts w:ascii="宋体" w:hAnsi="宋体" w:hint="eastAsia"/>
          <w:b/>
          <w:bCs/>
          <w:sz w:val="28"/>
        </w:rPr>
      </w:pPr>
      <w:r>
        <w:rPr>
          <w:rFonts w:ascii="宋体" w:hAnsi="宋体" w:hint="eastAsia"/>
          <w:sz w:val="28"/>
        </w:rPr>
        <w:t>商业酒会或新闻发布会。</w:t>
      </w:r>
    </w:p>
    <w:p>
      <w:pPr>
        <w:pStyle w:val="Normal0"/>
        <w:spacing w:line="360" w:lineRule="auto"/>
        <w:ind w:firstLine="560" w:firstLineChars="200"/>
        <w:rPr>
          <w:rFonts w:ascii="宋体" w:hAnsi="宋体" w:hint="eastAsia"/>
          <w:bCs/>
          <w:sz w:val="28"/>
        </w:rPr>
      </w:pPr>
      <w:r>
        <w:rPr>
          <w:rFonts w:ascii="宋体" w:hAnsi="宋体" w:hint="eastAsia"/>
          <w:bCs/>
          <w:sz w:val="28"/>
        </w:rPr>
        <w:t>将</w:t>
      </w:r>
      <w:r>
        <w:rPr>
          <w:rFonts w:ascii="宋体" w:hAnsi="宋体" w:hint="eastAsia"/>
          <w:bCs/>
          <w:sz w:val="28"/>
          <w:lang w:eastAsia="zh-CN"/>
        </w:rPr>
        <w:t>相关项目</w:t>
      </w:r>
      <w:r>
        <w:rPr>
          <w:rFonts w:ascii="宋体" w:hAnsi="宋体" w:hint="eastAsia"/>
          <w:bCs/>
          <w:sz w:val="28"/>
        </w:rPr>
        <w:t>树立成立足长安，辐射东莞及周边地市的长安城市名片，以吸引各品牌商家。通过主力商家的引进和进驻，带动其他中小型商家的进驻和整体商业价值及社会价值的提升。</w:t>
      </w:r>
    </w:p>
    <w:p>
      <w:pPr>
        <w:pStyle w:val="Normal0"/>
        <w:spacing w:line="360" w:lineRule="auto"/>
        <w:rPr>
          <w:rFonts w:ascii="宋体" w:hAnsi="宋体" w:hint="eastAsia"/>
          <w:b/>
          <w:bCs/>
          <w:sz w:val="28"/>
        </w:rPr>
      </w:pPr>
      <w:r>
        <w:rPr>
          <w:rFonts w:ascii="宋体" w:hAnsi="宋体" w:hint="eastAsia"/>
          <w:b/>
          <w:bCs/>
          <w:sz w:val="28"/>
        </w:rPr>
        <w:t>推广策略：</w:t>
      </w:r>
    </w:p>
    <w:p>
      <w:pPr>
        <w:pStyle w:val="Normal0"/>
        <w:numPr>
          <w:ilvl w:val="0"/>
          <w:numId w:val="20"/>
        </w:numPr>
        <w:spacing w:line="360" w:lineRule="auto"/>
        <w:rPr>
          <w:rFonts w:ascii="宋体" w:hAnsi="宋体" w:hint="eastAsia"/>
          <w:sz w:val="28"/>
        </w:rPr>
      </w:pPr>
      <w:r>
        <w:rPr>
          <w:rFonts w:ascii="宋体" w:hAnsi="宋体" w:hint="eastAsia"/>
          <w:sz w:val="28"/>
        </w:rPr>
        <w:t xml:space="preserve">对外宣传中，树立 </w:t>
      </w:r>
      <w:r>
        <w:rPr>
          <w:rFonts w:ascii="宋体" w:hAnsi="宋体" w:hint="eastAsia"/>
          <w:sz w:val="28"/>
          <w:lang w:eastAsia="zh-CN"/>
        </w:rPr>
        <w:t>相关项目</w:t>
      </w:r>
      <w:r>
        <w:rPr>
          <w:rFonts w:ascii="宋体" w:hAnsi="宋体" w:hint="eastAsia"/>
          <w:sz w:val="28"/>
        </w:rPr>
        <w:t>“长安城市名片”的整体形象。通过报刊立体组合宣传，明确树立本</w:t>
      </w:r>
      <w:r>
        <w:rPr>
          <w:rFonts w:ascii="宋体" w:hAnsi="宋体" w:hint="eastAsia"/>
          <w:sz w:val="28"/>
          <w:lang w:eastAsia="zh-CN"/>
        </w:rPr>
        <w:t>相关项目</w:t>
      </w:r>
      <w:r>
        <w:rPr>
          <w:rFonts w:ascii="宋体" w:hAnsi="宋体" w:hint="eastAsia"/>
          <w:sz w:val="28"/>
        </w:rPr>
        <w:t>在客户心目中的鲜明印象。</w:t>
      </w:r>
    </w:p>
    <w:p>
      <w:pPr>
        <w:pStyle w:val="Normal0"/>
        <w:numPr>
          <w:ilvl w:val="0"/>
          <w:numId w:val="20"/>
        </w:numPr>
        <w:tabs>
          <w:tab w:val="left" w:pos="1835"/>
        </w:tabs>
        <w:spacing w:line="360" w:lineRule="auto"/>
        <w:rPr>
          <w:rFonts w:ascii="宋体" w:hAnsi="宋体" w:hint="eastAsia"/>
          <w:sz w:val="28"/>
        </w:rPr>
      </w:pPr>
      <w:r>
        <w:rPr>
          <w:rFonts w:ascii="宋体" w:hAnsi="宋体" w:hint="eastAsia"/>
          <w:sz w:val="28"/>
        </w:rPr>
        <w:t>在长安镇的各主干道做大型</w:t>
      </w:r>
      <w:r>
        <w:rPr>
          <w:rFonts w:ascii="宋体" w:hAnsi="宋体" w:hint="eastAsia"/>
          <w:b/>
          <w:bCs/>
          <w:sz w:val="28"/>
          <w:u w:val="single"/>
        </w:rPr>
        <w:t>户外广告牌，</w:t>
      </w:r>
      <w:r>
        <w:rPr>
          <w:rFonts w:ascii="宋体" w:hAnsi="宋体" w:hint="eastAsia"/>
          <w:sz w:val="28"/>
        </w:rPr>
        <w:t>推广</w:t>
      </w:r>
      <w:r>
        <w:rPr>
          <w:rFonts w:ascii="宋体" w:hAnsi="宋体" w:hint="eastAsia"/>
          <w:sz w:val="28"/>
          <w:lang w:eastAsia="zh-CN"/>
        </w:rPr>
        <w:t>相关项目</w:t>
      </w:r>
      <w:r>
        <w:rPr>
          <w:rFonts w:ascii="宋体" w:hAnsi="宋体" w:hint="eastAsia"/>
          <w:sz w:val="28"/>
        </w:rPr>
        <w:t>的总体形象。</w:t>
      </w:r>
    </w:p>
    <w:p>
      <w:pPr>
        <w:pStyle w:val="Normal0"/>
        <w:numPr>
          <w:ilvl w:val="0"/>
          <w:numId w:val="20"/>
        </w:numPr>
        <w:tabs>
          <w:tab w:val="left" w:pos="1835"/>
        </w:tabs>
        <w:spacing w:line="360" w:lineRule="auto"/>
        <w:rPr>
          <w:rFonts w:ascii="宋体" w:hAnsi="宋体" w:hint="eastAsia"/>
          <w:sz w:val="28"/>
        </w:rPr>
      </w:pPr>
      <w:r>
        <w:rPr>
          <w:rFonts w:ascii="宋体" w:hAnsi="宋体" w:hint="eastAsia"/>
          <w:sz w:val="28"/>
        </w:rPr>
        <w:t>在深圳举办招商邀请会，就长安镇的发展前景，</w:t>
      </w:r>
      <w:r>
        <w:rPr>
          <w:rFonts w:ascii="宋体" w:hAnsi="宋体" w:hint="eastAsia"/>
          <w:sz w:val="28"/>
          <w:lang w:eastAsia="zh-CN"/>
        </w:rPr>
        <w:t>相关项目</w:t>
      </w:r>
      <w:r>
        <w:rPr>
          <w:rFonts w:ascii="宋体" w:hAnsi="宋体" w:hint="eastAsia"/>
          <w:sz w:val="28"/>
        </w:rPr>
        <w:t>的基本情况、创新的经营理念、先进的</w:t>
      </w:r>
      <w:r>
        <w:rPr>
          <w:rFonts w:ascii="宋体" w:hAnsi="宋体" w:hint="eastAsia"/>
          <w:sz w:val="28"/>
          <w:lang w:eastAsia="zh-CN"/>
        </w:rPr>
        <w:t>管理管控</w:t>
      </w:r>
      <w:r>
        <w:rPr>
          <w:rFonts w:ascii="宋体" w:hAnsi="宋体" w:hint="eastAsia"/>
          <w:sz w:val="28"/>
        </w:rPr>
        <w:t>模式等向主力目标客户进行详细介绍，增强客户的投资信心，从而引起其他经营户的广泛关注。</w:t>
      </w:r>
    </w:p>
    <w:p>
      <w:pPr>
        <w:pStyle w:val="Normal0"/>
        <w:numPr>
          <w:ilvl w:val="0"/>
          <w:numId w:val="20"/>
        </w:numPr>
        <w:tabs>
          <w:tab w:val="left" w:pos="1835"/>
        </w:tabs>
        <w:spacing w:line="360" w:lineRule="auto"/>
        <w:rPr>
          <w:rFonts w:ascii="宋体" w:hAnsi="宋体" w:hint="eastAsia"/>
          <w:sz w:val="28"/>
        </w:rPr>
      </w:pPr>
      <w:r>
        <w:rPr>
          <w:rFonts w:ascii="宋体" w:hAnsi="宋体" w:hint="eastAsia"/>
          <w:sz w:val="28"/>
        </w:rPr>
        <w:t>以</w:t>
      </w:r>
      <w:r>
        <w:rPr>
          <w:rFonts w:ascii="宋体" w:hAnsi="宋体" w:hint="eastAsia"/>
          <w:b/>
          <w:bCs/>
          <w:sz w:val="28"/>
          <w:u w:val="single"/>
        </w:rPr>
        <w:t>软性新闻</w:t>
      </w:r>
      <w:r>
        <w:rPr>
          <w:rFonts w:ascii="宋体" w:hAnsi="宋体" w:hint="eastAsia"/>
          <w:sz w:val="28"/>
        </w:rPr>
        <w:t>开始对</w:t>
      </w:r>
      <w:r>
        <w:rPr>
          <w:rFonts w:ascii="宋体" w:hAnsi="宋体" w:hint="eastAsia"/>
          <w:sz w:val="28"/>
          <w:lang w:eastAsia="zh-CN"/>
        </w:rPr>
        <w:t>相关项目</w:t>
      </w:r>
      <w:r>
        <w:rPr>
          <w:rFonts w:ascii="宋体" w:hAnsi="宋体" w:hint="eastAsia"/>
          <w:sz w:val="28"/>
        </w:rPr>
        <w:t>进行逐步曝光与宣传，从长安镇的整体经济发展趋势、长安镇未来城市发展规划、政府对本</w:t>
      </w:r>
      <w:r>
        <w:rPr>
          <w:rFonts w:ascii="宋体" w:hAnsi="宋体" w:hint="eastAsia"/>
          <w:sz w:val="28"/>
          <w:lang w:eastAsia="zh-CN"/>
        </w:rPr>
        <w:t>相关项目</w:t>
      </w:r>
      <w:r>
        <w:rPr>
          <w:rFonts w:ascii="宋体" w:hAnsi="宋体" w:hint="eastAsia"/>
          <w:sz w:val="28"/>
        </w:rPr>
        <w:t>的支持等方面进行报道。</w:t>
      </w:r>
    </w:p>
    <w:p>
      <w:pPr>
        <w:pStyle w:val="Normal0"/>
        <w:numPr>
          <w:ilvl w:val="0"/>
          <w:numId w:val="20"/>
        </w:numPr>
        <w:spacing w:line="360" w:lineRule="auto"/>
        <w:rPr>
          <w:rFonts w:hint="eastAsia"/>
          <w:sz w:val="28"/>
        </w:rPr>
        <w:sectPr>
          <w:headerReference w:type="default" r:id="rId51"/>
          <w:footerReference w:type="default" r:id="rId52"/>
          <w:type w:val="nextPage"/>
          <w:pgSz w:w="11906" w:h="16838"/>
          <w:pgMar w:top="1440" w:right="1418" w:bottom="1440" w:left="1797" w:header="851" w:footer="992" w:gutter="0"/>
          <w:pgNumType w:start="24"/>
          <w:cols w:num="1" w:space="425"/>
          <w:titlePg w:val="0"/>
          <w:docGrid w:type="lines" w:linePitch="312" w:charSpace="0"/>
        </w:sectPr>
      </w:pPr>
    </w:p>
    <w:p>
      <w:pPr>
        <w:pStyle w:val="Normal0"/>
        <w:numPr>
          <w:ilvl w:val="0"/>
          <w:numId w:val="0"/>
        </w:numPr>
        <w:spacing w:line="360" w:lineRule="auto"/>
        <w:ind w:left="420"/>
        <w:rPr>
          <w:rFonts w:hint="eastAsia"/>
          <w:sz w:val="28"/>
        </w:rPr>
      </w:pPr>
      <w:r>
        <w:rPr>
          <w:rFonts w:ascii="宋体" w:hAnsi="宋体" w:hint="eastAsia"/>
          <w:sz w:val="28"/>
        </w:rPr>
        <w:t>组织“东莞零售商业发展论坛”，邀请有关政府部门、行业专家（包括东莞市领导、知名品牌商家等）以及新闻媒体共同就长安镇零售商业发展的机遇与挑战，零售商业的发展趋势、长安镇零售商业的行业现状、现行业内存在的问题等进行讨论，通过此研讨会，实现政府、企业、开发商与经营商之间的平等对话与沟通，提升</w:t>
      </w:r>
      <w:r>
        <w:rPr>
          <w:rFonts w:ascii="宋体" w:hAnsi="宋体" w:hint="eastAsia"/>
          <w:sz w:val="28"/>
          <w:lang w:eastAsia="zh-CN"/>
        </w:rPr>
        <w:t>相关项目</w:t>
      </w:r>
      <w:r>
        <w:rPr>
          <w:rFonts w:ascii="宋体" w:hAnsi="宋体" w:hint="eastAsia"/>
          <w:sz w:val="28"/>
        </w:rPr>
        <w:t>在目标客户心目中的形象与地位，并与软文宣传互动。</w:t>
      </w:r>
    </w:p>
    <w:p>
      <w:pPr>
        <w:pStyle w:val="Normal0"/>
        <w:ind w:left="-2"/>
        <w:jc w:val="left"/>
        <w:rPr>
          <w:rFonts w:ascii="宋体" w:hAnsi="宋体" w:hint="eastAsia"/>
          <w:b/>
          <w:bCs/>
          <w:sz w:val="28"/>
        </w:rPr>
      </w:pPr>
      <w:r>
        <w:rPr>
          <w:rFonts w:ascii="宋体" w:hAnsi="宋体" w:hint="eastAsia"/>
          <w:b/>
          <w:bCs/>
          <w:sz w:val="28"/>
        </w:rPr>
        <w:t xml:space="preserve">2、公开招商（2005.4－8）                      </w:t>
      </w:r>
      <w:r>
        <w:rPr>
          <w:rFonts w:hint="eastAsia"/>
          <w:sz w:val="28"/>
        </w:rPr>
        <w:t>出租率约80％</w:t>
      </w:r>
    </w:p>
    <w:p>
      <w:pPr>
        <w:pStyle w:val="Normal0"/>
        <w:ind w:left="-2" w:firstLine="560" w:leftChars="-1" w:firstLineChars="200"/>
        <w:jc w:val="left"/>
        <w:rPr>
          <w:rFonts w:ascii="宋体" w:hAnsi="宋体" w:hint="eastAsia"/>
          <w:sz w:val="28"/>
        </w:rPr>
      </w:pPr>
      <w:r>
        <w:rPr>
          <w:rFonts w:ascii="宋体" w:hAnsi="宋体" w:hint="eastAsia"/>
          <w:sz w:val="28"/>
        </w:rPr>
        <w:t>时间：４月——８月上旬</w:t>
      </w:r>
    </w:p>
    <w:p>
      <w:pPr>
        <w:pStyle w:val="Normal0"/>
        <w:ind w:left="556" w:firstLine="560" w:leftChars="265" w:firstLineChars="200"/>
        <w:jc w:val="left"/>
        <w:rPr>
          <w:rFonts w:ascii="宋体" w:hAnsi="宋体" w:hint="eastAsia"/>
          <w:sz w:val="28"/>
        </w:rPr>
      </w:pPr>
      <w:r>
        <w:rPr>
          <w:rFonts w:hint="eastAsia"/>
          <w:sz w:val="28"/>
        </w:rPr>
        <w:t>在品牌商家的相关招商工作具备宣传条件的情况下，面向市场现有中小型客户的招商活动。通过对前期品牌商家入驻的展示，对零散客户形成市场挤压，带动小型商家的投资兴趣和引领力，敦促其尽早签约。</w:t>
      </w:r>
    </w:p>
    <w:p>
      <w:pPr>
        <w:pStyle w:val="Normal0"/>
        <w:spacing w:line="480" w:lineRule="auto"/>
        <w:ind w:firstLine="560" w:firstLineChars="200"/>
        <w:rPr>
          <w:rFonts w:ascii="宋体" w:hAnsi="宋体"/>
          <w:b/>
          <w:sz w:val="28"/>
        </w:rPr>
      </w:pPr>
      <w:r>
        <w:rPr>
          <w:rFonts w:ascii="宋体" w:hAnsi="宋体" w:hint="eastAsia"/>
          <w:b/>
          <w:bCs/>
          <w:sz w:val="28"/>
        </w:rPr>
        <w:t>招商推广目</w:t>
      </w:r>
      <w:r>
        <w:rPr>
          <w:rFonts w:ascii="宋体" w:hAnsi="宋体" w:hint="eastAsia"/>
          <w:b/>
          <w:sz w:val="28"/>
        </w:rPr>
        <w:t>的</w:t>
      </w:r>
      <w:r>
        <w:rPr>
          <w:rFonts w:ascii="宋体" w:hAnsi="宋体" w:hint="eastAsia"/>
          <w:b/>
          <w:bCs/>
          <w:sz w:val="28"/>
        </w:rPr>
        <w:t>：</w:t>
      </w:r>
      <w:r>
        <w:rPr>
          <w:rFonts w:ascii="宋体" w:hAnsi="宋体"/>
          <w:b/>
          <w:sz w:val="28"/>
        </w:rPr>
        <w:t xml:space="preserve"> </w:t>
      </w:r>
    </w:p>
    <w:p>
      <w:pPr>
        <w:pStyle w:val="Normal0"/>
        <w:ind w:left="556" w:leftChars="265"/>
        <w:jc w:val="left"/>
        <w:rPr>
          <w:rFonts w:ascii="宋体" w:hAnsi="宋体" w:hint="eastAsia"/>
          <w:b/>
          <w:bCs/>
          <w:sz w:val="28"/>
        </w:rPr>
      </w:pPr>
      <w:r>
        <w:rPr>
          <w:rFonts w:hint="eastAsia"/>
          <w:sz w:val="28"/>
        </w:rPr>
        <w:t>1）将前一阶段品牌商家招商成果进行集中展示，以品牌商户的进驻带动其他散户以及相关行业的进驻。</w:t>
      </w:r>
    </w:p>
    <w:p>
      <w:pPr>
        <w:pStyle w:val="Normal0"/>
        <w:ind w:left="638" w:leftChars="304"/>
        <w:rPr>
          <w:rFonts w:ascii="宋体" w:hAnsi="宋体" w:hint="eastAsia"/>
          <w:sz w:val="28"/>
        </w:rPr>
      </w:pPr>
      <w:r>
        <w:rPr>
          <w:rFonts w:ascii="宋体" w:hAnsi="宋体" w:hint="eastAsia"/>
          <w:sz w:val="28"/>
        </w:rPr>
        <w:t>2）通过地盘包装、户外广告、大型商家进驻、商铺销售等前期活动，使</w:t>
      </w:r>
      <w:r>
        <w:rPr>
          <w:rFonts w:ascii="宋体" w:hAnsi="宋体" w:hint="eastAsia"/>
          <w:sz w:val="28"/>
          <w:lang w:eastAsia="zh-CN"/>
        </w:rPr>
        <w:t>相关项目</w:t>
      </w:r>
      <w:r>
        <w:rPr>
          <w:rFonts w:ascii="宋体" w:hAnsi="宋体" w:hint="eastAsia"/>
          <w:sz w:val="28"/>
        </w:rPr>
        <w:t>有一定的知名度和影响力</w:t>
      </w:r>
    </w:p>
    <w:p>
      <w:pPr>
        <w:pStyle w:val="Normal0"/>
        <w:ind w:left="638" w:leftChars="304"/>
        <w:rPr>
          <w:rFonts w:ascii="宋体" w:hAnsi="宋体" w:hint="eastAsia"/>
          <w:sz w:val="28"/>
        </w:rPr>
      </w:pPr>
      <w:r>
        <w:rPr>
          <w:rFonts w:ascii="宋体" w:hAnsi="宋体" w:hint="eastAsia"/>
          <w:sz w:val="28"/>
        </w:rPr>
        <w:t>3）为</w:t>
      </w:r>
      <w:r>
        <w:rPr>
          <w:rFonts w:ascii="宋体" w:hAnsi="宋体" w:hint="eastAsia"/>
          <w:sz w:val="28"/>
          <w:lang w:eastAsia="zh-CN"/>
        </w:rPr>
        <w:t>相关项目</w:t>
      </w:r>
      <w:r>
        <w:rPr>
          <w:rFonts w:ascii="宋体" w:hAnsi="宋体" w:hint="eastAsia"/>
          <w:sz w:val="28"/>
        </w:rPr>
        <w:t>的整体运营奠定基础，通过对中小型商家的招商引进，达到</w:t>
      </w:r>
      <w:r>
        <w:rPr>
          <w:rFonts w:ascii="宋体" w:hAnsi="宋体" w:hint="eastAsia"/>
          <w:sz w:val="28"/>
          <w:lang w:eastAsia="zh-CN"/>
        </w:rPr>
        <w:t>相关项目</w:t>
      </w:r>
      <w:r>
        <w:rPr>
          <w:rFonts w:ascii="宋体" w:hAnsi="宋体" w:hint="eastAsia"/>
          <w:sz w:val="28"/>
        </w:rPr>
        <w:t>全面商业运营。</w:t>
      </w:r>
    </w:p>
    <w:p>
      <w:pPr>
        <w:pStyle w:val="Normal0"/>
        <w:tabs>
          <w:tab w:val="left" w:pos="1620"/>
        </w:tabs>
        <w:ind w:firstLine="560" w:firstLineChars="200"/>
        <w:rPr>
          <w:rFonts w:ascii="宋体" w:hAnsi="宋体" w:hint="eastAsia"/>
          <w:b/>
          <w:bCs/>
          <w:sz w:val="28"/>
        </w:rPr>
      </w:pPr>
      <w:r>
        <w:rPr>
          <w:rFonts w:ascii="宋体" w:hAnsi="宋体" w:hint="eastAsia"/>
          <w:b/>
          <w:bCs/>
          <w:sz w:val="28"/>
        </w:rPr>
        <w:t>招商必备条件</w:t>
      </w:r>
    </w:p>
    <w:p>
      <w:pPr>
        <w:pStyle w:val="Normal0"/>
        <w:numPr>
          <w:ilvl w:val="0"/>
          <w:numId w:val="21"/>
        </w:numPr>
        <w:rPr>
          <w:rFonts w:ascii="宋体" w:hAnsi="宋体" w:hint="eastAsia"/>
          <w:sz w:val="28"/>
        </w:rPr>
      </w:pPr>
      <w:r>
        <w:rPr>
          <w:rFonts w:ascii="宋体" w:hAnsi="宋体" w:hint="eastAsia"/>
          <w:sz w:val="28"/>
        </w:rPr>
        <w:t>大型商家已进驻</w:t>
      </w:r>
    </w:p>
    <w:p>
      <w:pPr>
        <w:pStyle w:val="Normal0"/>
        <w:numPr>
          <w:ilvl w:val="0"/>
          <w:numId w:val="21"/>
        </w:numPr>
        <w:tabs>
          <w:tab w:val="left" w:pos="2380"/>
        </w:tabs>
        <w:rPr>
          <w:rFonts w:ascii="宋体" w:hAnsi="宋体" w:hint="eastAsia"/>
          <w:sz w:val="28"/>
        </w:rPr>
      </w:pPr>
      <w:r>
        <w:rPr>
          <w:rFonts w:ascii="宋体" w:hAnsi="宋体" w:hint="eastAsia"/>
          <w:sz w:val="28"/>
          <w:lang w:eastAsia="zh-CN"/>
        </w:rPr>
        <w:t>相关项目</w:t>
      </w:r>
      <w:r>
        <w:rPr>
          <w:rFonts w:ascii="宋体" w:hAnsi="宋体" w:hint="eastAsia"/>
          <w:sz w:val="28"/>
        </w:rPr>
        <w:t>在一定范围内有一定的影响力</w:t>
      </w:r>
    </w:p>
    <w:p>
      <w:pPr>
        <w:pStyle w:val="Normal0"/>
        <w:numPr>
          <w:ilvl w:val="0"/>
          <w:numId w:val="21"/>
        </w:numPr>
        <w:tabs>
          <w:tab w:val="left" w:pos="2380"/>
        </w:tabs>
        <w:rPr>
          <w:rFonts w:ascii="宋体" w:hAnsi="宋体" w:hint="eastAsia"/>
          <w:sz w:val="28"/>
        </w:rPr>
      </w:pPr>
      <w:r>
        <w:rPr>
          <w:rFonts w:ascii="宋体" w:hAnsi="宋体" w:hint="eastAsia"/>
          <w:sz w:val="28"/>
          <w:lang w:eastAsia="zh-CN"/>
        </w:rPr>
        <w:t>相关项目</w:t>
      </w:r>
      <w:r>
        <w:rPr>
          <w:rFonts w:ascii="宋体" w:hAnsi="宋体" w:hint="eastAsia"/>
          <w:sz w:val="28"/>
        </w:rPr>
        <w:t>的外观已基本完成</w:t>
      </w:r>
    </w:p>
    <w:p>
      <w:pPr>
        <w:pStyle w:val="Normal0"/>
        <w:numPr>
          <w:ilvl w:val="0"/>
          <w:numId w:val="21"/>
        </w:numPr>
        <w:tabs>
          <w:tab w:val="left" w:pos="2380"/>
        </w:tabs>
        <w:rPr>
          <w:rFonts w:ascii="宋体" w:hAnsi="宋体" w:hint="eastAsia"/>
          <w:sz w:val="28"/>
        </w:rPr>
      </w:pPr>
      <w:r>
        <w:rPr>
          <w:rFonts w:ascii="宋体" w:hAnsi="宋体" w:hint="eastAsia"/>
          <w:sz w:val="28"/>
        </w:rPr>
        <w:t>招商所需的物料文件已基本准备完善</w:t>
      </w:r>
    </w:p>
    <w:p>
      <w:pPr>
        <w:pStyle w:val="Normal0"/>
        <w:numPr>
          <w:ilvl w:val="0"/>
          <w:numId w:val="21"/>
        </w:numPr>
        <w:tabs>
          <w:tab w:val="left" w:pos="2380"/>
        </w:tabs>
        <w:rPr>
          <w:rFonts w:hint="eastAsia"/>
          <w:sz w:val="28"/>
        </w:rPr>
      </w:pPr>
      <w:r>
        <w:rPr>
          <w:rFonts w:hint="eastAsia"/>
          <w:sz w:val="28"/>
        </w:rPr>
        <w:t>前期已有相当一部分客户资源积累</w:t>
      </w:r>
      <w:r>
        <w:rPr>
          <w:rFonts w:hint="eastAsia"/>
          <w:sz w:val="28"/>
        </w:rPr>
        <w:br/>
      </w:r>
      <w:r>
        <w:rPr>
          <w:rFonts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3" w:history="1">
        <w:r>
          <w:rPr>
            <w:rFonts w:ascii="SimSun" w:eastAsia="SimSun" w:hAnsi="SimSun" w:cs="SimSun"/>
            <w:b/>
            <w:bCs/>
            <w:color w:val="0000EE"/>
            <w:kern w:val="0"/>
            <w:sz w:val="30"/>
            <w:szCs w:val="30"/>
            <w:u w:val="single" w:color="0000EE"/>
          </w:rPr>
          <w:t>https://d.book118.com/697016010103006045</w:t>
        </w:r>
      </w:hyperlink>
    </w:p>
    <w:p>
      <w:pPr>
        <w:pStyle w:val="Normal0"/>
        <w:numPr>
          <w:ilvl w:val="0"/>
          <w:numId w:val="21"/>
        </w:numPr>
        <w:tabs>
          <w:tab w:val="left" w:pos="2380"/>
        </w:tabs>
        <w:rPr>
          <w:rFonts w:hint="eastAsia"/>
          <w:sz w:val="28"/>
        </w:rPr>
      </w:pPr>
    </w:p>
    <w:sectPr>
      <w:headerReference w:type="default" r:id="rId54"/>
      <w:footerReference w:type="default" r:id="rId55"/>
      <w:type w:val="nextPage"/>
      <w:pgSz w:w="11906" w:h="16838"/>
      <w:pgMar w:top="1440" w:right="1418" w:bottom="1440" w:left="1797"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彩云">
    <w:panose1 w:val="02010800040101010101"/>
    <w:charset w:val="86"/>
    <w:family w:val="auto"/>
    <w:pitch w:val="default"/>
    <w:sig w:usb0="00000001" w:usb1="080F0000" w:usb2="00000000" w:usb3="00000000" w:csb0="00040000" w:csb1="00000000"/>
  </w:font>
  <w:font w:name="Verdana">
    <w:panose1 w:val="020B0604030504040204"/>
    <w:charset w:val="00"/>
    <w:family w:val="swiss"/>
    <w:pitch w:val="default"/>
    <w:sig w:usb0="A00006FF" w:usb1="4000205B" w:usb2="00000010" w:usb3="00000000" w:csb0="2000019F" w:csb1="00000000"/>
  </w:font>
  <w:font w:name="华文行楷">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0" type="#_x0000_t202" style="width:2in;height:2in;margin-top:0;margin-left:0;mso-height-relative:page;mso-position-horizontal:right;mso-position-horizontal-relative:margin;mso-width-relative:page;mso-wrap-style:none;position:absolute;z-index:25165824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33</w:t>
                </w:r>
                <w:r>
                  <w:fldChar w:fldCharType="end"/>
                </w:r>
                <w:r>
                  <w:rPr>
                    <w:rFonts w:hint="eastAsia"/>
                  </w:rPr>
                  <w:t xml:space="preserve"> 页</w:t>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2" type="#_x0000_t202" style="width:2in;height:2in;margin-top:0;margin-left:0;mso-height-relative:page;mso-position-horizontal:right;mso-position-horizontal-relative:margin;mso-width-relative:page;mso-wrap-style:none;position:absolute;z-index:25165926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33</w:t>
                </w:r>
                <w:r>
                  <w:fldChar w:fldCharType="end"/>
                </w:r>
                <w:r>
                  <w:rPr>
                    <w:rFonts w:hint="eastAsia"/>
                  </w:rPr>
                  <w:t xml:space="preserve"> 页</w:t>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4" type="#_x0000_t202" style="width:2in;height:2in;margin-top:0;margin-left:0;mso-height-relative:page;mso-position-horizontal:right;mso-position-horizontal-relative:margin;mso-width-relative:page;mso-wrap-style:none;position:absolute;z-index:25166028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33</w:t>
                </w:r>
                <w:r>
                  <w:fldChar w:fldCharType="end"/>
                </w:r>
                <w:r>
                  <w:rPr>
                    <w:rFonts w:hint="eastAsia"/>
                  </w:rPr>
                  <w:t xml:space="preserve"> 页</w:t>
                </w:r>
              </w:p>
            </w:txbxContent>
          </v:textbox>
          <w10:wrap anchorx="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6" type="#_x0000_t202" style="width:2in;height:2in;margin-top:0;margin-left:0;mso-height-relative:page;mso-position-horizontal:right;mso-position-horizontal-relative:margin;mso-width-relative:page;mso-wrap-style:none;position:absolute;z-index:25166131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33</w:t>
                </w:r>
                <w:r>
                  <w:fldChar w:fldCharType="end"/>
                </w:r>
                <w:r>
                  <w:rPr>
                    <w:rFonts w:hint="eastAsia"/>
                  </w:rPr>
                  <w:t xml:space="preserve"> 页</w:t>
                </w:r>
              </w:p>
            </w:txbxContent>
          </v:textbox>
          <w10:wrap anchorx="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8" type="#_x0000_t202" style="width:2in;height:2in;margin-top:0;margin-left:0;mso-height-relative:page;mso-position-horizontal:right;mso-position-horizontal-relative:margin;mso-width-relative:page;mso-wrap-style:none;position:absolute;z-index:25166233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33</w:t>
                </w:r>
                <w:r>
                  <w:fldChar w:fldCharType="end"/>
                </w:r>
                <w:r>
                  <w:rPr>
                    <w:rFonts w:hint="eastAsia"/>
                  </w:rPr>
                  <w:t xml:space="preserve"> 页</w:t>
                </w:r>
              </w:p>
            </w:txbxContent>
          </v:textbox>
          <w10:wrap anchorx="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0" type="#_x0000_t202" style="width:2in;height:2in;margin-top:0;margin-left:0;mso-height-relative:page;mso-position-horizontal:right;mso-position-horizontal-relative:margin;mso-width-relative:page;mso-wrap-style:none;position:absolute;z-index:25166336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33</w:t>
                </w:r>
                <w:r>
                  <w:fldChar w:fldCharType="end"/>
                </w:r>
                <w:r>
                  <w:rPr>
                    <w:rFonts w:hint="eastAsia"/>
                  </w:rPr>
                  <w:t xml:space="preserve"> 页</w:t>
                </w:r>
              </w:p>
            </w:txbxContent>
          </v:textbox>
          <w10:wrap anchorx="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2" type="#_x0000_t202" style="width:2in;height:2in;margin-top:0;margin-left:0;mso-height-relative:page;mso-position-horizontal:right;mso-position-horizontal-relative:margin;mso-width-relative:page;mso-wrap-style:none;position:absolute;z-index:25166438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33</w:t>
                </w:r>
                <w:r>
                  <w:fldChar w:fldCharType="end"/>
                </w:r>
                <w:r>
                  <w:rPr>
                    <w:rFonts w:hint="eastAsia"/>
                  </w:rPr>
                  <w:t xml:space="preserve"> 页</w:t>
                </w:r>
              </w:p>
            </w:txbxContent>
          </v:textbox>
          <w10:wrap anchorx="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4" type="#_x0000_t202" style="width:2in;height:2in;margin-top:0;margin-left:0;mso-height-relative:page;mso-position-horizontal:right;mso-position-horizontal-relative:margin;mso-width-relative:page;mso-wrap-style:none;position:absolute;z-index:25166540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33</w:t>
                </w:r>
                <w:r>
                  <w:fldChar w:fldCharType="end"/>
                </w:r>
                <w:r>
                  <w:rPr>
                    <w:rFonts w:hint="eastAsia"/>
                  </w:rPr>
                  <w:t xml:space="preserve"> 页</w:t>
                </w:r>
              </w:p>
            </w:txbxContent>
          </v:textbox>
          <w10:wrap anchorx="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6" type="#_x0000_t202" style="width:2in;height:2in;margin-top:0;margin-left:0;mso-height-relative:page;mso-position-horizontal:right;mso-position-horizontal-relative:margin;mso-width-relative:page;mso-wrap-style:none;position:absolute;z-index:25166643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33</w:t>
                </w:r>
                <w:r>
                  <w:fldChar w:fldCharType="end"/>
                </w:r>
                <w:r>
                  <w:rPr>
                    <w:rFonts w:hint="eastAsia"/>
                  </w:rPr>
                  <w:t xml:space="preserve"> 页</w:t>
                </w:r>
              </w:p>
            </w:txbxContent>
          </v:textbox>
          <w10:wrap anchorx="margin"/>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8" type="#_x0000_t202" style="width:2in;height:2in;margin-top:0;margin-left:0;mso-height-relative:page;mso-position-horizontal:right;mso-position-horizontal-relative:margin;mso-width-relative:page;mso-wrap-style:none;position:absolute;z-index:25166745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33</w:t>
                </w:r>
                <w:r>
                  <w:fldChar w:fldCharType="end"/>
                </w:r>
                <w:r>
                  <w:rPr>
                    <w:rFonts w:hint="eastAsia"/>
                  </w:rPr>
                  <w:t xml:space="preserve"> 页</w:t>
                </w:r>
              </w:p>
            </w:txbxContent>
          </v:textbox>
          <w10:wrap anchorx="margin"/>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0" type="#_x0000_t202" style="width:2in;height:2in;margin-top:0;margin-left:0;mso-height-relative:page;mso-position-horizontal:right;mso-position-horizontal-relative:margin;mso-width-relative:page;mso-wrap-style:none;position:absolute;z-index:25166848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33</w:t>
                </w:r>
                <w:r>
                  <w:fldChar w:fldCharType="end"/>
                </w:r>
                <w:r>
                  <w:rPr>
                    <w:rFonts w:hint="eastAsia"/>
                  </w:rPr>
                  <w:t xml:space="preserve"> 页</w:t>
                </w:r>
              </w:p>
            </w:txbxContent>
          </v:textbox>
          <w10:wrap anchorx="margin"/>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2" type="#_x0000_t202" style="width:2in;height:2in;margin-top:0;margin-left:0;mso-height-relative:page;mso-position-horizontal:right;mso-position-horizontal-relative:margin;mso-width-relative:page;mso-wrap-style:none;position:absolute;z-index:25166950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33</w:t>
                </w:r>
                <w:r>
                  <w:fldChar w:fldCharType="end"/>
                </w:r>
                <w:r>
                  <w:rPr>
                    <w:rFonts w:hint="eastAsia"/>
                  </w:rPr>
                  <w:t xml:space="preserve"> 页</w:t>
                </w:r>
              </w:p>
            </w:txbxContent>
          </v:textbox>
          <w10:wrap anchorx="margin"/>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4" type="#_x0000_t202" style="width:2in;height:2in;margin-top:0;margin-left:0;mso-height-relative:page;mso-position-horizontal:right;mso-position-horizontal-relative:margin;mso-width-relative:page;mso-wrap-style:none;position:absolute;z-index:25167052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33</w:t>
                </w:r>
                <w:r>
                  <w:fldChar w:fldCharType="end"/>
                </w:r>
                <w:r>
                  <w:rPr>
                    <w:rFonts w:hint="eastAsia"/>
                  </w:rPr>
                  <w:t xml:space="preserve"> 页</w:t>
                </w:r>
              </w:p>
            </w:txbxContent>
          </v:textbox>
          <w10:wrap anchorx="margin"/>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6" type="#_x0000_t202" style="width:2in;height:2in;margin-top:0;margin-left:0;mso-height-relative:page;mso-position-horizontal:right;mso-position-horizontal-relative:margin;mso-width-relative:page;mso-wrap-style:none;position:absolute;z-index:25167155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33</w:t>
                </w:r>
                <w:r>
                  <w:fldChar w:fldCharType="end"/>
                </w:r>
                <w:r>
                  <w:rPr>
                    <w:rFonts w:hint="eastAsia"/>
                  </w:rPr>
                  <w:t xml:space="preserve"> 页</w:t>
                </w:r>
              </w:p>
            </w:txbxContent>
          </v:textbox>
          <w10:wrap anchorx="margin"/>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8" type="#_x0000_t202" style="width:2in;height:2in;margin-top:0;margin-left:0;mso-height-relative:page;mso-position-horizontal:right;mso-position-horizontal-relative:margin;mso-width-relative:page;mso-wrap-style:none;position:absolute;z-index:25167257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33</w:t>
                </w:r>
                <w:r>
                  <w:fldChar w:fldCharType="end"/>
                </w:r>
                <w:r>
                  <w:rPr>
                    <w:rFonts w:hint="eastAsia"/>
                  </w:rPr>
                  <w:t xml:space="preserve"> 页</w:t>
                </w:r>
              </w:p>
            </w:txbxContent>
          </v:textbox>
          <w10:wrap anchorx="margin"/>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0" type="#_x0000_t202" style="width:2in;height:2in;margin-top:0;margin-left:0;mso-height-relative:page;mso-position-horizontal:right;mso-position-horizontal-relative:margin;mso-width-relative:page;mso-wrap-style:none;position:absolute;z-index:25167360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33</w:t>
                </w:r>
                <w:r>
                  <w:fldChar w:fldCharType="end"/>
                </w:r>
                <w:r>
                  <w:rPr>
                    <w:rFonts w:hint="eastAsia"/>
                  </w:rPr>
                  <w:t xml:space="preserve"> 页</w:t>
                </w:r>
              </w:p>
            </w:txbxContent>
          </v:textbox>
          <w10:wrap anchorx="margin"/>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2" type="#_x0000_t202" style="width:2in;height:2in;margin-top:0;margin-left:0;mso-height-relative:page;mso-position-horizontal:right;mso-position-horizontal-relative:margin;mso-width-relative:page;mso-wrap-style:none;position:absolute;z-index:25167462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33</w:t>
                </w:r>
                <w:r>
                  <w:fldChar w:fldCharType="end"/>
                </w:r>
                <w:r>
                  <w:rPr>
                    <w:rFonts w:hint="eastAsia"/>
                  </w:rPr>
                  <w:t xml:space="preserve"> 页</w:t>
                </w:r>
              </w:p>
            </w:txbxContent>
          </v:textbox>
          <w10:wrap anchorx="margin"/>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4" type="#_x0000_t202" style="width:2in;height:2in;margin-top:0;margin-left:0;mso-height-relative:page;mso-position-horizontal:right;mso-position-horizontal-relative:margin;mso-width-relative:page;mso-wrap-style:none;position:absolute;z-index:25167564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33</w:t>
                </w:r>
                <w:r>
                  <w:fldChar w:fldCharType="end"/>
                </w:r>
                <w:r>
                  <w:rPr>
                    <w:rFonts w:hint="eastAsia"/>
                  </w:rPr>
                  <w:t xml:space="preserve"> 页</w:t>
                </w:r>
              </w:p>
            </w:txbxContent>
          </v:textbox>
          <w10:wrap anchorx="margin"/>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6" type="#_x0000_t202" style="width:2in;height:2in;margin-top:0;margin-left:0;mso-height-relative:page;mso-position-horizontal:right;mso-position-horizontal-relative:margin;mso-width-relative:page;mso-wrap-style:none;position:absolute;z-index:25167667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33</w:t>
                </w:r>
                <w:r>
                  <w:fldChar w:fldCharType="end"/>
                </w:r>
                <w:r>
                  <w:rPr>
                    <w:rFonts w:hint="eastAsia"/>
                  </w:rPr>
                  <w:t xml:space="preserve"> 页</w:t>
                </w:r>
              </w:p>
            </w:txbxContent>
          </v:textbox>
          <w10:wrap anchorx="margin"/>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8" type="#_x0000_t202" style="width:2in;height:2in;margin-top:0;margin-left:0;mso-height-relative:page;mso-position-horizontal:right;mso-position-horizontal-relative:margin;mso-width-relative:page;mso-wrap-style:none;position:absolute;z-index:25167769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33</w:t>
                </w:r>
                <w:r>
                  <w:fldChar w:fldCharType="end"/>
                </w:r>
                <w:r>
                  <w:rPr>
                    <w:rFonts w:hint="eastAsia"/>
                  </w:rPr>
                  <w:t xml:space="preserve"> 页</w:t>
                </w:r>
              </w:p>
            </w:txbxContent>
          </v:textbox>
          <w10:wrap anchorx="margin"/>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0" type="#_x0000_t202" style="width:2in;height:2in;margin-top:0;margin-left:0;mso-height-relative:page;mso-position-horizontal:right;mso-position-horizontal-relative:margin;mso-width-relative:page;mso-wrap-style:none;position:absolute;z-index:25167872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33</w:t>
                </w:r>
                <w:r>
                  <w:fldChar w:fldCharType="end"/>
                </w:r>
                <w:r>
                  <w:rPr>
                    <w:rFonts w:hint="eastAsia"/>
                  </w:rPr>
                  <w:t xml:space="preserve"> 页</w:t>
                </w:r>
              </w:p>
            </w:txbxContent>
          </v:textbox>
          <w10:wrap anchorx="margin"/>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2" type="#_x0000_t202" style="width:2in;height:2in;margin-top:0;margin-left:0;mso-height-relative:page;mso-position-horizontal:right;mso-position-horizontal-relative:margin;mso-width-relative:page;mso-wrap-style:none;position:absolute;z-index:25167974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33</w:t>
                </w:r>
                <w:r>
                  <w:fldChar w:fldCharType="end"/>
                </w:r>
                <w:r>
                  <w:rPr>
                    <w:rFonts w:hint="eastAsia"/>
                  </w:rPr>
                  <w:t xml:space="preserve"> 页</w:t>
                </w:r>
              </w:p>
            </w:txbxContent>
          </v:textbox>
          <w10:wrap anchorx="margin"/>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4" type="#_x0000_t202" style="width:2in;height:2in;margin-top:0;margin-left:0;mso-height-relative:page;mso-position-horizontal:right;mso-position-horizontal-relative:margin;mso-width-relative:page;mso-wrap-style:none;position:absolute;z-index:25168076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33</w:t>
                </w:r>
                <w:r>
                  <w:fldChar w:fldCharType="end"/>
                </w:r>
                <w:r>
                  <w:rPr>
                    <w:rFonts w:hint="eastAsia"/>
                  </w:rPr>
                  <w:t xml:space="preserve"> 页</w:t>
                </w:r>
              </w:p>
            </w:txbxContent>
          </v:textbox>
          <w10:wrap anchorx="margin"/>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6" type="#_x0000_t202" style="width:2in;height:2in;margin-top:0;margin-left:0;mso-height-relative:page;mso-position-horizontal:right;mso-position-horizontal-relative:margin;mso-width-relative:page;mso-wrap-style:none;position:absolute;z-index:25168179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33</w:t>
                </w:r>
                <w:r>
                  <w:fldChar w:fldCharType="end"/>
                </w:r>
                <w:r>
                  <w:rPr>
                    <w:rFonts w:hint="eastAsia"/>
                  </w:rPr>
                  <w:t xml:space="preserve"> 页</w:t>
                </w:r>
              </w:p>
            </w:txbxContent>
          </v:textbox>
          <w10:wrap anchorx="margin"/>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8" type="#_x0000_t202" style="width:2in;height:2in;margin-top:0;margin-left:0;mso-height-relative:page;mso-position-horizontal:right;mso-position-horizontal-relative:margin;mso-width-relative:page;mso-wrap-style:none;position:absolute;z-index:25168281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33</w:t>
                </w:r>
                <w:r>
                  <w:fldChar w:fldCharType="end"/>
                </w:r>
                <w:r>
                  <w:rPr>
                    <w:rFonts w:hint="eastAsia"/>
                  </w:rPr>
                  <w:t xml:space="preserve"> 页</w:t>
                </w:r>
              </w:p>
            </w:txbxContent>
          </v:textbox>
          <w10:wrap anchorx="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4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824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721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619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516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414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312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209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107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10</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004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10</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902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800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697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13</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595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492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390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288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185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083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980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20</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878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776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673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23</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571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468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33</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366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7F5F37"/>
    <w:multiLevelType w:val="multilevel"/>
    <w:tmpl w:val="027F5F37"/>
    <w:lvl w:ilvl="0">
      <w:start w:val="1"/>
      <w:numFmt w:val="decimal"/>
      <w:lvlText w:val="%1)"/>
      <w:lvlJc w:val="left"/>
      <w:pPr>
        <w:tabs>
          <w:tab w:val="left" w:pos="1059"/>
        </w:tabs>
        <w:ind w:left="1059" w:hanging="420"/>
      </w:pPr>
    </w:lvl>
    <w:lvl w:ilvl="1">
      <w:start w:val="1"/>
      <w:numFmt w:val="lowerLetter"/>
      <w:lvlText w:val="%2)"/>
      <w:lvlJc w:val="left"/>
      <w:pPr>
        <w:tabs>
          <w:tab w:val="left" w:pos="1479"/>
        </w:tabs>
        <w:ind w:left="1479" w:hanging="420"/>
      </w:pPr>
    </w:lvl>
    <w:lvl w:ilvl="2">
      <w:start w:val="1"/>
      <w:numFmt w:val="lowerRoman"/>
      <w:lvlText w:val="%3."/>
      <w:lvlJc w:val="right"/>
      <w:pPr>
        <w:tabs>
          <w:tab w:val="left" w:pos="1899"/>
        </w:tabs>
        <w:ind w:left="1899" w:hanging="420"/>
      </w:pPr>
    </w:lvl>
    <w:lvl w:ilvl="3">
      <w:start w:val="1"/>
      <w:numFmt w:val="decimal"/>
      <w:lvlText w:val="%4."/>
      <w:lvlJc w:val="left"/>
      <w:pPr>
        <w:tabs>
          <w:tab w:val="left" w:pos="2319"/>
        </w:tabs>
        <w:ind w:left="2319" w:hanging="420"/>
      </w:pPr>
    </w:lvl>
    <w:lvl w:ilvl="4">
      <w:start w:val="1"/>
      <w:numFmt w:val="lowerLetter"/>
      <w:lvlText w:val="%5)"/>
      <w:lvlJc w:val="left"/>
      <w:pPr>
        <w:tabs>
          <w:tab w:val="left" w:pos="2739"/>
        </w:tabs>
        <w:ind w:left="2739" w:hanging="420"/>
      </w:pPr>
    </w:lvl>
    <w:lvl w:ilvl="5">
      <w:start w:val="1"/>
      <w:numFmt w:val="lowerRoman"/>
      <w:lvlText w:val="%6."/>
      <w:lvlJc w:val="right"/>
      <w:pPr>
        <w:tabs>
          <w:tab w:val="left" w:pos="3159"/>
        </w:tabs>
        <w:ind w:left="3159" w:hanging="420"/>
      </w:pPr>
    </w:lvl>
    <w:lvl w:ilvl="6">
      <w:start w:val="1"/>
      <w:numFmt w:val="decimal"/>
      <w:lvlText w:val="%7."/>
      <w:lvlJc w:val="left"/>
      <w:pPr>
        <w:tabs>
          <w:tab w:val="left" w:pos="3579"/>
        </w:tabs>
        <w:ind w:left="3579" w:hanging="420"/>
      </w:pPr>
    </w:lvl>
    <w:lvl w:ilvl="7">
      <w:start w:val="1"/>
      <w:numFmt w:val="lowerLetter"/>
      <w:lvlText w:val="%8)"/>
      <w:lvlJc w:val="left"/>
      <w:pPr>
        <w:tabs>
          <w:tab w:val="left" w:pos="3999"/>
        </w:tabs>
        <w:ind w:left="3999" w:hanging="420"/>
      </w:pPr>
    </w:lvl>
    <w:lvl w:ilvl="8">
      <w:start w:val="1"/>
      <w:numFmt w:val="lowerRoman"/>
      <w:lvlText w:val="%9."/>
      <w:lvlJc w:val="right"/>
      <w:pPr>
        <w:tabs>
          <w:tab w:val="left" w:pos="4419"/>
        </w:tabs>
        <w:ind w:left="4419" w:hanging="420"/>
      </w:pPr>
    </w:lvl>
  </w:abstractNum>
  <w:abstractNum w:abstractNumId="1">
    <w:nsid w:val="03BD233A"/>
    <w:multiLevelType w:val="multilevel"/>
    <w:tmpl w:val="03BD233A"/>
    <w:lvl w:ilvl="0">
      <w:start w:val="1"/>
      <w:numFmt w:val="upperLetter"/>
      <w:lvlText w:val="%1."/>
      <w:lvlJc w:val="left"/>
      <w:pPr>
        <w:tabs>
          <w:tab w:val="left" w:pos="1200"/>
        </w:tabs>
        <w:ind w:left="1200" w:hanging="420"/>
      </w:pPr>
    </w:lvl>
    <w:lvl w:ilvl="1">
      <w:start w:val="1"/>
      <w:numFmt w:val="lowerLetter"/>
      <w:lvlText w:val="%2)"/>
      <w:lvlJc w:val="left"/>
      <w:pPr>
        <w:tabs>
          <w:tab w:val="left" w:pos="1620"/>
        </w:tabs>
        <w:ind w:left="1620" w:hanging="420"/>
      </w:pPr>
    </w:lvl>
    <w:lvl w:ilvl="2">
      <w:start w:val="1"/>
      <w:numFmt w:val="lowerRoman"/>
      <w:lvlText w:val="%3."/>
      <w:lvlJc w:val="right"/>
      <w:pPr>
        <w:tabs>
          <w:tab w:val="left" w:pos="2040"/>
        </w:tabs>
        <w:ind w:left="2040" w:hanging="420"/>
      </w:pPr>
    </w:lvl>
    <w:lvl w:ilvl="3">
      <w:start w:val="1"/>
      <w:numFmt w:val="decimal"/>
      <w:lvlText w:val="%4."/>
      <w:lvlJc w:val="left"/>
      <w:pPr>
        <w:tabs>
          <w:tab w:val="left" w:pos="2460"/>
        </w:tabs>
        <w:ind w:left="2460" w:hanging="420"/>
      </w:pPr>
    </w:lvl>
    <w:lvl w:ilvl="4">
      <w:start w:val="1"/>
      <w:numFmt w:val="lowerLetter"/>
      <w:lvlText w:val="%5)"/>
      <w:lvlJc w:val="left"/>
      <w:pPr>
        <w:tabs>
          <w:tab w:val="left" w:pos="2880"/>
        </w:tabs>
        <w:ind w:left="2880" w:hanging="420"/>
      </w:pPr>
    </w:lvl>
    <w:lvl w:ilvl="5">
      <w:start w:val="1"/>
      <w:numFmt w:val="lowerRoman"/>
      <w:lvlText w:val="%6."/>
      <w:lvlJc w:val="right"/>
      <w:pPr>
        <w:tabs>
          <w:tab w:val="left" w:pos="3300"/>
        </w:tabs>
        <w:ind w:left="3300" w:hanging="420"/>
      </w:pPr>
    </w:lvl>
    <w:lvl w:ilvl="6">
      <w:start w:val="1"/>
      <w:numFmt w:val="decimal"/>
      <w:lvlText w:val="%7."/>
      <w:lvlJc w:val="left"/>
      <w:pPr>
        <w:tabs>
          <w:tab w:val="left" w:pos="3720"/>
        </w:tabs>
        <w:ind w:left="3720" w:hanging="420"/>
      </w:pPr>
    </w:lvl>
    <w:lvl w:ilvl="7">
      <w:start w:val="1"/>
      <w:numFmt w:val="lowerLetter"/>
      <w:lvlText w:val="%8)"/>
      <w:lvlJc w:val="left"/>
      <w:pPr>
        <w:tabs>
          <w:tab w:val="left" w:pos="4140"/>
        </w:tabs>
        <w:ind w:left="4140" w:hanging="420"/>
      </w:pPr>
    </w:lvl>
    <w:lvl w:ilvl="8">
      <w:start w:val="1"/>
      <w:numFmt w:val="lowerRoman"/>
      <w:lvlText w:val="%9."/>
      <w:lvlJc w:val="right"/>
      <w:pPr>
        <w:tabs>
          <w:tab w:val="left" w:pos="4560"/>
        </w:tabs>
        <w:ind w:left="4560" w:hanging="420"/>
      </w:pPr>
    </w:lvl>
  </w:abstractNum>
  <w:abstractNum w:abstractNumId="2">
    <w:nsid w:val="0B9646E9"/>
    <w:multiLevelType w:val="multilevel"/>
    <w:tmpl w:val="343522BC"/>
    <w:lvl w:ilvl="0">
      <w:start w:val="1"/>
      <w:numFmt w:val="decimalFullWidth"/>
      <w:lvlText w:val="%1）"/>
      <w:lvlJc w:val="left"/>
      <w:pPr>
        <w:tabs>
          <w:tab w:val="left" w:pos="1420"/>
        </w:tabs>
        <w:ind w:left="1420" w:hanging="720"/>
      </w:pPr>
      <w:rPr>
        <w:rFonts w:hint="eastAsia"/>
      </w:rPr>
    </w:lvl>
    <w:lvl w:ilvl="1">
      <w:start w:val="1"/>
      <w:numFmt w:val="lowerLetter"/>
      <w:lvlText w:val="%2)"/>
      <w:lvlJc w:val="left"/>
      <w:pPr>
        <w:tabs>
          <w:tab w:val="left" w:pos="1540"/>
        </w:tabs>
        <w:ind w:left="1540" w:hanging="420"/>
      </w:pPr>
    </w:lvl>
    <w:lvl w:ilvl="2">
      <w:start w:val="1"/>
      <w:numFmt w:val="lowerRoman"/>
      <w:lvlText w:val="%3."/>
      <w:lvlJc w:val="right"/>
      <w:pPr>
        <w:tabs>
          <w:tab w:val="left" w:pos="1960"/>
        </w:tabs>
        <w:ind w:left="1960" w:hanging="420"/>
      </w:pPr>
    </w:lvl>
    <w:lvl w:ilvl="3">
      <w:start w:val="1"/>
      <w:numFmt w:val="decimal"/>
      <w:lvlText w:val="%4."/>
      <w:lvlJc w:val="left"/>
      <w:pPr>
        <w:tabs>
          <w:tab w:val="left" w:pos="2380"/>
        </w:tabs>
        <w:ind w:left="2380" w:hanging="420"/>
      </w:pPr>
    </w:lvl>
    <w:lvl w:ilvl="4">
      <w:start w:val="1"/>
      <w:numFmt w:val="lowerLetter"/>
      <w:lvlText w:val="%5)"/>
      <w:lvlJc w:val="left"/>
      <w:pPr>
        <w:tabs>
          <w:tab w:val="left" w:pos="2800"/>
        </w:tabs>
        <w:ind w:left="2800" w:hanging="420"/>
      </w:pPr>
    </w:lvl>
    <w:lvl w:ilvl="5">
      <w:start w:val="1"/>
      <w:numFmt w:val="lowerRoman"/>
      <w:lvlText w:val="%6."/>
      <w:lvlJc w:val="right"/>
      <w:pPr>
        <w:tabs>
          <w:tab w:val="left" w:pos="3220"/>
        </w:tabs>
        <w:ind w:left="3220" w:hanging="420"/>
      </w:pPr>
    </w:lvl>
    <w:lvl w:ilvl="6">
      <w:start w:val="1"/>
      <w:numFmt w:val="decimal"/>
      <w:lvlText w:val="%7."/>
      <w:lvlJc w:val="left"/>
      <w:pPr>
        <w:tabs>
          <w:tab w:val="left" w:pos="3640"/>
        </w:tabs>
        <w:ind w:left="3640" w:hanging="420"/>
      </w:pPr>
    </w:lvl>
    <w:lvl w:ilvl="7">
      <w:start w:val="1"/>
      <w:numFmt w:val="lowerLetter"/>
      <w:lvlText w:val="%8)"/>
      <w:lvlJc w:val="left"/>
      <w:pPr>
        <w:tabs>
          <w:tab w:val="left" w:pos="4060"/>
        </w:tabs>
        <w:ind w:left="4060" w:hanging="420"/>
      </w:pPr>
    </w:lvl>
    <w:lvl w:ilvl="8">
      <w:start w:val="1"/>
      <w:numFmt w:val="lowerRoman"/>
      <w:lvlText w:val="%9."/>
      <w:lvlJc w:val="right"/>
      <w:pPr>
        <w:tabs>
          <w:tab w:val="left" w:pos="4480"/>
        </w:tabs>
        <w:ind w:left="4480" w:hanging="420"/>
      </w:pPr>
    </w:lvl>
  </w:abstractNum>
  <w:abstractNum w:abstractNumId="3">
    <w:nsid w:val="123A6C35"/>
    <w:multiLevelType w:val="multilevel"/>
    <w:tmpl w:val="123A6C35"/>
    <w:lvl w:ilvl="0">
      <w:start w:val="1"/>
      <w:numFmt w:val="decimal"/>
      <w:lvlText w:val="%1)"/>
      <w:lvlJc w:val="left"/>
      <w:pPr>
        <w:tabs>
          <w:tab w:val="left" w:pos="979"/>
        </w:tabs>
        <w:ind w:left="979" w:hanging="420"/>
      </w:pPr>
    </w:lvl>
    <w:lvl w:ilvl="1">
      <w:start w:val="1"/>
      <w:numFmt w:val="lowerLetter"/>
      <w:lvlText w:val="%2)"/>
      <w:lvlJc w:val="left"/>
      <w:pPr>
        <w:tabs>
          <w:tab w:val="left" w:pos="1399"/>
        </w:tabs>
        <w:ind w:left="1399" w:hanging="420"/>
      </w:pPr>
    </w:lvl>
    <w:lvl w:ilvl="2">
      <w:start w:val="1"/>
      <w:numFmt w:val="lowerRoman"/>
      <w:lvlText w:val="%3."/>
      <w:lvlJc w:val="right"/>
      <w:pPr>
        <w:tabs>
          <w:tab w:val="left" w:pos="1819"/>
        </w:tabs>
        <w:ind w:left="1819" w:hanging="420"/>
      </w:pPr>
    </w:lvl>
    <w:lvl w:ilvl="3">
      <w:start w:val="1"/>
      <w:numFmt w:val="decimal"/>
      <w:lvlText w:val="%4."/>
      <w:lvlJc w:val="left"/>
      <w:pPr>
        <w:tabs>
          <w:tab w:val="left" w:pos="2239"/>
        </w:tabs>
        <w:ind w:left="2239" w:hanging="420"/>
      </w:pPr>
    </w:lvl>
    <w:lvl w:ilvl="4">
      <w:start w:val="1"/>
      <w:numFmt w:val="lowerLetter"/>
      <w:lvlText w:val="%5)"/>
      <w:lvlJc w:val="left"/>
      <w:pPr>
        <w:tabs>
          <w:tab w:val="left" w:pos="2659"/>
        </w:tabs>
        <w:ind w:left="2659" w:hanging="420"/>
      </w:pPr>
    </w:lvl>
    <w:lvl w:ilvl="5">
      <w:start w:val="1"/>
      <w:numFmt w:val="lowerRoman"/>
      <w:lvlText w:val="%6."/>
      <w:lvlJc w:val="right"/>
      <w:pPr>
        <w:tabs>
          <w:tab w:val="left" w:pos="3079"/>
        </w:tabs>
        <w:ind w:left="3079" w:hanging="420"/>
      </w:pPr>
    </w:lvl>
    <w:lvl w:ilvl="6">
      <w:start w:val="1"/>
      <w:numFmt w:val="decimal"/>
      <w:lvlText w:val="%7."/>
      <w:lvlJc w:val="left"/>
      <w:pPr>
        <w:tabs>
          <w:tab w:val="left" w:pos="3499"/>
        </w:tabs>
        <w:ind w:left="3499" w:hanging="420"/>
      </w:pPr>
    </w:lvl>
    <w:lvl w:ilvl="7">
      <w:start w:val="1"/>
      <w:numFmt w:val="lowerLetter"/>
      <w:lvlText w:val="%8)"/>
      <w:lvlJc w:val="left"/>
      <w:pPr>
        <w:tabs>
          <w:tab w:val="left" w:pos="3919"/>
        </w:tabs>
        <w:ind w:left="3919" w:hanging="420"/>
      </w:pPr>
    </w:lvl>
    <w:lvl w:ilvl="8">
      <w:start w:val="1"/>
      <w:numFmt w:val="lowerRoman"/>
      <w:lvlText w:val="%9."/>
      <w:lvlJc w:val="right"/>
      <w:pPr>
        <w:tabs>
          <w:tab w:val="left" w:pos="4339"/>
        </w:tabs>
        <w:ind w:left="4339" w:hanging="420"/>
      </w:pPr>
    </w:lvl>
  </w:abstractNum>
  <w:abstractNum w:abstractNumId="4">
    <w:nsid w:val="15056D32"/>
    <w:multiLevelType w:val="multilevel"/>
    <w:tmpl w:val="442B5C20"/>
    <w:lvl w:ilvl="0">
      <w:start w:val="1"/>
      <w:numFmt w:val="decimal"/>
      <w:lvlText w:val="%1)"/>
      <w:lvlJc w:val="left"/>
      <w:pPr>
        <w:tabs>
          <w:tab w:val="left" w:pos="780"/>
        </w:tabs>
        <w:ind w:left="780" w:hanging="420"/>
      </w:pPr>
    </w:lvl>
    <w:lvl w:ilvl="1">
      <w:start w:val="1"/>
      <w:numFmt w:val="lowerLetter"/>
      <w:lvlText w:val="%2)"/>
      <w:lvlJc w:val="left"/>
      <w:pPr>
        <w:tabs>
          <w:tab w:val="left" w:pos="1200"/>
        </w:tabs>
        <w:ind w:left="1200" w:hanging="420"/>
      </w:pPr>
    </w:lvl>
    <w:lvl w:ilvl="2">
      <w:start w:val="1"/>
      <w:numFmt w:val="lowerRoman"/>
      <w:lvlText w:val="%3."/>
      <w:lvlJc w:val="right"/>
      <w:pPr>
        <w:tabs>
          <w:tab w:val="left" w:pos="1620"/>
        </w:tabs>
        <w:ind w:left="1620" w:hanging="420"/>
      </w:pPr>
    </w:lvl>
    <w:lvl w:ilvl="3">
      <w:start w:val="1"/>
      <w:numFmt w:val="decimal"/>
      <w:lvlText w:val="%4."/>
      <w:lvlJc w:val="left"/>
      <w:pPr>
        <w:tabs>
          <w:tab w:val="left" w:pos="2040"/>
        </w:tabs>
        <w:ind w:left="2040" w:hanging="420"/>
      </w:pPr>
    </w:lvl>
    <w:lvl w:ilvl="4">
      <w:start w:val="1"/>
      <w:numFmt w:val="lowerLetter"/>
      <w:lvlText w:val="%5)"/>
      <w:lvlJc w:val="left"/>
      <w:pPr>
        <w:tabs>
          <w:tab w:val="left" w:pos="2460"/>
        </w:tabs>
        <w:ind w:left="2460" w:hanging="420"/>
      </w:pPr>
    </w:lvl>
    <w:lvl w:ilvl="5">
      <w:start w:val="1"/>
      <w:numFmt w:val="lowerRoman"/>
      <w:lvlText w:val="%6."/>
      <w:lvlJc w:val="right"/>
      <w:pPr>
        <w:tabs>
          <w:tab w:val="left" w:pos="2880"/>
        </w:tabs>
        <w:ind w:left="2880" w:hanging="420"/>
      </w:pPr>
    </w:lvl>
    <w:lvl w:ilvl="6">
      <w:start w:val="1"/>
      <w:numFmt w:val="decimal"/>
      <w:lvlText w:val="%7."/>
      <w:lvlJc w:val="left"/>
      <w:pPr>
        <w:tabs>
          <w:tab w:val="left" w:pos="3300"/>
        </w:tabs>
        <w:ind w:left="3300" w:hanging="420"/>
      </w:pPr>
    </w:lvl>
    <w:lvl w:ilvl="7">
      <w:start w:val="1"/>
      <w:numFmt w:val="lowerLetter"/>
      <w:lvlText w:val="%8)"/>
      <w:lvlJc w:val="left"/>
      <w:pPr>
        <w:tabs>
          <w:tab w:val="left" w:pos="3720"/>
        </w:tabs>
        <w:ind w:left="3720" w:hanging="420"/>
      </w:pPr>
    </w:lvl>
    <w:lvl w:ilvl="8">
      <w:start w:val="1"/>
      <w:numFmt w:val="lowerRoman"/>
      <w:lvlText w:val="%9."/>
      <w:lvlJc w:val="right"/>
      <w:pPr>
        <w:tabs>
          <w:tab w:val="left" w:pos="4140"/>
        </w:tabs>
        <w:ind w:left="4140" w:hanging="420"/>
      </w:pPr>
    </w:lvl>
  </w:abstractNum>
  <w:abstractNum w:abstractNumId="5">
    <w:nsid w:val="16F0386E"/>
    <w:multiLevelType w:val="multilevel"/>
    <w:tmpl w:val="16F0386E"/>
    <w:lvl w:ilvl="0">
      <w:start w:val="1"/>
      <w:numFmt w:val="decimal"/>
      <w:lvlText w:val="%1)"/>
      <w:lvlJc w:val="left"/>
      <w:pPr>
        <w:tabs>
          <w:tab w:val="left" w:pos="979"/>
        </w:tabs>
        <w:ind w:left="979" w:hanging="420"/>
      </w:pPr>
    </w:lvl>
    <w:lvl w:ilvl="1">
      <w:start w:val="1"/>
      <w:numFmt w:val="lowerLetter"/>
      <w:lvlText w:val="%2)"/>
      <w:lvlJc w:val="left"/>
      <w:pPr>
        <w:tabs>
          <w:tab w:val="left" w:pos="1399"/>
        </w:tabs>
        <w:ind w:left="1399" w:hanging="420"/>
      </w:pPr>
    </w:lvl>
    <w:lvl w:ilvl="2">
      <w:start w:val="1"/>
      <w:numFmt w:val="lowerRoman"/>
      <w:lvlText w:val="%3."/>
      <w:lvlJc w:val="right"/>
      <w:pPr>
        <w:tabs>
          <w:tab w:val="left" w:pos="1819"/>
        </w:tabs>
        <w:ind w:left="1819" w:hanging="420"/>
      </w:pPr>
    </w:lvl>
    <w:lvl w:ilvl="3">
      <w:start w:val="1"/>
      <w:numFmt w:val="decimal"/>
      <w:lvlText w:val="%4."/>
      <w:lvlJc w:val="left"/>
      <w:pPr>
        <w:tabs>
          <w:tab w:val="left" w:pos="2239"/>
        </w:tabs>
        <w:ind w:left="2239" w:hanging="420"/>
      </w:pPr>
    </w:lvl>
    <w:lvl w:ilvl="4">
      <w:start w:val="1"/>
      <w:numFmt w:val="lowerLetter"/>
      <w:lvlText w:val="%5)"/>
      <w:lvlJc w:val="left"/>
      <w:pPr>
        <w:tabs>
          <w:tab w:val="left" w:pos="2659"/>
        </w:tabs>
        <w:ind w:left="2659" w:hanging="420"/>
      </w:pPr>
    </w:lvl>
    <w:lvl w:ilvl="5">
      <w:start w:val="1"/>
      <w:numFmt w:val="lowerRoman"/>
      <w:lvlText w:val="%6."/>
      <w:lvlJc w:val="right"/>
      <w:pPr>
        <w:tabs>
          <w:tab w:val="left" w:pos="3079"/>
        </w:tabs>
        <w:ind w:left="3079" w:hanging="420"/>
      </w:pPr>
    </w:lvl>
    <w:lvl w:ilvl="6">
      <w:start w:val="1"/>
      <w:numFmt w:val="decimal"/>
      <w:lvlText w:val="%7."/>
      <w:lvlJc w:val="left"/>
      <w:pPr>
        <w:tabs>
          <w:tab w:val="left" w:pos="3499"/>
        </w:tabs>
        <w:ind w:left="3499" w:hanging="420"/>
      </w:pPr>
    </w:lvl>
    <w:lvl w:ilvl="7">
      <w:start w:val="1"/>
      <w:numFmt w:val="lowerLetter"/>
      <w:lvlText w:val="%8)"/>
      <w:lvlJc w:val="left"/>
      <w:pPr>
        <w:tabs>
          <w:tab w:val="left" w:pos="3919"/>
        </w:tabs>
        <w:ind w:left="3919" w:hanging="420"/>
      </w:pPr>
    </w:lvl>
    <w:lvl w:ilvl="8">
      <w:start w:val="1"/>
      <w:numFmt w:val="lowerRoman"/>
      <w:lvlText w:val="%9."/>
      <w:lvlJc w:val="right"/>
      <w:pPr>
        <w:tabs>
          <w:tab w:val="left" w:pos="4339"/>
        </w:tabs>
        <w:ind w:left="4339" w:hanging="420"/>
      </w:pPr>
    </w:lvl>
  </w:abstractNum>
  <w:abstractNum w:abstractNumId="6">
    <w:nsid w:val="17C92476"/>
    <w:multiLevelType w:val="multilevel"/>
    <w:tmpl w:val="17C92476"/>
    <w:lvl w:ilvl="0">
      <w:start w:val="1"/>
      <w:numFmt w:val="decimal"/>
      <w:lvlText w:val="%1)"/>
      <w:lvlJc w:val="left"/>
      <w:pPr>
        <w:tabs>
          <w:tab w:val="left" w:pos="960"/>
        </w:tabs>
        <w:ind w:left="960" w:hanging="420"/>
      </w:pPr>
    </w:lvl>
    <w:lvl w:ilvl="1">
      <w:start w:val="1"/>
      <w:numFmt w:val="lowerLetter"/>
      <w:lvlText w:val="%2)"/>
      <w:lvlJc w:val="left"/>
      <w:pPr>
        <w:tabs>
          <w:tab w:val="left" w:pos="1380"/>
        </w:tabs>
        <w:ind w:left="1380" w:hanging="420"/>
      </w:pPr>
    </w:lvl>
    <w:lvl w:ilvl="2">
      <w:start w:val="1"/>
      <w:numFmt w:val="lowerRoman"/>
      <w:lvlText w:val="%3."/>
      <w:lvlJc w:val="right"/>
      <w:pPr>
        <w:tabs>
          <w:tab w:val="left" w:pos="1800"/>
        </w:tabs>
        <w:ind w:left="1800" w:hanging="420"/>
      </w:pPr>
    </w:lvl>
    <w:lvl w:ilvl="3">
      <w:start w:val="1"/>
      <w:numFmt w:val="decimal"/>
      <w:lvlText w:val="%4."/>
      <w:lvlJc w:val="left"/>
      <w:pPr>
        <w:tabs>
          <w:tab w:val="left" w:pos="2220"/>
        </w:tabs>
        <w:ind w:left="2220" w:hanging="420"/>
      </w:pPr>
    </w:lvl>
    <w:lvl w:ilvl="4">
      <w:start w:val="1"/>
      <w:numFmt w:val="lowerLetter"/>
      <w:lvlText w:val="%5)"/>
      <w:lvlJc w:val="left"/>
      <w:pPr>
        <w:tabs>
          <w:tab w:val="left" w:pos="2640"/>
        </w:tabs>
        <w:ind w:left="2640" w:hanging="420"/>
      </w:pPr>
    </w:lvl>
    <w:lvl w:ilvl="5">
      <w:start w:val="1"/>
      <w:numFmt w:val="lowerRoman"/>
      <w:lvlText w:val="%6."/>
      <w:lvlJc w:val="right"/>
      <w:pPr>
        <w:tabs>
          <w:tab w:val="left" w:pos="3060"/>
        </w:tabs>
        <w:ind w:left="3060" w:hanging="420"/>
      </w:pPr>
    </w:lvl>
    <w:lvl w:ilvl="6">
      <w:start w:val="1"/>
      <w:numFmt w:val="decimal"/>
      <w:lvlText w:val="%7."/>
      <w:lvlJc w:val="left"/>
      <w:pPr>
        <w:tabs>
          <w:tab w:val="left" w:pos="3480"/>
        </w:tabs>
        <w:ind w:left="3480" w:hanging="420"/>
      </w:pPr>
    </w:lvl>
    <w:lvl w:ilvl="7">
      <w:start w:val="1"/>
      <w:numFmt w:val="lowerLetter"/>
      <w:lvlText w:val="%8)"/>
      <w:lvlJc w:val="left"/>
      <w:pPr>
        <w:tabs>
          <w:tab w:val="left" w:pos="3900"/>
        </w:tabs>
        <w:ind w:left="3900" w:hanging="420"/>
      </w:pPr>
    </w:lvl>
    <w:lvl w:ilvl="8">
      <w:start w:val="1"/>
      <w:numFmt w:val="lowerRoman"/>
      <w:lvlText w:val="%9."/>
      <w:lvlJc w:val="right"/>
      <w:pPr>
        <w:tabs>
          <w:tab w:val="left" w:pos="4320"/>
        </w:tabs>
        <w:ind w:left="4320" w:hanging="420"/>
      </w:pPr>
    </w:lvl>
  </w:abstractNum>
  <w:abstractNum w:abstractNumId="7">
    <w:nsid w:val="1E141E27"/>
    <w:multiLevelType w:val="multilevel"/>
    <w:tmpl w:val="1E141E27"/>
    <w:lvl w:ilvl="0">
      <w:start w:val="1"/>
      <w:numFmt w:val="japaneseCounting"/>
      <w:lvlText w:val="%1、"/>
      <w:lvlJc w:val="left"/>
      <w:pPr>
        <w:tabs>
          <w:tab w:val="left" w:pos="720"/>
        </w:tabs>
        <w:ind w:left="720" w:hanging="720"/>
      </w:pPr>
      <w:rPr>
        <w:rFonts w:hint="eastAsia"/>
      </w:rPr>
    </w:lvl>
    <w:lvl w:ilvl="1">
      <w:start w:val="1"/>
      <w:numFmt w:val="bullet"/>
      <w:lvlText w:val="◇"/>
      <w:lvlJc w:val="left"/>
      <w:pPr>
        <w:tabs>
          <w:tab w:val="left" w:pos="780"/>
        </w:tabs>
        <w:ind w:left="780" w:hanging="360"/>
      </w:pPr>
      <w:rPr>
        <w:rFonts w:ascii="宋体" w:eastAsia="宋体" w:hAnsi="宋体" w:cs="Times New Roman"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nsid w:val="201E6334"/>
    <w:multiLevelType w:val="multilevel"/>
    <w:tmpl w:val="201E6334"/>
    <w:lvl w:ilvl="0">
      <w:start w:val="1"/>
      <w:numFmt w:val="japaneseCounting"/>
      <w:lvlText w:val="%1、"/>
      <w:lvlJc w:val="left"/>
      <w:pPr>
        <w:tabs>
          <w:tab w:val="left" w:pos="480"/>
        </w:tabs>
        <w:ind w:left="480" w:hanging="480"/>
      </w:pPr>
      <w:rPr>
        <w:rFonts w:hint="eastAsia"/>
      </w:rPr>
    </w:lvl>
    <w:lvl w:ilvl="1">
      <w:start w:val="1"/>
      <w:numFmt w:val="bullet"/>
      <w:lvlText w:val=""/>
      <w:lvlJc w:val="left"/>
      <w:pPr>
        <w:tabs>
          <w:tab w:val="left" w:pos="840"/>
        </w:tabs>
        <w:ind w:left="840" w:hanging="420"/>
      </w:pPr>
      <w:rPr>
        <w:rFonts w:ascii="Wingdings" w:hAnsi="Wingding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nsid w:val="23436D7A"/>
    <w:multiLevelType w:val="singleLevel"/>
    <w:tmpl w:val="23436D7A"/>
    <w:lvl w:ilvl="0">
      <w:start w:val="1"/>
      <w:numFmt w:val="decimal"/>
      <w:lvlText w:val="%1）"/>
      <w:lvlJc w:val="left"/>
      <w:pPr>
        <w:tabs>
          <w:tab w:val="left" w:pos="1500"/>
        </w:tabs>
        <w:ind w:left="1500" w:hanging="420"/>
      </w:pPr>
      <w:rPr>
        <w:rFonts w:hint="eastAsia"/>
      </w:rPr>
    </w:lvl>
  </w:abstractNum>
  <w:abstractNum w:abstractNumId="10">
    <w:nsid w:val="263319D6"/>
    <w:multiLevelType w:val="multilevel"/>
    <w:tmpl w:val="263319D6"/>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nsid w:val="26926547"/>
    <w:multiLevelType w:val="multilevel"/>
    <w:tmpl w:val="26926547"/>
    <w:lvl w:ilvl="0">
      <w:start w:val="1"/>
      <w:numFmt w:val="decimal"/>
      <w:lvlText w:val="（%1）"/>
      <w:lvlJc w:val="left"/>
      <w:pPr>
        <w:tabs>
          <w:tab w:val="left" w:pos="1560"/>
        </w:tabs>
        <w:ind w:left="1560" w:hanging="720"/>
      </w:pPr>
      <w:rPr>
        <w:rFonts w:hint="eastAsia"/>
      </w:rPr>
    </w:lvl>
    <w:lvl w:ilvl="1">
      <w:start w:val="1"/>
      <w:numFmt w:val="decimal"/>
      <w:lvlText w:val="（%2）"/>
      <w:lvlJc w:val="left"/>
      <w:pPr>
        <w:tabs>
          <w:tab w:val="left" w:pos="1140"/>
        </w:tabs>
        <w:ind w:left="1140" w:hanging="720"/>
      </w:pPr>
      <w:rPr>
        <w:rFonts w:hint="eastAsia"/>
      </w:rPr>
    </w:lvl>
    <w:lvl w:ilvl="2">
      <w:start w:val="1"/>
      <w:numFmt w:val="decimal"/>
      <w:lvlText w:val="（%3）"/>
      <w:lvlJc w:val="left"/>
      <w:pPr>
        <w:tabs>
          <w:tab w:val="left" w:pos="1560"/>
        </w:tabs>
        <w:ind w:left="1560" w:hanging="720"/>
      </w:pPr>
      <w:rPr>
        <w:rFonts w:hint="eastAsia"/>
      </w:rPr>
    </w:lvl>
    <w:lvl w:ilvl="3">
      <w:start w:val="1"/>
      <w:numFmt w:val="decimalFullWidth"/>
      <w:lvlText w:val="%4）"/>
      <w:lvlJc w:val="left"/>
      <w:pPr>
        <w:tabs>
          <w:tab w:val="left" w:pos="1980"/>
        </w:tabs>
        <w:ind w:left="1980" w:hanging="720"/>
      </w:pPr>
      <w:rPr>
        <w:rFonts w:hint="eastAsia"/>
      </w:rPr>
    </w:lvl>
    <w:lvl w:ilvl="4">
      <w:start w:val="1"/>
      <w:numFmt w:val="decimal"/>
      <w:lvlText w:val="%5、"/>
      <w:lvlJc w:val="left"/>
      <w:pPr>
        <w:tabs>
          <w:tab w:val="left" w:pos="2400"/>
        </w:tabs>
        <w:ind w:left="2400" w:hanging="720"/>
      </w:pPr>
      <w:rPr>
        <w:rFonts w:hint="eastAsia"/>
      </w:r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2">
    <w:nsid w:val="26DB4D32"/>
    <w:multiLevelType w:val="multilevel"/>
    <w:tmpl w:val="26DB4D32"/>
    <w:lvl w:ilvl="0">
      <w:start w:val="1"/>
      <w:numFmt w:val="decimal"/>
      <w:lvlText w:val="%1."/>
      <w:lvlJc w:val="left"/>
      <w:pPr>
        <w:tabs>
          <w:tab w:val="left" w:pos="420"/>
        </w:tabs>
        <w:ind w:left="420" w:hanging="420"/>
      </w:pPr>
    </w:lvl>
    <w:lvl w:ilvl="1">
      <w:start w:val="1"/>
      <w:numFmt w:val="bullet"/>
      <w:lvlText w:val=""/>
      <w:lvlJc w:val="left"/>
      <w:pPr>
        <w:tabs>
          <w:tab w:val="left" w:pos="840"/>
        </w:tabs>
        <w:ind w:left="840" w:hanging="420"/>
      </w:pPr>
      <w:rPr>
        <w:rFonts w:ascii="Wingdings" w:hAnsi="Wingding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3">
    <w:nsid w:val="27D43EE3"/>
    <w:multiLevelType w:val="multilevel"/>
    <w:tmpl w:val="380678A6"/>
    <w:lvl w:ilvl="0">
      <w:start w:val="1"/>
      <w:numFmt w:val="decimal"/>
      <w:lvlText w:val="（%1）"/>
      <w:lvlJc w:val="left"/>
      <w:pPr>
        <w:tabs>
          <w:tab w:val="left" w:pos="720"/>
        </w:tabs>
        <w:ind w:left="720" w:hanging="720"/>
      </w:pPr>
      <w:rPr>
        <w:rFonts w:ascii="宋体" w:hAnsi="宋体" w:hint="eastAsia"/>
      </w:rPr>
    </w:lvl>
    <w:lvl w:ilvl="1">
      <w:start w:val="1"/>
      <w:numFmt w:val="decimal"/>
      <w:lvlText w:val="（%2）"/>
      <w:lvlJc w:val="left"/>
      <w:pPr>
        <w:tabs>
          <w:tab w:val="left" w:pos="1410"/>
        </w:tabs>
        <w:ind w:left="1410" w:hanging="99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nsid w:val="2ABE6ED2"/>
    <w:multiLevelType w:val="multilevel"/>
    <w:tmpl w:val="2ABE6ED2"/>
    <w:lvl w:ilvl="0">
      <w:start w:val="1"/>
      <w:numFmt w:val="decimalFullWidth"/>
      <w:lvlText w:val="%1）"/>
      <w:lvlJc w:val="left"/>
      <w:pPr>
        <w:tabs>
          <w:tab w:val="left" w:pos="1560"/>
        </w:tabs>
        <w:ind w:left="1560" w:hanging="720"/>
      </w:pPr>
      <w:rPr>
        <w:rFonts w:hint="eastAsia"/>
      </w:rPr>
    </w:lvl>
    <w:lvl w:ilvl="1">
      <w:start w:val="1"/>
      <w:numFmt w:val="lowerLetter"/>
      <w:lvlText w:val="%2)"/>
      <w:lvlJc w:val="left"/>
      <w:pPr>
        <w:tabs>
          <w:tab w:val="left" w:pos="1680"/>
        </w:tabs>
        <w:ind w:left="1680" w:hanging="420"/>
      </w:pPr>
    </w:lvl>
    <w:lvl w:ilvl="2">
      <w:start w:val="1"/>
      <w:numFmt w:val="lowerRoman"/>
      <w:lvlText w:val="%3."/>
      <w:lvlJc w:val="right"/>
      <w:pPr>
        <w:tabs>
          <w:tab w:val="left" w:pos="2100"/>
        </w:tabs>
        <w:ind w:left="2100" w:hanging="420"/>
      </w:pPr>
    </w:lvl>
    <w:lvl w:ilvl="3">
      <w:start w:val="1"/>
      <w:numFmt w:val="decimal"/>
      <w:lvlText w:val="%4."/>
      <w:lvlJc w:val="left"/>
      <w:pPr>
        <w:tabs>
          <w:tab w:val="left" w:pos="2520"/>
        </w:tabs>
        <w:ind w:left="2520" w:hanging="420"/>
      </w:pPr>
    </w:lvl>
    <w:lvl w:ilvl="4">
      <w:start w:val="1"/>
      <w:numFmt w:val="lowerLetter"/>
      <w:lvlText w:val="%5)"/>
      <w:lvlJc w:val="left"/>
      <w:pPr>
        <w:tabs>
          <w:tab w:val="left" w:pos="2940"/>
        </w:tabs>
        <w:ind w:left="2940" w:hanging="420"/>
      </w:pPr>
    </w:lvl>
    <w:lvl w:ilvl="5">
      <w:start w:val="1"/>
      <w:numFmt w:val="lowerRoman"/>
      <w:lvlText w:val="%6."/>
      <w:lvlJc w:val="right"/>
      <w:pPr>
        <w:tabs>
          <w:tab w:val="left" w:pos="3360"/>
        </w:tabs>
        <w:ind w:left="3360" w:hanging="420"/>
      </w:pPr>
    </w:lvl>
    <w:lvl w:ilvl="6">
      <w:start w:val="1"/>
      <w:numFmt w:val="decimal"/>
      <w:lvlText w:val="%7."/>
      <w:lvlJc w:val="left"/>
      <w:pPr>
        <w:tabs>
          <w:tab w:val="left" w:pos="3780"/>
        </w:tabs>
        <w:ind w:left="3780" w:hanging="420"/>
      </w:pPr>
    </w:lvl>
    <w:lvl w:ilvl="7">
      <w:start w:val="1"/>
      <w:numFmt w:val="lowerLetter"/>
      <w:lvlText w:val="%8)"/>
      <w:lvlJc w:val="left"/>
      <w:pPr>
        <w:tabs>
          <w:tab w:val="left" w:pos="4200"/>
        </w:tabs>
        <w:ind w:left="4200" w:hanging="420"/>
      </w:pPr>
    </w:lvl>
    <w:lvl w:ilvl="8">
      <w:start w:val="1"/>
      <w:numFmt w:val="lowerRoman"/>
      <w:lvlText w:val="%9."/>
      <w:lvlJc w:val="right"/>
      <w:pPr>
        <w:tabs>
          <w:tab w:val="left" w:pos="4620"/>
        </w:tabs>
        <w:ind w:left="4620" w:hanging="420"/>
      </w:pPr>
    </w:lvl>
  </w:abstractNum>
  <w:abstractNum w:abstractNumId="15">
    <w:nsid w:val="2C91776E"/>
    <w:multiLevelType w:val="multilevel"/>
    <w:tmpl w:val="2C91776E"/>
    <w:lvl w:ilvl="0">
      <w:start w:val="1"/>
      <w:numFmt w:val="lowerLetter"/>
      <w:lvlText w:val="%1、"/>
      <w:lvlJc w:val="left"/>
      <w:pPr>
        <w:tabs>
          <w:tab w:val="left" w:pos="1280"/>
        </w:tabs>
        <w:ind w:left="1280" w:hanging="720"/>
      </w:pPr>
      <w:rPr>
        <w:rFonts w:hint="default"/>
      </w:rPr>
    </w:lvl>
    <w:lvl w:ilvl="1">
      <w:start w:val="1"/>
      <w:numFmt w:val="japaneseCounting"/>
      <w:lvlText w:val="（%2）"/>
      <w:lvlJc w:val="left"/>
      <w:pPr>
        <w:tabs>
          <w:tab w:val="left" w:pos="1835"/>
        </w:tabs>
        <w:ind w:left="1835" w:hanging="855"/>
      </w:pPr>
      <w:rPr>
        <w:rFonts w:hint="eastAsia"/>
      </w:rPr>
    </w:lvl>
    <w:lvl w:ilvl="2">
      <w:start w:val="1"/>
      <w:numFmt w:val="decimal"/>
      <w:lvlText w:val="%3、"/>
      <w:lvlJc w:val="left"/>
      <w:pPr>
        <w:tabs>
          <w:tab w:val="left" w:pos="2120"/>
        </w:tabs>
        <w:ind w:left="2120" w:hanging="720"/>
      </w:pPr>
      <w:rPr>
        <w:rFonts w:hint="eastAsia"/>
      </w:rPr>
    </w:lvl>
    <w:lvl w:ilvl="3">
      <w:start w:val="1"/>
      <w:numFmt w:val="decimal"/>
      <w:lvlText w:val="（%4）"/>
      <w:lvlJc w:val="left"/>
      <w:pPr>
        <w:tabs>
          <w:tab w:val="left" w:pos="2540"/>
        </w:tabs>
        <w:ind w:left="2540" w:hanging="720"/>
      </w:pPr>
      <w:rPr>
        <w:rFonts w:hint="eastAsia"/>
      </w:rPr>
    </w:lvl>
    <w:lvl w:ilvl="4">
      <w:start w:val="1"/>
      <w:numFmt w:val="bullet"/>
      <w:lvlText w:val="◇"/>
      <w:lvlJc w:val="left"/>
      <w:pPr>
        <w:tabs>
          <w:tab w:val="left" w:pos="2690"/>
        </w:tabs>
        <w:ind w:left="2690" w:hanging="450"/>
      </w:pPr>
      <w:rPr>
        <w:rFonts w:ascii="宋体" w:eastAsia="宋体" w:hAnsi="宋体" w:cs="Times New Roman" w:hint="eastAsia"/>
      </w:rPr>
    </w:lvl>
    <w:lvl w:ilvl="5">
      <w:start w:val="1"/>
      <w:numFmt w:val="lowerRoman"/>
      <w:lvlText w:val="%6."/>
      <w:lvlJc w:val="right"/>
      <w:pPr>
        <w:tabs>
          <w:tab w:val="left" w:pos="3080"/>
        </w:tabs>
        <w:ind w:left="3080" w:hanging="420"/>
      </w:pPr>
    </w:lvl>
    <w:lvl w:ilvl="6">
      <w:start w:val="1"/>
      <w:numFmt w:val="decimal"/>
      <w:lvlText w:val="%7."/>
      <w:lvlJc w:val="left"/>
      <w:pPr>
        <w:tabs>
          <w:tab w:val="left" w:pos="3500"/>
        </w:tabs>
        <w:ind w:left="3500" w:hanging="420"/>
      </w:pPr>
    </w:lvl>
    <w:lvl w:ilvl="7">
      <w:start w:val="1"/>
      <w:numFmt w:val="lowerLetter"/>
      <w:lvlText w:val="%8)"/>
      <w:lvlJc w:val="left"/>
      <w:pPr>
        <w:tabs>
          <w:tab w:val="left" w:pos="3920"/>
        </w:tabs>
        <w:ind w:left="3920" w:hanging="420"/>
      </w:pPr>
    </w:lvl>
    <w:lvl w:ilvl="8">
      <w:start w:val="1"/>
      <w:numFmt w:val="lowerRoman"/>
      <w:lvlText w:val="%9."/>
      <w:lvlJc w:val="right"/>
      <w:pPr>
        <w:tabs>
          <w:tab w:val="left" w:pos="4340"/>
        </w:tabs>
        <w:ind w:left="4340" w:hanging="420"/>
      </w:pPr>
    </w:lvl>
  </w:abstractNum>
  <w:abstractNum w:abstractNumId="16">
    <w:nsid w:val="2DF66E10"/>
    <w:multiLevelType w:val="singleLevel"/>
    <w:tmpl w:val="2DF66E10"/>
    <w:lvl w:ilvl="0">
      <w:start w:val="1"/>
      <w:numFmt w:val="decimal"/>
      <w:lvlText w:val="%1．"/>
      <w:lvlJc w:val="left"/>
      <w:pPr>
        <w:tabs>
          <w:tab w:val="left" w:pos="450"/>
        </w:tabs>
        <w:ind w:left="450" w:hanging="450"/>
      </w:pPr>
      <w:rPr>
        <w:rFonts w:hint="eastAsia"/>
      </w:rPr>
    </w:lvl>
  </w:abstractNum>
  <w:abstractNum w:abstractNumId="17">
    <w:nsid w:val="343522BC"/>
    <w:multiLevelType w:val="multilevel"/>
    <w:tmpl w:val="343522BC"/>
    <w:lvl w:ilvl="0">
      <w:start w:val="1"/>
      <w:numFmt w:val="decimalFullWidth"/>
      <w:lvlText w:val="%1）"/>
      <w:lvlJc w:val="left"/>
      <w:pPr>
        <w:tabs>
          <w:tab w:val="left" w:pos="1420"/>
        </w:tabs>
        <w:ind w:left="1420" w:hanging="720"/>
      </w:pPr>
      <w:rPr>
        <w:rFonts w:hint="eastAsia"/>
      </w:rPr>
    </w:lvl>
    <w:lvl w:ilvl="1">
      <w:start w:val="1"/>
      <w:numFmt w:val="lowerLetter"/>
      <w:lvlText w:val="%2)"/>
      <w:lvlJc w:val="left"/>
      <w:pPr>
        <w:tabs>
          <w:tab w:val="left" w:pos="1540"/>
        </w:tabs>
        <w:ind w:left="1540" w:hanging="420"/>
      </w:pPr>
    </w:lvl>
    <w:lvl w:ilvl="2">
      <w:start w:val="1"/>
      <w:numFmt w:val="lowerRoman"/>
      <w:lvlText w:val="%3."/>
      <w:lvlJc w:val="right"/>
      <w:pPr>
        <w:tabs>
          <w:tab w:val="left" w:pos="1960"/>
        </w:tabs>
        <w:ind w:left="1960" w:hanging="420"/>
      </w:pPr>
    </w:lvl>
    <w:lvl w:ilvl="3">
      <w:start w:val="1"/>
      <w:numFmt w:val="decimal"/>
      <w:lvlText w:val="%4."/>
      <w:lvlJc w:val="left"/>
      <w:pPr>
        <w:tabs>
          <w:tab w:val="left" w:pos="2380"/>
        </w:tabs>
        <w:ind w:left="2380" w:hanging="420"/>
      </w:pPr>
    </w:lvl>
    <w:lvl w:ilvl="4">
      <w:start w:val="1"/>
      <w:numFmt w:val="lowerLetter"/>
      <w:lvlText w:val="%5)"/>
      <w:lvlJc w:val="left"/>
      <w:pPr>
        <w:tabs>
          <w:tab w:val="left" w:pos="2800"/>
        </w:tabs>
        <w:ind w:left="2800" w:hanging="420"/>
      </w:pPr>
    </w:lvl>
    <w:lvl w:ilvl="5">
      <w:start w:val="1"/>
      <w:numFmt w:val="lowerRoman"/>
      <w:lvlText w:val="%6."/>
      <w:lvlJc w:val="right"/>
      <w:pPr>
        <w:tabs>
          <w:tab w:val="left" w:pos="3220"/>
        </w:tabs>
        <w:ind w:left="3220" w:hanging="420"/>
      </w:pPr>
    </w:lvl>
    <w:lvl w:ilvl="6">
      <w:start w:val="1"/>
      <w:numFmt w:val="decimal"/>
      <w:lvlText w:val="%7."/>
      <w:lvlJc w:val="left"/>
      <w:pPr>
        <w:tabs>
          <w:tab w:val="left" w:pos="3640"/>
        </w:tabs>
        <w:ind w:left="3640" w:hanging="420"/>
      </w:pPr>
    </w:lvl>
    <w:lvl w:ilvl="7">
      <w:start w:val="1"/>
      <w:numFmt w:val="lowerLetter"/>
      <w:lvlText w:val="%8)"/>
      <w:lvlJc w:val="left"/>
      <w:pPr>
        <w:tabs>
          <w:tab w:val="left" w:pos="4060"/>
        </w:tabs>
        <w:ind w:left="4060" w:hanging="420"/>
      </w:pPr>
    </w:lvl>
    <w:lvl w:ilvl="8">
      <w:start w:val="1"/>
      <w:numFmt w:val="lowerRoman"/>
      <w:lvlText w:val="%9."/>
      <w:lvlJc w:val="right"/>
      <w:pPr>
        <w:tabs>
          <w:tab w:val="left" w:pos="4480"/>
        </w:tabs>
        <w:ind w:left="4480" w:hanging="420"/>
      </w:pPr>
    </w:lvl>
  </w:abstractNum>
  <w:abstractNum w:abstractNumId="18">
    <w:nsid w:val="357037CE"/>
    <w:multiLevelType w:val="multilevel"/>
    <w:tmpl w:val="357037CE"/>
    <w:lvl w:ilvl="0">
      <w:start w:val="1"/>
      <w:numFmt w:val="decimal"/>
      <w:lvlText w:val="%1)"/>
      <w:lvlJc w:val="left"/>
      <w:pPr>
        <w:tabs>
          <w:tab w:val="left" w:pos="700"/>
        </w:tabs>
        <w:ind w:left="700" w:hanging="420"/>
      </w:pPr>
    </w:lvl>
    <w:lvl w:ilvl="1">
      <w:start w:val="1"/>
      <w:numFmt w:val="lowerLetter"/>
      <w:lvlText w:val="%2)"/>
      <w:lvlJc w:val="left"/>
      <w:pPr>
        <w:tabs>
          <w:tab w:val="left" w:pos="1120"/>
        </w:tabs>
        <w:ind w:left="1120" w:hanging="420"/>
      </w:pPr>
    </w:lvl>
    <w:lvl w:ilvl="2">
      <w:start w:val="1"/>
      <w:numFmt w:val="lowerRoman"/>
      <w:lvlText w:val="%3."/>
      <w:lvlJc w:val="right"/>
      <w:pPr>
        <w:tabs>
          <w:tab w:val="left" w:pos="1540"/>
        </w:tabs>
        <w:ind w:left="1540" w:hanging="420"/>
      </w:pPr>
    </w:lvl>
    <w:lvl w:ilvl="3">
      <w:start w:val="1"/>
      <w:numFmt w:val="decimal"/>
      <w:lvlText w:val="%4."/>
      <w:lvlJc w:val="left"/>
      <w:pPr>
        <w:tabs>
          <w:tab w:val="left" w:pos="1960"/>
        </w:tabs>
        <w:ind w:left="1960" w:hanging="420"/>
      </w:pPr>
    </w:lvl>
    <w:lvl w:ilvl="4">
      <w:start w:val="1"/>
      <w:numFmt w:val="lowerLetter"/>
      <w:lvlText w:val="%5)"/>
      <w:lvlJc w:val="left"/>
      <w:pPr>
        <w:tabs>
          <w:tab w:val="left" w:pos="2380"/>
        </w:tabs>
        <w:ind w:left="2380" w:hanging="420"/>
      </w:pPr>
    </w:lvl>
    <w:lvl w:ilvl="5">
      <w:start w:val="1"/>
      <w:numFmt w:val="lowerRoman"/>
      <w:lvlText w:val="%6."/>
      <w:lvlJc w:val="right"/>
      <w:pPr>
        <w:tabs>
          <w:tab w:val="left" w:pos="2800"/>
        </w:tabs>
        <w:ind w:left="2800" w:hanging="420"/>
      </w:pPr>
    </w:lvl>
    <w:lvl w:ilvl="6">
      <w:start w:val="1"/>
      <w:numFmt w:val="decimal"/>
      <w:lvlText w:val="%7."/>
      <w:lvlJc w:val="left"/>
      <w:pPr>
        <w:tabs>
          <w:tab w:val="left" w:pos="3220"/>
        </w:tabs>
        <w:ind w:left="3220" w:hanging="420"/>
      </w:pPr>
    </w:lvl>
    <w:lvl w:ilvl="7">
      <w:start w:val="1"/>
      <w:numFmt w:val="lowerLetter"/>
      <w:lvlText w:val="%8)"/>
      <w:lvlJc w:val="left"/>
      <w:pPr>
        <w:tabs>
          <w:tab w:val="left" w:pos="3640"/>
        </w:tabs>
        <w:ind w:left="3640" w:hanging="420"/>
      </w:pPr>
    </w:lvl>
    <w:lvl w:ilvl="8">
      <w:start w:val="1"/>
      <w:numFmt w:val="lowerRoman"/>
      <w:lvlText w:val="%9."/>
      <w:lvlJc w:val="right"/>
      <w:pPr>
        <w:tabs>
          <w:tab w:val="left" w:pos="4060"/>
        </w:tabs>
        <w:ind w:left="4060" w:hanging="420"/>
      </w:pPr>
    </w:lvl>
  </w:abstractNum>
  <w:abstractNum w:abstractNumId="19">
    <w:nsid w:val="380678A6"/>
    <w:multiLevelType w:val="multilevel"/>
    <w:tmpl w:val="380678A6"/>
    <w:lvl w:ilvl="0">
      <w:start w:val="1"/>
      <w:numFmt w:val="decimal"/>
      <w:lvlText w:val="（%1）"/>
      <w:lvlJc w:val="left"/>
      <w:pPr>
        <w:tabs>
          <w:tab w:val="left" w:pos="720"/>
        </w:tabs>
        <w:ind w:left="720" w:hanging="720"/>
      </w:pPr>
      <w:rPr>
        <w:rFonts w:ascii="宋体" w:hAnsi="宋体" w:hint="eastAsia"/>
      </w:rPr>
    </w:lvl>
    <w:lvl w:ilvl="1">
      <w:start w:val="1"/>
      <w:numFmt w:val="decimal"/>
      <w:lvlText w:val="（%2）"/>
      <w:lvlJc w:val="left"/>
      <w:pPr>
        <w:tabs>
          <w:tab w:val="left" w:pos="1410"/>
        </w:tabs>
        <w:ind w:left="1410" w:hanging="99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nsid w:val="3E226D6A"/>
    <w:multiLevelType w:val="multilevel"/>
    <w:tmpl w:val="3E226D6A"/>
    <w:lvl w:ilvl="0">
      <w:start w:val="1"/>
      <w:numFmt w:val="decimal"/>
      <w:lvlText w:val="%1)"/>
      <w:lvlJc w:val="left"/>
      <w:pPr>
        <w:tabs>
          <w:tab w:val="left" w:pos="780"/>
        </w:tabs>
        <w:ind w:left="780" w:hanging="420"/>
      </w:pPr>
    </w:lvl>
    <w:lvl w:ilvl="1">
      <w:start w:val="1"/>
      <w:numFmt w:val="lowerLetter"/>
      <w:lvlText w:val="%2)"/>
      <w:lvlJc w:val="left"/>
      <w:pPr>
        <w:tabs>
          <w:tab w:val="left" w:pos="1200"/>
        </w:tabs>
        <w:ind w:left="1200" w:hanging="420"/>
      </w:pPr>
    </w:lvl>
    <w:lvl w:ilvl="2">
      <w:start w:val="1"/>
      <w:numFmt w:val="lowerRoman"/>
      <w:lvlText w:val="%3."/>
      <w:lvlJc w:val="right"/>
      <w:pPr>
        <w:tabs>
          <w:tab w:val="left" w:pos="1620"/>
        </w:tabs>
        <w:ind w:left="1620" w:hanging="420"/>
      </w:pPr>
    </w:lvl>
    <w:lvl w:ilvl="3">
      <w:start w:val="1"/>
      <w:numFmt w:val="decimal"/>
      <w:lvlText w:val="%4."/>
      <w:lvlJc w:val="left"/>
      <w:pPr>
        <w:tabs>
          <w:tab w:val="left" w:pos="2040"/>
        </w:tabs>
        <w:ind w:left="2040" w:hanging="420"/>
      </w:pPr>
    </w:lvl>
    <w:lvl w:ilvl="4">
      <w:start w:val="1"/>
      <w:numFmt w:val="lowerLetter"/>
      <w:lvlText w:val="%5)"/>
      <w:lvlJc w:val="left"/>
      <w:pPr>
        <w:tabs>
          <w:tab w:val="left" w:pos="2460"/>
        </w:tabs>
        <w:ind w:left="2460" w:hanging="420"/>
      </w:pPr>
    </w:lvl>
    <w:lvl w:ilvl="5">
      <w:start w:val="1"/>
      <w:numFmt w:val="lowerRoman"/>
      <w:lvlText w:val="%6."/>
      <w:lvlJc w:val="right"/>
      <w:pPr>
        <w:tabs>
          <w:tab w:val="left" w:pos="2880"/>
        </w:tabs>
        <w:ind w:left="2880" w:hanging="420"/>
      </w:pPr>
    </w:lvl>
    <w:lvl w:ilvl="6">
      <w:start w:val="1"/>
      <w:numFmt w:val="decimal"/>
      <w:lvlText w:val="%7."/>
      <w:lvlJc w:val="left"/>
      <w:pPr>
        <w:tabs>
          <w:tab w:val="left" w:pos="3300"/>
        </w:tabs>
        <w:ind w:left="3300" w:hanging="420"/>
      </w:pPr>
    </w:lvl>
    <w:lvl w:ilvl="7">
      <w:start w:val="1"/>
      <w:numFmt w:val="lowerLetter"/>
      <w:lvlText w:val="%8)"/>
      <w:lvlJc w:val="left"/>
      <w:pPr>
        <w:tabs>
          <w:tab w:val="left" w:pos="3720"/>
        </w:tabs>
        <w:ind w:left="3720" w:hanging="420"/>
      </w:pPr>
    </w:lvl>
    <w:lvl w:ilvl="8">
      <w:start w:val="1"/>
      <w:numFmt w:val="lowerRoman"/>
      <w:lvlText w:val="%9."/>
      <w:lvlJc w:val="right"/>
      <w:pPr>
        <w:tabs>
          <w:tab w:val="left" w:pos="4140"/>
        </w:tabs>
        <w:ind w:left="4140" w:hanging="420"/>
      </w:pPr>
    </w:lvl>
  </w:abstractNum>
  <w:abstractNum w:abstractNumId="21">
    <w:nsid w:val="442B5C20"/>
    <w:multiLevelType w:val="multilevel"/>
    <w:tmpl w:val="442B5C20"/>
    <w:lvl w:ilvl="0">
      <w:start w:val="1"/>
      <w:numFmt w:val="decimal"/>
      <w:lvlText w:val="%1)"/>
      <w:lvlJc w:val="left"/>
      <w:pPr>
        <w:tabs>
          <w:tab w:val="left" w:pos="780"/>
        </w:tabs>
        <w:ind w:left="780" w:hanging="420"/>
      </w:pPr>
    </w:lvl>
    <w:lvl w:ilvl="1">
      <w:start w:val="1"/>
      <w:numFmt w:val="lowerLetter"/>
      <w:lvlText w:val="%2)"/>
      <w:lvlJc w:val="left"/>
      <w:pPr>
        <w:tabs>
          <w:tab w:val="left" w:pos="1200"/>
        </w:tabs>
        <w:ind w:left="1200" w:hanging="420"/>
      </w:pPr>
    </w:lvl>
    <w:lvl w:ilvl="2">
      <w:start w:val="1"/>
      <w:numFmt w:val="lowerRoman"/>
      <w:lvlText w:val="%3."/>
      <w:lvlJc w:val="right"/>
      <w:pPr>
        <w:tabs>
          <w:tab w:val="left" w:pos="1620"/>
        </w:tabs>
        <w:ind w:left="1620" w:hanging="420"/>
      </w:pPr>
    </w:lvl>
    <w:lvl w:ilvl="3">
      <w:start w:val="1"/>
      <w:numFmt w:val="decimal"/>
      <w:lvlText w:val="%4."/>
      <w:lvlJc w:val="left"/>
      <w:pPr>
        <w:tabs>
          <w:tab w:val="left" w:pos="2040"/>
        </w:tabs>
        <w:ind w:left="2040" w:hanging="420"/>
      </w:pPr>
    </w:lvl>
    <w:lvl w:ilvl="4">
      <w:start w:val="1"/>
      <w:numFmt w:val="lowerLetter"/>
      <w:lvlText w:val="%5)"/>
      <w:lvlJc w:val="left"/>
      <w:pPr>
        <w:tabs>
          <w:tab w:val="left" w:pos="2460"/>
        </w:tabs>
        <w:ind w:left="2460" w:hanging="420"/>
      </w:pPr>
    </w:lvl>
    <w:lvl w:ilvl="5">
      <w:start w:val="1"/>
      <w:numFmt w:val="lowerRoman"/>
      <w:lvlText w:val="%6."/>
      <w:lvlJc w:val="right"/>
      <w:pPr>
        <w:tabs>
          <w:tab w:val="left" w:pos="2880"/>
        </w:tabs>
        <w:ind w:left="2880" w:hanging="420"/>
      </w:pPr>
    </w:lvl>
    <w:lvl w:ilvl="6">
      <w:start w:val="1"/>
      <w:numFmt w:val="decimal"/>
      <w:lvlText w:val="%7."/>
      <w:lvlJc w:val="left"/>
      <w:pPr>
        <w:tabs>
          <w:tab w:val="left" w:pos="3300"/>
        </w:tabs>
        <w:ind w:left="3300" w:hanging="420"/>
      </w:pPr>
    </w:lvl>
    <w:lvl w:ilvl="7">
      <w:start w:val="1"/>
      <w:numFmt w:val="lowerLetter"/>
      <w:lvlText w:val="%8)"/>
      <w:lvlJc w:val="left"/>
      <w:pPr>
        <w:tabs>
          <w:tab w:val="left" w:pos="3720"/>
        </w:tabs>
        <w:ind w:left="3720" w:hanging="420"/>
      </w:pPr>
    </w:lvl>
    <w:lvl w:ilvl="8">
      <w:start w:val="1"/>
      <w:numFmt w:val="lowerRoman"/>
      <w:lvlText w:val="%9."/>
      <w:lvlJc w:val="right"/>
      <w:pPr>
        <w:tabs>
          <w:tab w:val="left" w:pos="4140"/>
        </w:tabs>
        <w:ind w:left="4140" w:hanging="420"/>
      </w:pPr>
    </w:lvl>
  </w:abstractNum>
  <w:abstractNum w:abstractNumId="22">
    <w:nsid w:val="47FE2736"/>
    <w:multiLevelType w:val="singleLevel"/>
    <w:tmpl w:val="47FE2736"/>
    <w:lvl w:ilvl="0">
      <w:start w:val="1"/>
      <w:numFmt w:val="decimal"/>
      <w:lvlText w:val="%1．"/>
      <w:lvlJc w:val="left"/>
      <w:pPr>
        <w:tabs>
          <w:tab w:val="left" w:pos="450"/>
        </w:tabs>
        <w:ind w:left="450" w:hanging="450"/>
      </w:pPr>
      <w:rPr>
        <w:rFonts w:hint="eastAsia"/>
      </w:rPr>
    </w:lvl>
  </w:abstractNum>
  <w:abstractNum w:abstractNumId="23">
    <w:nsid w:val="49266EAA"/>
    <w:multiLevelType w:val="multilevel"/>
    <w:tmpl w:val="49266EAA"/>
    <w:lvl w:ilvl="0">
      <w:start w:val="4"/>
      <w:numFmt w:val="bullet"/>
      <w:lvlText w:val="◆"/>
      <w:lvlJc w:val="left"/>
      <w:pPr>
        <w:tabs>
          <w:tab w:val="left" w:pos="1065"/>
        </w:tabs>
        <w:ind w:left="1065" w:hanging="360"/>
      </w:pPr>
      <w:rPr>
        <w:rFonts w:ascii="宋体" w:eastAsia="宋体" w:hAnsi="宋体" w:cs="Times New Roman" w:hint="eastAsia"/>
      </w:rPr>
    </w:lvl>
    <w:lvl w:ilvl="1">
      <w:start w:val="1"/>
      <w:numFmt w:val="bullet"/>
      <w:lvlText w:val=""/>
      <w:lvlJc w:val="left"/>
      <w:pPr>
        <w:tabs>
          <w:tab w:val="left" w:pos="1545"/>
        </w:tabs>
        <w:ind w:left="1545" w:hanging="420"/>
      </w:pPr>
      <w:rPr>
        <w:rFonts w:ascii="Wingdings" w:hAnsi="Wingdings" w:hint="default"/>
      </w:rPr>
    </w:lvl>
    <w:lvl w:ilvl="2">
      <w:start w:val="1"/>
      <w:numFmt w:val="bullet"/>
      <w:lvlText w:val=""/>
      <w:lvlJc w:val="left"/>
      <w:pPr>
        <w:tabs>
          <w:tab w:val="left" w:pos="1965"/>
        </w:tabs>
        <w:ind w:left="1965" w:hanging="420"/>
      </w:pPr>
      <w:rPr>
        <w:rFonts w:ascii="Wingdings" w:hAnsi="Wingdings" w:hint="default"/>
      </w:rPr>
    </w:lvl>
    <w:lvl w:ilvl="3">
      <w:start w:val="1"/>
      <w:numFmt w:val="bullet"/>
      <w:lvlText w:val=""/>
      <w:lvlJc w:val="left"/>
      <w:pPr>
        <w:tabs>
          <w:tab w:val="left" w:pos="2385"/>
        </w:tabs>
        <w:ind w:left="2385" w:hanging="420"/>
      </w:pPr>
      <w:rPr>
        <w:rFonts w:ascii="Wingdings" w:hAnsi="Wingdings" w:hint="default"/>
      </w:rPr>
    </w:lvl>
    <w:lvl w:ilvl="4">
      <w:start w:val="1"/>
      <w:numFmt w:val="bullet"/>
      <w:lvlText w:val=""/>
      <w:lvlJc w:val="left"/>
      <w:pPr>
        <w:tabs>
          <w:tab w:val="left" w:pos="2805"/>
        </w:tabs>
        <w:ind w:left="2805" w:hanging="420"/>
      </w:pPr>
      <w:rPr>
        <w:rFonts w:ascii="Wingdings" w:hAnsi="Wingdings" w:hint="default"/>
      </w:rPr>
    </w:lvl>
    <w:lvl w:ilvl="5">
      <w:start w:val="1"/>
      <w:numFmt w:val="bullet"/>
      <w:lvlText w:val=""/>
      <w:lvlJc w:val="left"/>
      <w:pPr>
        <w:tabs>
          <w:tab w:val="left" w:pos="3225"/>
        </w:tabs>
        <w:ind w:left="3225" w:hanging="420"/>
      </w:pPr>
      <w:rPr>
        <w:rFonts w:ascii="Wingdings" w:hAnsi="Wingdings" w:hint="default"/>
      </w:rPr>
    </w:lvl>
    <w:lvl w:ilvl="6">
      <w:start w:val="1"/>
      <w:numFmt w:val="bullet"/>
      <w:lvlText w:val=""/>
      <w:lvlJc w:val="left"/>
      <w:pPr>
        <w:tabs>
          <w:tab w:val="left" w:pos="3645"/>
        </w:tabs>
        <w:ind w:left="3645" w:hanging="420"/>
      </w:pPr>
      <w:rPr>
        <w:rFonts w:ascii="Wingdings" w:hAnsi="Wingdings" w:hint="default"/>
      </w:rPr>
    </w:lvl>
    <w:lvl w:ilvl="7">
      <w:start w:val="1"/>
      <w:numFmt w:val="bullet"/>
      <w:lvlText w:val=""/>
      <w:lvlJc w:val="left"/>
      <w:pPr>
        <w:tabs>
          <w:tab w:val="left" w:pos="4065"/>
        </w:tabs>
        <w:ind w:left="4065" w:hanging="420"/>
      </w:pPr>
      <w:rPr>
        <w:rFonts w:ascii="Wingdings" w:hAnsi="Wingdings" w:hint="default"/>
      </w:rPr>
    </w:lvl>
    <w:lvl w:ilvl="8">
      <w:start w:val="1"/>
      <w:numFmt w:val="bullet"/>
      <w:lvlText w:val=""/>
      <w:lvlJc w:val="left"/>
      <w:pPr>
        <w:tabs>
          <w:tab w:val="left" w:pos="4485"/>
        </w:tabs>
        <w:ind w:left="4485" w:hanging="420"/>
      </w:pPr>
      <w:rPr>
        <w:rFonts w:ascii="Wingdings" w:hAnsi="Wingdings" w:hint="default"/>
      </w:rPr>
    </w:lvl>
  </w:abstractNum>
  <w:abstractNum w:abstractNumId="24">
    <w:nsid w:val="502E4DEC"/>
    <w:multiLevelType w:val="multilevel"/>
    <w:tmpl w:val="502E4DEC"/>
    <w:lvl w:ilvl="0">
      <w:start w:val="1"/>
      <w:numFmt w:val="bullet"/>
      <w:lvlText w:val=""/>
      <w:lvlJc w:val="left"/>
      <w:pPr>
        <w:tabs>
          <w:tab w:val="left" w:pos="979"/>
        </w:tabs>
        <w:ind w:left="979" w:hanging="420"/>
      </w:pPr>
      <w:rPr>
        <w:rFonts w:ascii="Wingdings" w:hAnsi="Wingdings" w:hint="default"/>
      </w:rPr>
    </w:lvl>
    <w:lvl w:ilvl="1">
      <w:start w:val="1"/>
      <w:numFmt w:val="bullet"/>
      <w:lvlText w:val=""/>
      <w:lvlJc w:val="left"/>
      <w:pPr>
        <w:tabs>
          <w:tab w:val="left" w:pos="1399"/>
        </w:tabs>
        <w:ind w:left="1399" w:hanging="420"/>
      </w:pPr>
      <w:rPr>
        <w:rFonts w:ascii="Wingdings" w:hAnsi="Wingdings" w:hint="default"/>
      </w:rPr>
    </w:lvl>
    <w:lvl w:ilvl="2">
      <w:start w:val="1"/>
      <w:numFmt w:val="bullet"/>
      <w:lvlText w:val=""/>
      <w:lvlJc w:val="left"/>
      <w:pPr>
        <w:tabs>
          <w:tab w:val="left" w:pos="1819"/>
        </w:tabs>
        <w:ind w:left="1819" w:hanging="420"/>
      </w:pPr>
      <w:rPr>
        <w:rFonts w:ascii="Wingdings" w:hAnsi="Wingdings" w:hint="default"/>
      </w:rPr>
    </w:lvl>
    <w:lvl w:ilvl="3">
      <w:start w:val="1"/>
      <w:numFmt w:val="bullet"/>
      <w:lvlText w:val=""/>
      <w:lvlJc w:val="left"/>
      <w:pPr>
        <w:tabs>
          <w:tab w:val="left" w:pos="2239"/>
        </w:tabs>
        <w:ind w:left="2239" w:hanging="420"/>
      </w:pPr>
      <w:rPr>
        <w:rFonts w:ascii="Wingdings" w:hAnsi="Wingdings" w:hint="default"/>
      </w:rPr>
    </w:lvl>
    <w:lvl w:ilvl="4">
      <w:start w:val="1"/>
      <w:numFmt w:val="bullet"/>
      <w:lvlText w:val=""/>
      <w:lvlJc w:val="left"/>
      <w:pPr>
        <w:tabs>
          <w:tab w:val="left" w:pos="2659"/>
        </w:tabs>
        <w:ind w:left="2659" w:hanging="420"/>
      </w:pPr>
      <w:rPr>
        <w:rFonts w:ascii="Wingdings" w:hAnsi="Wingdings" w:hint="default"/>
      </w:rPr>
    </w:lvl>
    <w:lvl w:ilvl="5">
      <w:start w:val="1"/>
      <w:numFmt w:val="bullet"/>
      <w:lvlText w:val=""/>
      <w:lvlJc w:val="left"/>
      <w:pPr>
        <w:tabs>
          <w:tab w:val="left" w:pos="3079"/>
        </w:tabs>
        <w:ind w:left="3079" w:hanging="420"/>
      </w:pPr>
      <w:rPr>
        <w:rFonts w:ascii="Wingdings" w:hAnsi="Wingdings" w:hint="default"/>
      </w:rPr>
    </w:lvl>
    <w:lvl w:ilvl="6">
      <w:start w:val="1"/>
      <w:numFmt w:val="bullet"/>
      <w:lvlText w:val=""/>
      <w:lvlJc w:val="left"/>
      <w:pPr>
        <w:tabs>
          <w:tab w:val="left" w:pos="3499"/>
        </w:tabs>
        <w:ind w:left="3499" w:hanging="420"/>
      </w:pPr>
      <w:rPr>
        <w:rFonts w:ascii="Wingdings" w:hAnsi="Wingdings" w:hint="default"/>
      </w:rPr>
    </w:lvl>
    <w:lvl w:ilvl="7">
      <w:start w:val="1"/>
      <w:numFmt w:val="bullet"/>
      <w:lvlText w:val=""/>
      <w:lvlJc w:val="left"/>
      <w:pPr>
        <w:tabs>
          <w:tab w:val="left" w:pos="3919"/>
        </w:tabs>
        <w:ind w:left="3919" w:hanging="420"/>
      </w:pPr>
      <w:rPr>
        <w:rFonts w:ascii="Wingdings" w:hAnsi="Wingdings" w:hint="default"/>
      </w:rPr>
    </w:lvl>
    <w:lvl w:ilvl="8">
      <w:start w:val="1"/>
      <w:numFmt w:val="bullet"/>
      <w:lvlText w:val=""/>
      <w:lvlJc w:val="left"/>
      <w:pPr>
        <w:tabs>
          <w:tab w:val="left" w:pos="4339"/>
        </w:tabs>
        <w:ind w:left="4339" w:hanging="420"/>
      </w:pPr>
      <w:rPr>
        <w:rFonts w:ascii="Wingdings" w:hAnsi="Wingdings" w:hint="default"/>
      </w:rPr>
    </w:lvl>
  </w:abstractNum>
  <w:abstractNum w:abstractNumId="25">
    <w:nsid w:val="613862CE"/>
    <w:multiLevelType w:val="multilevel"/>
    <w:tmpl w:val="613862CE"/>
    <w:lvl w:ilvl="0">
      <w:start w:val="1"/>
      <w:numFmt w:val="decimal"/>
      <w:lvlText w:val="%1."/>
      <w:lvlJc w:val="left"/>
      <w:pPr>
        <w:tabs>
          <w:tab w:val="left" w:pos="981"/>
        </w:tabs>
        <w:ind w:left="981" w:hanging="420"/>
      </w:pPr>
    </w:lvl>
    <w:lvl w:ilvl="1">
      <w:start w:val="1"/>
      <w:numFmt w:val="japaneseCounting"/>
      <w:lvlText w:val="%2、"/>
      <w:lvlJc w:val="left"/>
      <w:pPr>
        <w:tabs>
          <w:tab w:val="left" w:pos="1701"/>
        </w:tabs>
        <w:ind w:left="1701" w:hanging="720"/>
      </w:pPr>
      <w:rPr>
        <w:rFonts w:hint="eastAsia"/>
      </w:rPr>
    </w:lvl>
    <w:lvl w:ilvl="2">
      <w:start w:val="1"/>
      <w:numFmt w:val="lowerRoman"/>
      <w:lvlText w:val="%3."/>
      <w:lvlJc w:val="right"/>
      <w:pPr>
        <w:tabs>
          <w:tab w:val="left" w:pos="1821"/>
        </w:tabs>
        <w:ind w:left="1821" w:hanging="420"/>
      </w:pPr>
    </w:lvl>
    <w:lvl w:ilvl="3">
      <w:start w:val="1"/>
      <w:numFmt w:val="decimal"/>
      <w:lvlText w:val="%4."/>
      <w:lvlJc w:val="left"/>
      <w:pPr>
        <w:tabs>
          <w:tab w:val="left" w:pos="2241"/>
        </w:tabs>
        <w:ind w:left="2241" w:hanging="420"/>
      </w:pPr>
    </w:lvl>
    <w:lvl w:ilvl="4">
      <w:start w:val="1"/>
      <w:numFmt w:val="lowerLetter"/>
      <w:lvlText w:val="%5)"/>
      <w:lvlJc w:val="left"/>
      <w:pPr>
        <w:tabs>
          <w:tab w:val="left" w:pos="2661"/>
        </w:tabs>
        <w:ind w:left="2661" w:hanging="420"/>
      </w:pPr>
    </w:lvl>
    <w:lvl w:ilvl="5">
      <w:start w:val="1"/>
      <w:numFmt w:val="lowerRoman"/>
      <w:lvlText w:val="%6."/>
      <w:lvlJc w:val="right"/>
      <w:pPr>
        <w:tabs>
          <w:tab w:val="left" w:pos="3081"/>
        </w:tabs>
        <w:ind w:left="3081" w:hanging="420"/>
      </w:pPr>
    </w:lvl>
    <w:lvl w:ilvl="6">
      <w:start w:val="1"/>
      <w:numFmt w:val="decimal"/>
      <w:lvlText w:val="%7."/>
      <w:lvlJc w:val="left"/>
      <w:pPr>
        <w:tabs>
          <w:tab w:val="left" w:pos="3501"/>
        </w:tabs>
        <w:ind w:left="3501" w:hanging="420"/>
      </w:pPr>
    </w:lvl>
    <w:lvl w:ilvl="7">
      <w:start w:val="1"/>
      <w:numFmt w:val="lowerLetter"/>
      <w:lvlText w:val="%8)"/>
      <w:lvlJc w:val="left"/>
      <w:pPr>
        <w:tabs>
          <w:tab w:val="left" w:pos="3921"/>
        </w:tabs>
        <w:ind w:left="3921" w:hanging="420"/>
      </w:pPr>
    </w:lvl>
    <w:lvl w:ilvl="8">
      <w:start w:val="1"/>
      <w:numFmt w:val="lowerRoman"/>
      <w:lvlText w:val="%9."/>
      <w:lvlJc w:val="right"/>
      <w:pPr>
        <w:tabs>
          <w:tab w:val="left" w:pos="4341"/>
        </w:tabs>
        <w:ind w:left="4341" w:hanging="420"/>
      </w:pPr>
    </w:lvl>
  </w:abstractNum>
  <w:abstractNum w:abstractNumId="26">
    <w:nsid w:val="65A24A92"/>
    <w:multiLevelType w:val="multilevel"/>
    <w:tmpl w:val="65A24A92"/>
    <w:lvl w:ilvl="0">
      <w:start w:val="1"/>
      <w:numFmt w:val="decimal"/>
      <w:lvlText w:val="%1)"/>
      <w:lvlJc w:val="left"/>
      <w:pPr>
        <w:tabs>
          <w:tab w:val="left" w:pos="980"/>
        </w:tabs>
        <w:ind w:left="980" w:hanging="420"/>
      </w:pPr>
    </w:lvl>
    <w:lvl w:ilvl="1">
      <w:start w:val="1"/>
      <w:numFmt w:val="lowerLetter"/>
      <w:lvlText w:val="%2)"/>
      <w:lvlJc w:val="left"/>
      <w:pPr>
        <w:tabs>
          <w:tab w:val="left" w:pos="1400"/>
        </w:tabs>
        <w:ind w:left="1400" w:hanging="420"/>
      </w:pPr>
    </w:lvl>
    <w:lvl w:ilvl="2">
      <w:start w:val="1"/>
      <w:numFmt w:val="lowerRoman"/>
      <w:lvlText w:val="%3."/>
      <w:lvlJc w:val="right"/>
      <w:pPr>
        <w:tabs>
          <w:tab w:val="left" w:pos="1820"/>
        </w:tabs>
        <w:ind w:left="1820" w:hanging="420"/>
      </w:pPr>
    </w:lvl>
    <w:lvl w:ilvl="3">
      <w:start w:val="1"/>
      <w:numFmt w:val="decimal"/>
      <w:lvlText w:val="%4."/>
      <w:lvlJc w:val="left"/>
      <w:pPr>
        <w:tabs>
          <w:tab w:val="left" w:pos="2240"/>
        </w:tabs>
        <w:ind w:left="2240" w:hanging="420"/>
      </w:pPr>
    </w:lvl>
    <w:lvl w:ilvl="4">
      <w:start w:val="1"/>
      <w:numFmt w:val="lowerLetter"/>
      <w:lvlText w:val="%5)"/>
      <w:lvlJc w:val="left"/>
      <w:pPr>
        <w:tabs>
          <w:tab w:val="left" w:pos="2660"/>
        </w:tabs>
        <w:ind w:left="2660" w:hanging="420"/>
      </w:pPr>
    </w:lvl>
    <w:lvl w:ilvl="5">
      <w:start w:val="1"/>
      <w:numFmt w:val="lowerRoman"/>
      <w:lvlText w:val="%6."/>
      <w:lvlJc w:val="right"/>
      <w:pPr>
        <w:tabs>
          <w:tab w:val="left" w:pos="3080"/>
        </w:tabs>
        <w:ind w:left="3080" w:hanging="420"/>
      </w:pPr>
    </w:lvl>
    <w:lvl w:ilvl="6">
      <w:start w:val="1"/>
      <w:numFmt w:val="decimal"/>
      <w:lvlText w:val="%7."/>
      <w:lvlJc w:val="left"/>
      <w:pPr>
        <w:tabs>
          <w:tab w:val="left" w:pos="3500"/>
        </w:tabs>
        <w:ind w:left="3500" w:hanging="420"/>
      </w:pPr>
    </w:lvl>
    <w:lvl w:ilvl="7">
      <w:start w:val="1"/>
      <w:numFmt w:val="lowerLetter"/>
      <w:lvlText w:val="%8)"/>
      <w:lvlJc w:val="left"/>
      <w:pPr>
        <w:tabs>
          <w:tab w:val="left" w:pos="3920"/>
        </w:tabs>
        <w:ind w:left="3920" w:hanging="420"/>
      </w:pPr>
    </w:lvl>
    <w:lvl w:ilvl="8">
      <w:start w:val="1"/>
      <w:numFmt w:val="lowerRoman"/>
      <w:lvlText w:val="%9."/>
      <w:lvlJc w:val="right"/>
      <w:pPr>
        <w:tabs>
          <w:tab w:val="left" w:pos="4340"/>
        </w:tabs>
        <w:ind w:left="4340" w:hanging="420"/>
      </w:pPr>
    </w:lvl>
  </w:abstractNum>
  <w:abstractNum w:abstractNumId="27">
    <w:nsid w:val="692041C2"/>
    <w:multiLevelType w:val="multilevel"/>
    <w:tmpl w:val="692041C2"/>
    <w:lvl w:ilvl="0">
      <w:start w:val="1"/>
      <w:numFmt w:val="decimal"/>
      <w:lvlText w:val="%1)"/>
      <w:lvlJc w:val="left"/>
      <w:pPr>
        <w:tabs>
          <w:tab w:val="left" w:pos="780"/>
        </w:tabs>
        <w:ind w:left="780" w:hanging="420"/>
      </w:pPr>
    </w:lvl>
    <w:lvl w:ilvl="1">
      <w:start w:val="1"/>
      <w:numFmt w:val="lowerLetter"/>
      <w:lvlText w:val="%2)"/>
      <w:lvlJc w:val="left"/>
      <w:pPr>
        <w:tabs>
          <w:tab w:val="left" w:pos="1200"/>
        </w:tabs>
        <w:ind w:left="1200" w:hanging="420"/>
      </w:pPr>
    </w:lvl>
    <w:lvl w:ilvl="2">
      <w:start w:val="1"/>
      <w:numFmt w:val="lowerRoman"/>
      <w:lvlText w:val="%3."/>
      <w:lvlJc w:val="right"/>
      <w:pPr>
        <w:tabs>
          <w:tab w:val="left" w:pos="1620"/>
        </w:tabs>
        <w:ind w:left="1620" w:hanging="420"/>
      </w:pPr>
    </w:lvl>
    <w:lvl w:ilvl="3">
      <w:start w:val="1"/>
      <w:numFmt w:val="decimal"/>
      <w:lvlText w:val="%4."/>
      <w:lvlJc w:val="left"/>
      <w:pPr>
        <w:tabs>
          <w:tab w:val="left" w:pos="2040"/>
        </w:tabs>
        <w:ind w:left="2040" w:hanging="420"/>
      </w:pPr>
    </w:lvl>
    <w:lvl w:ilvl="4">
      <w:start w:val="1"/>
      <w:numFmt w:val="lowerLetter"/>
      <w:lvlText w:val="%5)"/>
      <w:lvlJc w:val="left"/>
      <w:pPr>
        <w:tabs>
          <w:tab w:val="left" w:pos="2460"/>
        </w:tabs>
        <w:ind w:left="2460" w:hanging="420"/>
      </w:pPr>
    </w:lvl>
    <w:lvl w:ilvl="5">
      <w:start w:val="1"/>
      <w:numFmt w:val="lowerRoman"/>
      <w:lvlText w:val="%6."/>
      <w:lvlJc w:val="right"/>
      <w:pPr>
        <w:tabs>
          <w:tab w:val="left" w:pos="2880"/>
        </w:tabs>
        <w:ind w:left="2880" w:hanging="420"/>
      </w:pPr>
    </w:lvl>
    <w:lvl w:ilvl="6">
      <w:start w:val="1"/>
      <w:numFmt w:val="decimal"/>
      <w:lvlText w:val="%7."/>
      <w:lvlJc w:val="left"/>
      <w:pPr>
        <w:tabs>
          <w:tab w:val="left" w:pos="3300"/>
        </w:tabs>
        <w:ind w:left="3300" w:hanging="420"/>
      </w:pPr>
    </w:lvl>
    <w:lvl w:ilvl="7">
      <w:start w:val="1"/>
      <w:numFmt w:val="lowerLetter"/>
      <w:lvlText w:val="%8)"/>
      <w:lvlJc w:val="left"/>
      <w:pPr>
        <w:tabs>
          <w:tab w:val="left" w:pos="3720"/>
        </w:tabs>
        <w:ind w:left="3720" w:hanging="420"/>
      </w:pPr>
    </w:lvl>
    <w:lvl w:ilvl="8">
      <w:start w:val="1"/>
      <w:numFmt w:val="lowerRoman"/>
      <w:lvlText w:val="%9."/>
      <w:lvlJc w:val="right"/>
      <w:pPr>
        <w:tabs>
          <w:tab w:val="left" w:pos="4140"/>
        </w:tabs>
        <w:ind w:left="4140" w:hanging="420"/>
      </w:pPr>
    </w:lvl>
  </w:abstractNum>
  <w:abstractNum w:abstractNumId="28">
    <w:nsid w:val="6A02291E"/>
    <w:multiLevelType w:val="multilevel"/>
    <w:tmpl w:val="6A02291E"/>
    <w:lvl w:ilvl="0">
      <w:start w:val="1"/>
      <w:numFmt w:val="decimal"/>
      <w:lvlText w:val="%1)"/>
      <w:lvlJc w:val="left"/>
      <w:pPr>
        <w:tabs>
          <w:tab w:val="left" w:pos="780"/>
        </w:tabs>
        <w:ind w:left="780" w:hanging="420"/>
      </w:pPr>
    </w:lvl>
    <w:lvl w:ilvl="1">
      <w:start w:val="1"/>
      <w:numFmt w:val="upperRoman"/>
      <w:pStyle w:val="Heading2"/>
      <w:lvlText w:val="%2."/>
      <w:lvlJc w:val="left"/>
      <w:pPr>
        <w:tabs>
          <w:tab w:val="left" w:pos="1200"/>
        </w:tabs>
        <w:ind w:left="1200" w:hanging="420"/>
      </w:pPr>
    </w:lvl>
    <w:lvl w:ilvl="2">
      <w:start w:val="1"/>
      <w:numFmt w:val="lowerRoman"/>
      <w:lvlText w:val="%3."/>
      <w:lvlJc w:val="right"/>
      <w:pPr>
        <w:tabs>
          <w:tab w:val="left" w:pos="1620"/>
        </w:tabs>
        <w:ind w:left="1620" w:hanging="420"/>
      </w:pPr>
    </w:lvl>
    <w:lvl w:ilvl="3">
      <w:start w:val="1"/>
      <w:numFmt w:val="decimal"/>
      <w:lvlText w:val="%4."/>
      <w:lvlJc w:val="left"/>
      <w:pPr>
        <w:tabs>
          <w:tab w:val="left" w:pos="2040"/>
        </w:tabs>
        <w:ind w:left="2040" w:hanging="420"/>
      </w:pPr>
    </w:lvl>
    <w:lvl w:ilvl="4">
      <w:start w:val="1"/>
      <w:numFmt w:val="lowerLetter"/>
      <w:lvlText w:val="%5)"/>
      <w:lvlJc w:val="left"/>
      <w:pPr>
        <w:tabs>
          <w:tab w:val="left" w:pos="2460"/>
        </w:tabs>
        <w:ind w:left="2460" w:hanging="420"/>
      </w:pPr>
    </w:lvl>
    <w:lvl w:ilvl="5">
      <w:start w:val="1"/>
      <w:numFmt w:val="lowerRoman"/>
      <w:lvlText w:val="%6."/>
      <w:lvlJc w:val="right"/>
      <w:pPr>
        <w:tabs>
          <w:tab w:val="left" w:pos="2880"/>
        </w:tabs>
        <w:ind w:left="2880" w:hanging="420"/>
      </w:pPr>
    </w:lvl>
    <w:lvl w:ilvl="6">
      <w:start w:val="1"/>
      <w:numFmt w:val="decimal"/>
      <w:lvlText w:val="%7."/>
      <w:lvlJc w:val="left"/>
      <w:pPr>
        <w:tabs>
          <w:tab w:val="left" w:pos="3300"/>
        </w:tabs>
        <w:ind w:left="3300" w:hanging="420"/>
      </w:pPr>
    </w:lvl>
    <w:lvl w:ilvl="7">
      <w:start w:val="1"/>
      <w:numFmt w:val="lowerLetter"/>
      <w:lvlText w:val="%8)"/>
      <w:lvlJc w:val="left"/>
      <w:pPr>
        <w:tabs>
          <w:tab w:val="left" w:pos="3720"/>
        </w:tabs>
        <w:ind w:left="3720" w:hanging="420"/>
      </w:pPr>
    </w:lvl>
    <w:lvl w:ilvl="8">
      <w:start w:val="1"/>
      <w:numFmt w:val="lowerRoman"/>
      <w:lvlText w:val="%9."/>
      <w:lvlJc w:val="right"/>
      <w:pPr>
        <w:tabs>
          <w:tab w:val="left" w:pos="4140"/>
        </w:tabs>
        <w:ind w:left="4140" w:hanging="420"/>
      </w:pPr>
    </w:lvl>
  </w:abstractNum>
  <w:abstractNum w:abstractNumId="29">
    <w:nsid w:val="702624FE"/>
    <w:multiLevelType w:val="multilevel"/>
    <w:tmpl w:val="702624FE"/>
    <w:lvl w:ilvl="0">
      <w:start w:val="1"/>
      <w:numFmt w:val="upperLetter"/>
      <w:pStyle w:val="Heading1"/>
      <w:lvlText w:val="%1、"/>
      <w:lvlJc w:val="left"/>
      <w:pPr>
        <w:tabs>
          <w:tab w:val="left" w:pos="1656"/>
        </w:tabs>
        <w:ind w:left="1656" w:hanging="720"/>
      </w:pPr>
      <w:rPr>
        <w:rFonts w:hint="eastAsia"/>
      </w:rPr>
    </w:lvl>
    <w:lvl w:ilvl="1">
      <w:start w:val="1"/>
      <w:numFmt w:val="lowerLetter"/>
      <w:lvlText w:val="%2)"/>
      <w:lvlJc w:val="left"/>
      <w:pPr>
        <w:tabs>
          <w:tab w:val="left" w:pos="1776"/>
        </w:tabs>
        <w:ind w:left="1776" w:hanging="420"/>
      </w:pPr>
    </w:lvl>
    <w:lvl w:ilvl="2">
      <w:start w:val="1"/>
      <w:numFmt w:val="lowerRoman"/>
      <w:lvlText w:val="%3."/>
      <w:lvlJc w:val="right"/>
      <w:pPr>
        <w:tabs>
          <w:tab w:val="left" w:pos="2196"/>
        </w:tabs>
        <w:ind w:left="2196" w:hanging="420"/>
      </w:pPr>
    </w:lvl>
    <w:lvl w:ilvl="3">
      <w:start w:val="1"/>
      <w:numFmt w:val="decimal"/>
      <w:lvlText w:val="%4."/>
      <w:lvlJc w:val="left"/>
      <w:pPr>
        <w:tabs>
          <w:tab w:val="left" w:pos="2616"/>
        </w:tabs>
        <w:ind w:left="2616" w:hanging="420"/>
      </w:pPr>
    </w:lvl>
    <w:lvl w:ilvl="4">
      <w:start w:val="1"/>
      <w:numFmt w:val="lowerLetter"/>
      <w:lvlText w:val="%5)"/>
      <w:lvlJc w:val="left"/>
      <w:pPr>
        <w:tabs>
          <w:tab w:val="left" w:pos="3036"/>
        </w:tabs>
        <w:ind w:left="3036" w:hanging="420"/>
      </w:pPr>
    </w:lvl>
    <w:lvl w:ilvl="5">
      <w:start w:val="1"/>
      <w:numFmt w:val="lowerRoman"/>
      <w:lvlText w:val="%6."/>
      <w:lvlJc w:val="right"/>
      <w:pPr>
        <w:tabs>
          <w:tab w:val="left" w:pos="3456"/>
        </w:tabs>
        <w:ind w:left="3456" w:hanging="420"/>
      </w:pPr>
    </w:lvl>
    <w:lvl w:ilvl="6">
      <w:start w:val="1"/>
      <w:numFmt w:val="decimal"/>
      <w:lvlText w:val="%7."/>
      <w:lvlJc w:val="left"/>
      <w:pPr>
        <w:tabs>
          <w:tab w:val="left" w:pos="3876"/>
        </w:tabs>
        <w:ind w:left="3876" w:hanging="420"/>
      </w:pPr>
    </w:lvl>
    <w:lvl w:ilvl="7">
      <w:start w:val="1"/>
      <w:numFmt w:val="lowerLetter"/>
      <w:lvlText w:val="%8)"/>
      <w:lvlJc w:val="left"/>
      <w:pPr>
        <w:tabs>
          <w:tab w:val="left" w:pos="4296"/>
        </w:tabs>
        <w:ind w:left="4296" w:hanging="420"/>
      </w:pPr>
    </w:lvl>
    <w:lvl w:ilvl="8">
      <w:start w:val="1"/>
      <w:numFmt w:val="lowerRoman"/>
      <w:lvlText w:val="%9."/>
      <w:lvlJc w:val="right"/>
      <w:pPr>
        <w:tabs>
          <w:tab w:val="left" w:pos="4716"/>
        </w:tabs>
        <w:ind w:left="4716" w:hanging="420"/>
      </w:pPr>
    </w:lvl>
  </w:abstractNum>
  <w:abstractNum w:abstractNumId="30">
    <w:nsid w:val="7A5E28AF"/>
    <w:multiLevelType w:val="multilevel"/>
    <w:tmpl w:val="7A5E28AF"/>
    <w:lvl w:ilvl="0">
      <w:start w:val="1"/>
      <w:numFmt w:val="decimal"/>
      <w:lvlText w:val="%1)"/>
      <w:lvlJc w:val="left"/>
      <w:pPr>
        <w:tabs>
          <w:tab w:val="left" w:pos="700"/>
        </w:tabs>
        <w:ind w:left="700" w:hanging="420"/>
      </w:pPr>
    </w:lvl>
    <w:lvl w:ilvl="1">
      <w:start w:val="1"/>
      <w:numFmt w:val="lowerLetter"/>
      <w:lvlText w:val="%2)"/>
      <w:lvlJc w:val="left"/>
      <w:pPr>
        <w:tabs>
          <w:tab w:val="left" w:pos="1120"/>
        </w:tabs>
        <w:ind w:left="1120" w:hanging="420"/>
      </w:pPr>
    </w:lvl>
    <w:lvl w:ilvl="2">
      <w:start w:val="1"/>
      <w:numFmt w:val="lowerRoman"/>
      <w:lvlText w:val="%3."/>
      <w:lvlJc w:val="right"/>
      <w:pPr>
        <w:tabs>
          <w:tab w:val="left" w:pos="1540"/>
        </w:tabs>
        <w:ind w:left="1540" w:hanging="420"/>
      </w:pPr>
    </w:lvl>
    <w:lvl w:ilvl="3">
      <w:start w:val="1"/>
      <w:numFmt w:val="decimal"/>
      <w:lvlText w:val="%4."/>
      <w:lvlJc w:val="left"/>
      <w:pPr>
        <w:tabs>
          <w:tab w:val="left" w:pos="1960"/>
        </w:tabs>
        <w:ind w:left="1960" w:hanging="420"/>
      </w:pPr>
    </w:lvl>
    <w:lvl w:ilvl="4">
      <w:start w:val="1"/>
      <w:numFmt w:val="lowerLetter"/>
      <w:lvlText w:val="%5)"/>
      <w:lvlJc w:val="left"/>
      <w:pPr>
        <w:tabs>
          <w:tab w:val="left" w:pos="2380"/>
        </w:tabs>
        <w:ind w:left="2380" w:hanging="420"/>
      </w:pPr>
    </w:lvl>
    <w:lvl w:ilvl="5">
      <w:start w:val="1"/>
      <w:numFmt w:val="lowerRoman"/>
      <w:lvlText w:val="%6."/>
      <w:lvlJc w:val="right"/>
      <w:pPr>
        <w:tabs>
          <w:tab w:val="left" w:pos="2800"/>
        </w:tabs>
        <w:ind w:left="2800" w:hanging="420"/>
      </w:pPr>
    </w:lvl>
    <w:lvl w:ilvl="6">
      <w:start w:val="1"/>
      <w:numFmt w:val="decimal"/>
      <w:lvlText w:val="%7."/>
      <w:lvlJc w:val="left"/>
      <w:pPr>
        <w:tabs>
          <w:tab w:val="left" w:pos="3220"/>
        </w:tabs>
        <w:ind w:left="3220" w:hanging="420"/>
      </w:pPr>
    </w:lvl>
    <w:lvl w:ilvl="7">
      <w:start w:val="1"/>
      <w:numFmt w:val="lowerLetter"/>
      <w:lvlText w:val="%8)"/>
      <w:lvlJc w:val="left"/>
      <w:pPr>
        <w:tabs>
          <w:tab w:val="left" w:pos="3640"/>
        </w:tabs>
        <w:ind w:left="3640" w:hanging="420"/>
      </w:pPr>
    </w:lvl>
    <w:lvl w:ilvl="8">
      <w:start w:val="1"/>
      <w:numFmt w:val="lowerRoman"/>
      <w:lvlText w:val="%9."/>
      <w:lvlJc w:val="right"/>
      <w:pPr>
        <w:tabs>
          <w:tab w:val="left" w:pos="4060"/>
        </w:tabs>
        <w:ind w:left="4060" w:hanging="420"/>
      </w:pPr>
    </w:lvl>
  </w:abstractNum>
  <w:num w:numId="1">
    <w:abstractNumId w:val="29"/>
  </w:num>
  <w:num w:numId="2">
    <w:abstractNumId w:val="28"/>
  </w:num>
  <w:num w:numId="3">
    <w:abstractNumId w:val="7"/>
  </w:num>
  <w:num w:numId="4">
    <w:abstractNumId w:val="25"/>
  </w:num>
  <w:num w:numId="5">
    <w:abstractNumId w:val="8"/>
  </w:num>
  <w:num w:numId="6">
    <w:abstractNumId w:val="15"/>
  </w:num>
  <w:num w:numId="7">
    <w:abstractNumId w:val="24"/>
  </w:num>
  <w:num w:numId="8">
    <w:abstractNumId w:val="11"/>
  </w:num>
  <w:num w:numId="9">
    <w:abstractNumId w:val="17"/>
  </w:num>
  <w:num w:numId="10">
    <w:abstractNumId w:val="22"/>
  </w:num>
  <w:num w:numId="11">
    <w:abstractNumId w:val="16"/>
  </w:num>
  <w:num w:numId="12">
    <w:abstractNumId w:val="19"/>
  </w:num>
  <w:num w:numId="13">
    <w:abstractNumId w:val="12"/>
  </w:num>
  <w:num w:numId="14">
    <w:abstractNumId w:val="21"/>
  </w:num>
  <w:num w:numId="15">
    <w:abstractNumId w:val="20"/>
  </w:num>
  <w:num w:numId="16">
    <w:abstractNumId w:val="27"/>
  </w:num>
  <w:num w:numId="17">
    <w:abstractNumId w:val="1"/>
  </w:num>
  <w:num w:numId="18">
    <w:abstractNumId w:val="30"/>
  </w:num>
  <w:num w:numId="19">
    <w:abstractNumId w:val="18"/>
  </w:num>
  <w:num w:numId="20">
    <w:abstractNumId w:val="10"/>
  </w:num>
  <w:num w:numId="21">
    <w:abstractNumId w:val="26"/>
  </w:num>
  <w:num w:numId="22">
    <w:abstractNumId w:val="0"/>
  </w:num>
  <w:num w:numId="23">
    <w:abstractNumId w:val="6"/>
  </w:num>
  <w:num w:numId="24">
    <w:abstractNumId w:val="14"/>
  </w:num>
  <w:num w:numId="25">
    <w:abstractNumId w:val="3"/>
  </w:num>
  <w:num w:numId="26">
    <w:abstractNumId w:val="5"/>
  </w:num>
  <w:num w:numId="27">
    <w:abstractNumId w:val="23"/>
  </w:num>
  <w:num w:numId="28">
    <w:abstractNumId w:val="9"/>
  </w:num>
  <w:num w:numId="29">
    <w:abstractNumId w:val="2"/>
  </w:num>
  <w:num w:numId="30">
    <w:abstractNumId w:val="13"/>
  </w:num>
  <w:num w:numId="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4"/>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252B25"/>
    <w:rsid w:val="002B0B1C"/>
    <w:rsid w:val="007D1BB9"/>
    <w:rsid w:val="00C1729B"/>
    <w:rsid w:val="00C3480A"/>
    <w:rsid w:val="00D16826"/>
    <w:rsid w:val="00E73211"/>
    <w:rsid w:val="00EF34AA"/>
    <w:rsid w:val="00FC25C7"/>
    <w:rsid w:val="1B775F20"/>
    <w:rsid w:val="49B755B6"/>
    <w:rsid w:val="53D629E8"/>
    <w:rsid w:val="5E280D51"/>
    <w:rsid w:val="6F5A3C93"/>
    <w:rsid w:val="755342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uiPriority="0" w:unhideWhenUsed="0"/>
    <w:lsdException w:name="Body Text Indent"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paragraph" w:styleId="Heading1">
    <w:name w:val="heading 1"/>
    <w:basedOn w:val="Normal"/>
    <w:next w:val="Normal0"/>
    <w:qFormat/>
    <w:pPr>
      <w:keepNext/>
      <w:numPr>
        <w:ilvl w:val="0"/>
        <w:numId w:val="1"/>
      </w:numPr>
      <w:tabs>
        <w:tab w:val="left" w:pos="1260"/>
        <w:tab w:val="clear" w:pos="1656"/>
      </w:tabs>
      <w:spacing w:line="480" w:lineRule="auto"/>
      <w:ind w:left="1656" w:hanging="720"/>
      <w:outlineLvl w:val="0"/>
    </w:pPr>
    <w:rPr>
      <w:rFonts w:ascii="宋体" w:hAnsi="Times New Roman"/>
      <w:sz w:val="28"/>
      <w:szCs w:val="24"/>
      <w:shd w:val="pct10" w:color="auto" w:fill="FFFFFF"/>
    </w:rPr>
  </w:style>
  <w:style w:type="paragraph" w:styleId="Heading2">
    <w:name w:val="heading 2"/>
    <w:basedOn w:val="Normal"/>
    <w:next w:val="Normal0"/>
    <w:autoRedefine/>
    <w:qFormat/>
    <w:pPr>
      <w:keepNext/>
      <w:numPr>
        <w:ilvl w:val="1"/>
        <w:numId w:val="2"/>
      </w:numPr>
      <w:tabs>
        <w:tab w:val="left" w:pos="900"/>
        <w:tab w:val="clear" w:pos="1200"/>
      </w:tabs>
      <w:ind w:left="1200" w:hanging="420"/>
      <w:outlineLvl w:val="1"/>
    </w:pPr>
    <w:rPr>
      <w:rFonts w:ascii="宋体" w:hAnsi="宋体"/>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customStyle="1" w:styleId="Normal0">
    <w:name w:val="Normal_0"/>
    <w:qFormat/>
    <w:pPr>
      <w:widowControl w:val="0"/>
      <w:jc w:val="both"/>
    </w:pPr>
    <w:rPr>
      <w:rFonts w:ascii="Times New Roman" w:eastAsia="宋体" w:hAnsi="Times New Roman" w:cstheme="minorBidi"/>
      <w:kern w:val="2"/>
      <w:sz w:val="21"/>
      <w:szCs w:val="24"/>
      <w:lang w:val="en-US" w:eastAsia="zh-CN" w:bidi="ar-SA"/>
    </w:rPr>
  </w:style>
  <w:style w:type="paragraph" w:styleId="BodyText">
    <w:name w:val="Body Text"/>
    <w:basedOn w:val="Normal"/>
    <w:semiHidden/>
    <w:pPr>
      <w:spacing w:after="156"/>
    </w:pPr>
    <w:rPr>
      <w:rFonts w:ascii="Times New Roman" w:hAnsi="Times New Roman"/>
      <w:bCs/>
      <w:sz w:val="28"/>
      <w:szCs w:val="24"/>
    </w:rPr>
  </w:style>
  <w:style w:type="paragraph" w:styleId="BodyTextIndent">
    <w:name w:val="Body Text Indent"/>
    <w:basedOn w:val="Normal"/>
    <w:semiHidden/>
    <w:pPr>
      <w:spacing w:line="600" w:lineRule="exact"/>
      <w:ind w:left="1440"/>
    </w:pPr>
    <w:rPr>
      <w:rFonts w:ascii="Times New Roman" w:hAnsi="Times New Roman"/>
      <w:sz w:val="28"/>
      <w:szCs w:val="24"/>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BodyTextIndent3">
    <w:name w:val="Body Text Indent 3"/>
    <w:basedOn w:val="Normal"/>
    <w:semiHidden/>
    <w:pPr>
      <w:spacing w:line="600" w:lineRule="exact"/>
      <w:ind w:left="720"/>
    </w:pPr>
    <w:rPr>
      <w:rFonts w:ascii="Times New Roman" w:hAnsi="Times New Roman"/>
      <w:sz w:val="28"/>
      <w:szCs w:val="24"/>
    </w:rPr>
  </w:style>
  <w:style w:type="paragraph" w:styleId="NormalWeb">
    <w:name w:val="Normal (Web)"/>
    <w:basedOn w:val="Normal"/>
    <w:semiHidden/>
    <w:pPr>
      <w:widowControl/>
      <w:spacing w:before="100" w:after="100"/>
      <w:jc w:val="left"/>
    </w:pPr>
    <w:rPr>
      <w:rFonts w:ascii="宋体" w:hAnsi="宋体"/>
      <w:kern w:val="0"/>
      <w:sz w:val="24"/>
      <w:szCs w:val="20"/>
    </w:rPr>
  </w:style>
  <w:style w:type="character" w:styleId="PageNumber">
    <w:name w:val="page number"/>
    <w:basedOn w:val="DefaultParagraphFont"/>
  </w:style>
  <w:style w:type="paragraph" w:customStyle="1" w:styleId="Header0">
    <w:name w:val="Header_0"/>
    <w:basedOn w:val="Normal0"/>
    <w:semiHidden/>
    <w:pPr>
      <w:pBdr>
        <w:bottom w:val="single" w:sz="6" w:space="1" w:color="auto"/>
      </w:pBdr>
      <w:tabs>
        <w:tab w:val="center" w:pos="4153"/>
        <w:tab w:val="right" w:pos="8306"/>
      </w:tabs>
      <w:snapToGrid w:val="0"/>
      <w:jc w:val="center"/>
    </w:pPr>
    <w:rPr>
      <w:sz w:val="18"/>
      <w:szCs w:val="18"/>
    </w:rPr>
  </w:style>
  <w:style w:type="paragraph" w:customStyle="1" w:styleId="Footer0">
    <w:name w:val="Footer_0"/>
    <w:basedOn w:val="Normal0"/>
    <w:semiHidden/>
    <w:pPr>
      <w:tabs>
        <w:tab w:val="center" w:pos="4153"/>
        <w:tab w:val="right" w:pos="8306"/>
      </w:tabs>
      <w:snapToGrid w:val="0"/>
      <w:jc w:val="left"/>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yperlink" Target="https://d.book118.com/697016010103006045" TargetMode="External" /><Relationship Id="rId54" Type="http://schemas.openxmlformats.org/officeDocument/2006/relationships/header" Target="header25.xml" /><Relationship Id="rId55" Type="http://schemas.openxmlformats.org/officeDocument/2006/relationships/footer" Target="footer25.xml" /><Relationship Id="rId56" Type="http://schemas.openxmlformats.org/officeDocument/2006/relationships/theme" Target="theme/theme1.xml" /><Relationship Id="rId57" Type="http://schemas.openxmlformats.org/officeDocument/2006/relationships/numbering" Target="numbering.xml" /><Relationship Id="rId58" Type="http://schemas.openxmlformats.org/officeDocument/2006/relationships/styles" Target="styles.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0"/>
    <customShpInfo spid="_x0000_s1025"/>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33</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高永</cp:lastModifiedBy>
  <cp:revision>5</cp:revision>
  <dcterms:created xsi:type="dcterms:W3CDTF">2015-12-21T08:03:00Z</dcterms:created>
  <dcterms:modified xsi:type="dcterms:W3CDTF">2024-02-23T15:04:53Z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46ACB4B77486479C9620A796808B85DB_12</vt:lpwstr>
  </property>
  <property fmtid="{D5CDD505-2E9C-101B-9397-08002B2CF9AE}" pid="3" name="KSOProductBuildVer">
    <vt:lpwstr>2052-12.1.0.16388</vt:lpwstr>
  </property>
</Properties>
</file>