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spacing w:before="7"/>
        <w:ind w:left="0"/>
        <w:rPr>
          <w:rFonts w:ascii="Times New Roman"/>
          <w:sz w:val="24"/>
        </w:rPr>
      </w:pPr>
      <w:r>
        <w:drawing>
          <wp:anchor distT="0" distB="0" distL="0" distR="0" simplePos="0" relativeHeight="251658240" behindDoc="1" locked="0" layoutInCell="1" allowOverlap="1">
            <wp:simplePos x="0" y="0"/>
            <wp:positionH relativeFrom="page">
              <wp:posOffset>1676400</wp:posOffset>
            </wp:positionH>
            <wp:positionV relativeFrom="page">
              <wp:posOffset>1168400</wp:posOffset>
            </wp:positionV>
            <wp:extent cx="8001000" cy="13093700"/>
            <wp:effectExtent l="0" t="0" r="0" b="0"/>
            <wp:wrapNone/>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pic:nvPicPr>
                  <pic:blipFill>
                    <a:blip xmlns:r="http://schemas.openxmlformats.org/officeDocument/2006/relationships" r:embed="rId4" cstate="print"/>
                    <a:stretch>
                      <a:fillRect/>
                    </a:stretch>
                  </pic:blipFill>
                  <pic:spPr>
                    <a:xfrm>
                      <a:off x="0" y="0"/>
                      <a:ext cx="8001000" cy="13093700"/>
                    </a:xfrm>
                    <a:prstGeom prst="rect">
                      <a:avLst/>
                    </a:prstGeom>
                  </pic:spPr>
                </pic:pic>
              </a:graphicData>
            </a:graphic>
          </wp:anchor>
        </w:drawing>
      </w:r>
    </w:p>
    <w:p>
      <w:pPr>
        <w:pStyle w:val="Title"/>
        <w:spacing w:line="566" w:lineRule="auto"/>
        <w:rPr>
          <w:b w:val="0"/>
        </w:rPr>
      </w:pPr>
      <w:r>
        <w:t>篇一</w:t>
      </w:r>
      <w:r>
        <w:rPr>
          <w:rFonts w:ascii="幼圆" w:eastAsia="幼圆" w:hint="eastAsia"/>
        </w:rPr>
        <w:t>：</w:t>
      </w:r>
      <w:r>
        <w:t>房地产营销筹划方案</w:t>
      </w:r>
      <w:r>
        <w:rPr>
          <w:b w:val="0"/>
          <w:spacing w:val="38"/>
        </w:rPr>
        <w:t>前 言</w:t>
      </w:r>
    </w:p>
    <w:p>
      <w:pPr>
        <w:pStyle w:val="BodyText"/>
        <w:spacing w:line="457" w:lineRule="exact"/>
      </w:pPr>
      <w:r>
        <w:t>在商业地产销售进展日益成熟的的今日</w:t>
      </w:r>
      <w:r>
        <w:rPr>
          <w:rFonts w:ascii="Malgun Gothic" w:eastAsia="Malgun Gothic" w:hint="eastAsia"/>
        </w:rPr>
        <w:t>，</w:t>
      </w:r>
      <w:r>
        <w:t>房地产营销筹划在商业地产的销售与招商过程中</w:t>
      </w:r>
    </w:p>
    <w:p>
      <w:pPr>
        <w:pStyle w:val="BodyText"/>
        <w:spacing w:before="374"/>
        <w:rPr>
          <w:rFonts w:ascii="Malgun Gothic" w:eastAsia="Malgun Gothic" w:hint="eastAsia"/>
        </w:rPr>
      </w:pPr>
      <w:r>
        <w:t>越来越重要</w:t>
      </w:r>
      <w:r>
        <w:rPr>
          <w:rFonts w:ascii="Malgun Gothic" w:eastAsia="Malgun Gothic" w:hint="eastAsia"/>
        </w:rPr>
        <w:t>，</w:t>
      </w:r>
      <w:r>
        <w:t>商铺要想卖得好</w:t>
      </w:r>
      <w:r>
        <w:rPr>
          <w:rFonts w:ascii="Malgun Gothic" w:eastAsia="Malgun Gothic" w:hint="eastAsia"/>
        </w:rPr>
        <w:t>，</w:t>
      </w:r>
      <w:r>
        <w:t>前期的营销筹划必不行少</w:t>
      </w:r>
      <w:r>
        <w:rPr>
          <w:rFonts w:ascii="Malgun Gothic" w:eastAsia="Malgun Gothic" w:hint="eastAsia"/>
        </w:rPr>
        <w:t>，</w:t>
      </w:r>
      <w:r>
        <w:t>而且必需做到位</w:t>
      </w:r>
      <w:r>
        <w:rPr>
          <w:rFonts w:ascii="Malgun Gothic" w:eastAsia="Malgun Gothic" w:hint="eastAsia"/>
        </w:rPr>
        <w:t>。</w:t>
      </w:r>
    </w:p>
    <w:p>
      <w:pPr>
        <w:pStyle w:val="BodyText"/>
        <w:spacing w:before="301" w:line="429" w:lineRule="auto"/>
        <w:ind w:right="282"/>
        <w:rPr>
          <w:rFonts w:ascii="Malgun Gothic" w:eastAsia="Malgun Gothic" w:hAnsi="Malgun Gothic" w:hint="eastAsia"/>
        </w:rPr>
      </w:pPr>
      <w:r>
        <w:rPr>
          <w:rFonts w:ascii="Malgun Gothic" w:eastAsia="Malgun Gothic" w:hAnsi="Malgun Gothic" w:hint="eastAsia"/>
        </w:rPr>
        <w:t>××</w:t>
      </w:r>
      <w:r>
        <w:t>商业城工程是</w:t>
      </w:r>
      <w:r>
        <w:rPr>
          <w:rFonts w:ascii="Malgun Gothic" w:eastAsia="Malgun Gothic" w:hAnsi="Malgun Gothic" w:hint="eastAsia"/>
        </w:rPr>
        <w:t>××</w:t>
      </w:r>
      <w:r>
        <w:t>房地产开发公司开发的精品物业</w:t>
      </w:r>
      <w:r>
        <w:rPr>
          <w:rFonts w:ascii="Malgun Gothic" w:eastAsia="Malgun Gothic" w:hAnsi="Malgun Gothic" w:hint="eastAsia"/>
        </w:rPr>
        <w:t>，</w:t>
      </w:r>
      <w:r>
        <w:t>将成为</w:t>
      </w:r>
      <w:r>
        <w:rPr>
          <w:rFonts w:ascii="Malgun Gothic" w:eastAsia="Malgun Gothic" w:hAnsi="Malgun Gothic" w:hint="eastAsia"/>
        </w:rPr>
        <w:t>××</w:t>
      </w:r>
      <w:r>
        <w:t>市北区的型休闲地产商业的经典作品</w:t>
      </w:r>
      <w:r>
        <w:rPr>
          <w:rFonts w:ascii="Malgun Gothic" w:eastAsia="Malgun Gothic" w:hAnsi="Malgun Gothic" w:hint="eastAsia"/>
        </w:rPr>
        <w:t>。</w:t>
      </w:r>
    </w:p>
    <w:p>
      <w:pPr>
        <w:pStyle w:val="BodyText"/>
        <w:spacing w:line="422" w:lineRule="exact"/>
      </w:pPr>
      <w:r>
        <w:rPr>
          <w:rFonts w:ascii="Malgun Gothic" w:eastAsia="Malgun Gothic" w:hAnsi="Malgun Gothic" w:hint="eastAsia"/>
        </w:rPr>
        <w:t>××</w:t>
      </w:r>
      <w:r>
        <w:t>商业城座落于</w:t>
      </w:r>
      <w:r>
        <w:rPr>
          <w:rFonts w:ascii="Malgun Gothic" w:eastAsia="Malgun Gothic" w:hAnsi="Malgun Gothic" w:hint="eastAsia"/>
        </w:rPr>
        <w:t>××</w:t>
      </w:r>
      <w:r>
        <w:t>市城区北部的</w:t>
      </w:r>
      <w:r>
        <w:rPr>
          <w:rFonts w:ascii="Malgun Gothic" w:eastAsia="Malgun Gothic" w:hAnsi="Malgun Gothic" w:hint="eastAsia"/>
        </w:rPr>
        <w:t>××</w:t>
      </w:r>
      <w:r>
        <w:t>广场旁</w:t>
      </w:r>
      <w:r>
        <w:rPr>
          <w:rFonts w:ascii="Malgun Gothic" w:eastAsia="Malgun Gothic" w:hAnsi="Malgun Gothic" w:hint="eastAsia"/>
        </w:rPr>
        <w:t>，</w:t>
      </w:r>
      <w:r>
        <w:t>是</w:t>
      </w:r>
      <w:r>
        <w:rPr>
          <w:rFonts w:ascii="Malgun Gothic" w:eastAsia="Malgun Gothic" w:hAnsi="Malgun Gothic" w:hint="eastAsia"/>
        </w:rPr>
        <w:t>××</w:t>
      </w:r>
      <w:r>
        <w:t>地产开发公司的建工程</w:t>
      </w:r>
      <w:r>
        <w:rPr>
          <w:rFonts w:ascii="Malgun Gothic" w:eastAsia="Malgun Gothic" w:hAnsi="Malgun Gothic" w:hint="eastAsia"/>
        </w:rPr>
        <w:t>。</w:t>
      </w:r>
      <w:r>
        <w:t>本工程占</w:t>
      </w:r>
    </w:p>
    <w:p>
      <w:pPr>
        <w:pStyle w:val="BodyText"/>
        <w:spacing w:before="11"/>
        <w:ind w:left="0"/>
        <w:rPr>
          <w:sz w:val="34"/>
        </w:rPr>
      </w:pPr>
    </w:p>
    <w:p>
      <w:pPr>
        <w:pStyle w:val="BodyText"/>
        <w:spacing w:line="398" w:lineRule="auto"/>
        <w:ind w:right="167"/>
        <w:rPr>
          <w:rFonts w:ascii="Malgun Gothic" w:eastAsia="Malgun Gothic" w:hint="eastAsia"/>
        </w:rPr>
      </w:pPr>
      <w:r>
        <w:rPr>
          <w:spacing w:val="-20"/>
        </w:rPr>
        <w:t xml:space="preserve">地 </w:t>
      </w:r>
      <w:r>
        <w:rPr>
          <w:rFonts w:ascii="Malgun Gothic" w:eastAsia="Malgun Gothic" w:hint="eastAsia"/>
        </w:rPr>
        <w:t>7</w:t>
      </w:r>
      <w:r>
        <w:rPr>
          <w:rFonts w:ascii="Malgun Gothic" w:eastAsia="Malgun Gothic" w:hint="eastAsia"/>
          <w:spacing w:val="52"/>
        </w:rPr>
        <w:t xml:space="preserve"> </w:t>
      </w:r>
      <w:r>
        <w:rPr>
          <w:rFonts w:ascii="Malgun Gothic" w:eastAsia="Malgun Gothic" w:hint="eastAsia"/>
        </w:rPr>
        <w:t>000</w:t>
      </w:r>
      <w:r>
        <w:rPr>
          <w:rFonts w:ascii="Malgun Gothic" w:eastAsia="Malgun Gothic" w:hint="eastAsia"/>
          <w:spacing w:val="-2"/>
        </w:rPr>
        <w:t xml:space="preserve"> </w:t>
      </w:r>
      <w:r>
        <w:t>平方米</w:t>
      </w:r>
      <w:r>
        <w:rPr>
          <w:rFonts w:ascii="Malgun Gothic" w:eastAsia="Malgun Gothic" w:hint="eastAsia"/>
        </w:rPr>
        <w:t>，</w:t>
      </w:r>
      <w:r>
        <w:t>依据目前的建筑设计建议方案</w:t>
      </w:r>
      <w:r>
        <w:rPr>
          <w:rFonts w:ascii="Malgun Gothic" w:eastAsia="Malgun Gothic" w:hint="eastAsia"/>
        </w:rPr>
        <w:t>，</w:t>
      </w:r>
      <w:r>
        <w:t>工程由三层裙楼</w:t>
      </w:r>
      <w:r>
        <w:rPr>
          <w:rFonts w:ascii="Malgun Gothic" w:eastAsia="Malgun Gothic" w:hint="eastAsia"/>
        </w:rPr>
        <w:t>〔</w:t>
      </w:r>
      <w:r>
        <w:t>含负一层</w:t>
      </w:r>
      <w:r>
        <w:rPr>
          <w:rFonts w:ascii="Malgun Gothic" w:eastAsia="Malgun Gothic" w:hint="eastAsia"/>
        </w:rPr>
        <w:t>〕</w:t>
      </w:r>
      <w:r>
        <w:t>和两栋塔楼</w:t>
      </w:r>
      <w:r>
        <w:rPr>
          <w:rFonts w:ascii="Malgun Gothic" w:eastAsia="Malgun Gothic" w:hint="eastAsia"/>
        </w:rPr>
        <w:t>〔</w:t>
      </w:r>
      <w:r>
        <w:t>分别高四层</w:t>
      </w:r>
      <w:r>
        <w:rPr>
          <w:rFonts w:ascii="Malgun Gothic" w:eastAsia="Malgun Gothic" w:hint="eastAsia"/>
        </w:rPr>
        <w:t>〕</w:t>
      </w:r>
      <w:r>
        <w:t>组成</w:t>
      </w:r>
      <w:r>
        <w:rPr>
          <w:rFonts w:ascii="Malgun Gothic" w:eastAsia="Malgun Gothic" w:hint="eastAsia"/>
        </w:rPr>
        <w:t>，</w:t>
      </w:r>
      <w:r>
        <w:rPr>
          <w:spacing w:val="-4"/>
        </w:rPr>
        <w:t xml:space="preserve">总建筑面积约为 </w:t>
      </w:r>
      <w:r>
        <w:rPr>
          <w:rFonts w:ascii="Malgun Gothic" w:eastAsia="Malgun Gothic" w:hint="eastAsia"/>
        </w:rPr>
        <w:t>15</w:t>
      </w:r>
      <w:r>
        <w:rPr>
          <w:rFonts w:ascii="Malgun Gothic" w:eastAsia="Malgun Gothic" w:hint="eastAsia"/>
          <w:spacing w:val="98"/>
        </w:rPr>
        <w:t xml:space="preserve"> </w:t>
      </w:r>
      <w:r>
        <w:rPr>
          <w:rFonts w:ascii="Malgun Gothic" w:eastAsia="Malgun Gothic" w:hint="eastAsia"/>
        </w:rPr>
        <w:t>000</w:t>
      </w:r>
      <w:r>
        <w:rPr>
          <w:rFonts w:ascii="Malgun Gothic" w:eastAsia="Malgun Gothic" w:hint="eastAsia"/>
          <w:spacing w:val="-6"/>
        </w:rPr>
        <w:t xml:space="preserve"> </w:t>
      </w:r>
      <w:r>
        <w:t>余平方米</w:t>
      </w:r>
      <w:r>
        <w:rPr>
          <w:rFonts w:ascii="Malgun Gothic" w:eastAsia="Malgun Gothic" w:hint="eastAsia"/>
        </w:rPr>
        <w:t>，</w:t>
      </w:r>
      <w:r>
        <w:t>地下车库及设备用房建筑面积</w:t>
      </w:r>
      <w:r>
        <w:rPr>
          <w:spacing w:val="-25"/>
        </w:rPr>
        <w:t xml:space="preserve">为 </w:t>
      </w:r>
      <w:r>
        <w:rPr>
          <w:rFonts w:ascii="Malgun Gothic" w:eastAsia="Malgun Gothic" w:hint="eastAsia"/>
        </w:rPr>
        <w:t>1</w:t>
      </w:r>
      <w:r>
        <w:rPr>
          <w:rFonts w:ascii="Malgun Gothic" w:eastAsia="Malgun Gothic" w:hint="eastAsia"/>
          <w:spacing w:val="81"/>
        </w:rPr>
        <w:t xml:space="preserve"> </w:t>
      </w:r>
      <w:r>
        <w:rPr>
          <w:rFonts w:ascii="Malgun Gothic" w:eastAsia="Malgun Gothic" w:hint="eastAsia"/>
        </w:rPr>
        <w:t>500</w:t>
      </w:r>
      <w:r>
        <w:t>多平方米</w:t>
      </w:r>
      <w:r>
        <w:rPr>
          <w:rFonts w:ascii="Malgun Gothic" w:eastAsia="Malgun Gothic" w:hint="eastAsia"/>
        </w:rPr>
        <w:t>，</w:t>
      </w:r>
      <w:r>
        <w:rPr>
          <w:spacing w:val="5"/>
        </w:rPr>
        <w:t>商业裙楼建筑面积约</w:t>
      </w:r>
      <w:r>
        <w:rPr>
          <w:rFonts w:ascii="Malgun Gothic" w:eastAsia="Malgun Gothic" w:hint="eastAsia"/>
        </w:rPr>
        <w:t>8</w:t>
      </w:r>
      <w:r>
        <w:rPr>
          <w:rFonts w:ascii="Malgun Gothic" w:eastAsia="Malgun Gothic" w:hint="eastAsia"/>
          <w:spacing w:val="80"/>
        </w:rPr>
        <w:t xml:space="preserve"> </w:t>
      </w:r>
      <w:r>
        <w:rPr>
          <w:rFonts w:ascii="Malgun Gothic" w:eastAsia="Malgun Gothic" w:hint="eastAsia"/>
        </w:rPr>
        <w:t>500</w:t>
      </w:r>
      <w:r>
        <w:t>平方米</w:t>
      </w:r>
      <w:r>
        <w:rPr>
          <w:rFonts w:ascii="Malgun Gothic" w:eastAsia="Malgun Gothic" w:hint="eastAsia"/>
        </w:rPr>
        <w:t>，</w:t>
      </w:r>
      <w:r>
        <w:rPr>
          <w:spacing w:val="7"/>
        </w:rPr>
        <w:t>塔楼建筑面积约</w:t>
      </w:r>
      <w:r>
        <w:rPr>
          <w:rFonts w:ascii="Malgun Gothic" w:eastAsia="Malgun Gothic" w:hint="eastAsia"/>
        </w:rPr>
        <w:t>6</w:t>
      </w:r>
      <w:r>
        <w:rPr>
          <w:rFonts w:ascii="Malgun Gothic" w:eastAsia="Malgun Gothic" w:hint="eastAsia"/>
          <w:spacing w:val="81"/>
        </w:rPr>
        <w:t xml:space="preserve"> </w:t>
      </w:r>
      <w:r>
        <w:rPr>
          <w:rFonts w:ascii="Malgun Gothic" w:eastAsia="Malgun Gothic" w:hint="eastAsia"/>
        </w:rPr>
        <w:t>500</w:t>
      </w:r>
      <w:r>
        <w:t>余平方米</w:t>
      </w:r>
      <w:r>
        <w:rPr>
          <w:rFonts w:ascii="Malgun Gothic" w:eastAsia="Malgun Gothic" w:hint="eastAsia"/>
        </w:rPr>
        <w:t>。</w:t>
      </w:r>
      <w:r>
        <w:rPr>
          <w:spacing w:val="-12"/>
        </w:rPr>
        <w:t xml:space="preserve">工程总投资约 </w:t>
      </w:r>
      <w:r>
        <w:rPr>
          <w:rFonts w:ascii="Malgun Gothic" w:eastAsia="Malgun Gothic" w:hint="eastAsia"/>
        </w:rPr>
        <w:t>1</w:t>
      </w:r>
      <w:r>
        <w:rPr>
          <w:rFonts w:ascii="Malgun Gothic" w:eastAsia="Malgun Gothic" w:hint="eastAsia"/>
          <w:spacing w:val="2"/>
        </w:rPr>
        <w:t xml:space="preserve"> </w:t>
      </w:r>
      <w:r>
        <w:rPr>
          <w:rFonts w:ascii="Malgun Gothic" w:eastAsia="Malgun Gothic" w:hint="eastAsia"/>
        </w:rPr>
        <w:t>800</w:t>
      </w:r>
      <w:r>
        <w:rPr>
          <w:rFonts w:ascii="Malgun Gothic" w:eastAsia="Malgun Gothic" w:hint="eastAsia"/>
          <w:spacing w:val="-36"/>
        </w:rPr>
        <w:t xml:space="preserve"> </w:t>
      </w:r>
      <w:r>
        <w:t>万元</w:t>
      </w:r>
      <w:r>
        <w:rPr>
          <w:rFonts w:ascii="Malgun Gothic" w:eastAsia="Malgun Gothic" w:hint="eastAsia"/>
        </w:rPr>
        <w:t>。</w:t>
      </w:r>
    </w:p>
    <w:p>
      <w:pPr>
        <w:pStyle w:val="BodyText"/>
        <w:spacing w:before="11" w:line="400" w:lineRule="auto"/>
        <w:ind w:right="322"/>
        <w:jc w:val="both"/>
        <w:rPr>
          <w:rFonts w:ascii="Malgun Gothic" w:eastAsia="Malgun Gothic" w:hint="eastAsia"/>
        </w:rPr>
      </w:pPr>
      <w:r>
        <w:t>经过前期的市场调研分析</w:t>
      </w:r>
      <w:r>
        <w:rPr>
          <w:rFonts w:ascii="Malgun Gothic" w:eastAsia="Malgun Gothic" w:hint="eastAsia"/>
        </w:rPr>
        <w:t>，</w:t>
      </w:r>
      <w:r>
        <w:t>本工程初步确定为现代化</w:t>
      </w:r>
      <w:r>
        <w:rPr>
          <w:rFonts w:ascii="Malgun Gothic" w:eastAsia="Malgun Gothic" w:hint="eastAsia"/>
        </w:rPr>
        <w:t>、</w:t>
      </w:r>
      <w:r>
        <w:t>多功能的休闲购物商城</w:t>
      </w:r>
      <w:r>
        <w:rPr>
          <w:rFonts w:ascii="Malgun Gothic" w:eastAsia="Malgun Gothic" w:hint="eastAsia"/>
        </w:rPr>
        <w:t>。</w:t>
      </w:r>
      <w:r>
        <w:t>依据这个初步设想</w:t>
      </w:r>
      <w:r>
        <w:rPr>
          <w:rFonts w:ascii="Malgun Gothic" w:eastAsia="Malgun Gothic" w:hint="eastAsia"/>
        </w:rPr>
        <w:t>，</w:t>
      </w:r>
      <w:r>
        <w:t>结合目前工程现状</w:t>
      </w:r>
      <w:r>
        <w:rPr>
          <w:rFonts w:ascii="Malgun Gothic" w:eastAsia="Malgun Gothic" w:hint="eastAsia"/>
        </w:rPr>
        <w:t>，</w:t>
      </w:r>
      <w:r>
        <w:t>本营销企业方案对本工程做了比较系统的市场定位及营销可操作性分析</w:t>
      </w:r>
      <w:r>
        <w:rPr>
          <w:rFonts w:ascii="Malgun Gothic" w:eastAsia="Malgun Gothic" w:hint="eastAsia"/>
        </w:rPr>
        <w:t>，</w:t>
      </w:r>
      <w:r>
        <w:t>从营销筹划的角度动身</w:t>
      </w:r>
      <w:r>
        <w:rPr>
          <w:rFonts w:ascii="Malgun Gothic" w:eastAsia="Malgun Gothic" w:hint="eastAsia"/>
        </w:rPr>
        <w:t>，</w:t>
      </w:r>
      <w:r>
        <w:t>对工程的整体形象包装</w:t>
      </w:r>
      <w:r>
        <w:rPr>
          <w:rFonts w:ascii="Malgun Gothic" w:eastAsia="Malgun Gothic" w:hint="eastAsia"/>
        </w:rPr>
        <w:t>、</w:t>
      </w:r>
      <w:r>
        <w:t>营销组织运行</w:t>
      </w:r>
      <w:r>
        <w:rPr>
          <w:rFonts w:ascii="Malgun Gothic" w:eastAsia="Malgun Gothic" w:hint="eastAsia"/>
        </w:rPr>
        <w:t>、</w:t>
      </w:r>
      <w:r>
        <w:t>市场推广</w:t>
      </w:r>
      <w:r>
        <w:rPr>
          <w:rFonts w:ascii="Malgun Gothic" w:eastAsia="Malgun Gothic" w:hint="eastAsia"/>
        </w:rPr>
        <w:t>、</w:t>
      </w:r>
      <w:r>
        <w:t>广告策略安排</w:t>
      </w:r>
      <w:r>
        <w:rPr>
          <w:rFonts w:ascii="Malgun Gothic" w:eastAsia="Malgun Gothic" w:hint="eastAsia"/>
        </w:rPr>
        <w:t>、</w:t>
      </w:r>
      <w:r>
        <w:t>销售促进等方面都做了全局性和可操作性的论述</w:t>
      </w:r>
      <w:r>
        <w:rPr>
          <w:rFonts w:ascii="Malgun Gothic" w:eastAsia="Malgun Gothic" w:hint="eastAsia"/>
        </w:rPr>
        <w:t>。</w:t>
      </w:r>
    </w:p>
    <w:p>
      <w:pPr>
        <w:pStyle w:val="BodyText"/>
        <w:spacing w:line="551" w:lineRule="exact"/>
      </w:pPr>
      <w:r>
        <w:t>一</w:t>
      </w:r>
      <w:r>
        <w:rPr>
          <w:rFonts w:ascii="Malgun Gothic" w:eastAsia="Malgun Gothic" w:hint="eastAsia"/>
        </w:rPr>
        <w:t>、</w:t>
      </w:r>
      <w:r>
        <w:t>工程营销总体策略</w:t>
      </w:r>
    </w:p>
    <w:p>
      <w:pPr>
        <w:pStyle w:val="BodyText"/>
        <w:spacing w:before="374" w:line="400" w:lineRule="auto"/>
        <w:ind w:right="336"/>
        <w:jc w:val="both"/>
        <w:rPr>
          <w:rFonts w:ascii="Malgun Gothic" w:eastAsia="Malgun Gothic" w:hAnsi="Malgun Gothic" w:hint="eastAsia"/>
        </w:rPr>
      </w:pPr>
      <w:r>
        <w:t>营销总体策略是认真分析</w:t>
      </w:r>
      <w:r>
        <w:rPr>
          <w:rFonts w:ascii="Malgun Gothic" w:eastAsia="Malgun Gothic" w:hAnsi="Malgun Gothic" w:hint="eastAsia"/>
        </w:rPr>
        <w:t>、</w:t>
      </w:r>
      <w:r>
        <w:t>科学划分并精精准入目标市场</w:t>
      </w:r>
      <w:r>
        <w:rPr>
          <w:rFonts w:ascii="Malgun Gothic" w:eastAsia="Malgun Gothic" w:hAnsi="Malgun Gothic" w:hint="eastAsia"/>
        </w:rPr>
        <w:t>，</w:t>
      </w:r>
      <w:r>
        <w:t>通过全方位地运用营销策略</w:t>
      </w:r>
      <w:r>
        <w:rPr>
          <w:rFonts w:ascii="Malgun Gothic" w:eastAsia="Malgun Gothic" w:hAnsi="Malgun Gothic" w:hint="eastAsia"/>
        </w:rPr>
        <w:t>，</w:t>
      </w:r>
      <w:r>
        <w:rPr>
          <w:rFonts w:ascii="Malgun Gothic" w:eastAsia="Malgun Gothic" w:hAnsi="Malgun Gothic" w:hint="eastAsia"/>
          <w:spacing w:val="1"/>
        </w:rPr>
        <w:t xml:space="preserve"> </w:t>
      </w:r>
      <w:r>
        <w:t>最大限度提升工程的附加价值</w:t>
      </w:r>
      <w:r>
        <w:rPr>
          <w:rFonts w:ascii="Malgun Gothic" w:eastAsia="Malgun Gothic" w:hAnsi="Malgun Gothic" w:hint="eastAsia"/>
        </w:rPr>
        <w:t>，</w:t>
      </w:r>
      <w:r>
        <w:t>猎取工程的最大利润</w:t>
      </w:r>
      <w:r>
        <w:rPr>
          <w:rFonts w:ascii="Malgun Gothic" w:eastAsia="Malgun Gothic" w:hAnsi="Malgun Gothic" w:hint="eastAsia"/>
        </w:rPr>
        <w:t>，</w:t>
      </w:r>
      <w:r>
        <w:t>并全面树立和提升企业形象及工程形象</w:t>
      </w:r>
      <w:r>
        <w:rPr>
          <w:rFonts w:ascii="Malgun Gothic" w:eastAsia="Malgun Gothic" w:hAnsi="Malgun Gothic" w:hint="eastAsia"/>
        </w:rPr>
        <w:t>。</w:t>
      </w:r>
      <w:r>
        <w:t>概括本工程的营销总体策略</w:t>
      </w:r>
      <w:r>
        <w:rPr>
          <w:rFonts w:ascii="Malgun Gothic" w:eastAsia="Malgun Gothic" w:hAnsi="Malgun Gothic" w:hint="eastAsia"/>
        </w:rPr>
        <w:t>，</w:t>
      </w:r>
      <w:r>
        <w:t>可以简述为</w:t>
      </w:r>
      <w:r>
        <w:rPr>
          <w:rFonts w:ascii="Malgun Gothic" w:eastAsia="Malgun Gothic" w:hAnsi="Malgun Gothic" w:hint="eastAsia"/>
        </w:rPr>
        <w:t>“</w:t>
      </w:r>
      <w:r>
        <w:t>五个一</w:t>
      </w:r>
      <w:r>
        <w:rPr>
          <w:rFonts w:ascii="Malgun Gothic" w:eastAsia="Malgun Gothic" w:hAnsi="Malgun Gothic" w:hint="eastAsia"/>
        </w:rPr>
        <w:t>”，</w:t>
      </w:r>
      <w:r>
        <w:t>即树立一个锐概念</w:t>
      </w:r>
      <w:r>
        <w:rPr>
          <w:rFonts w:ascii="Malgun Gothic" w:eastAsia="Malgun Gothic" w:hAnsi="Malgun Gothic" w:hint="eastAsia"/>
        </w:rPr>
        <w:t>、</w:t>
      </w:r>
      <w:r>
        <w:t>提倡一个财宝理念</w:t>
      </w:r>
      <w:r>
        <w:rPr>
          <w:rFonts w:ascii="Malgun Gothic" w:eastAsia="Malgun Gothic" w:hAnsi="Malgun Gothic" w:hint="eastAsia"/>
        </w:rPr>
        <w:t>、</w:t>
      </w:r>
      <w:r>
        <w:t>提炼一个鲜亮主题</w:t>
      </w:r>
      <w:r>
        <w:rPr>
          <w:rFonts w:ascii="Malgun Gothic" w:eastAsia="Malgun Gothic" w:hAnsi="Malgun Gothic" w:hint="eastAsia"/>
        </w:rPr>
        <w:t>、</w:t>
      </w:r>
      <w:r>
        <w:t>启动一个前卫市场</w:t>
      </w:r>
      <w:r>
        <w:rPr>
          <w:rFonts w:ascii="Malgun Gothic" w:eastAsia="Malgun Gothic" w:hAnsi="Malgun Gothic" w:hint="eastAsia"/>
        </w:rPr>
        <w:t>、</w:t>
      </w:r>
      <w:r>
        <w:t>酝酿一场热销风暴</w:t>
      </w:r>
      <w:r>
        <w:rPr>
          <w:rFonts w:ascii="Malgun Gothic" w:eastAsia="Malgun Gothic" w:hAnsi="Malgun Gothic" w:hint="eastAsia"/>
        </w:rPr>
        <w:t>。</w:t>
      </w:r>
    </w:p>
    <w:p>
      <w:pPr>
        <w:pStyle w:val="BodyText"/>
        <w:spacing w:line="552" w:lineRule="exact"/>
      </w:pPr>
      <w:r>
        <w:t>二</w:t>
      </w:r>
      <w:r>
        <w:rPr>
          <w:rFonts w:ascii="Malgun Gothic" w:eastAsia="Malgun Gothic" w:hint="eastAsia"/>
        </w:rPr>
        <w:t>、</w:t>
      </w:r>
      <w:r>
        <w:t>工程营销目标方针</w:t>
      </w:r>
    </w:p>
    <w:p>
      <w:pPr>
        <w:pStyle w:val="BodyText"/>
        <w:spacing w:before="374"/>
      </w:pPr>
      <w:r>
        <w:t>依据本工程</w:t>
      </w:r>
      <w:r>
        <w:rPr>
          <w:rFonts w:ascii="Malgun Gothic" w:eastAsia="Malgun Gothic" w:hAnsi="Malgun Gothic" w:hint="eastAsia"/>
        </w:rPr>
        <w:t>“</w:t>
      </w:r>
      <w:r>
        <w:t>五个一</w:t>
      </w:r>
      <w:r>
        <w:rPr>
          <w:rFonts w:ascii="Malgun Gothic" w:eastAsia="Malgun Gothic" w:hAnsi="Malgun Gothic" w:hint="eastAsia"/>
        </w:rPr>
        <w:t>”</w:t>
      </w:r>
      <w:r>
        <w:t>的总体营销策略</w:t>
      </w:r>
      <w:r>
        <w:rPr>
          <w:rFonts w:ascii="Malgun Gothic" w:eastAsia="Malgun Gothic" w:hAnsi="Malgun Gothic" w:hint="eastAsia"/>
        </w:rPr>
        <w:t>，</w:t>
      </w:r>
      <w:r>
        <w:t>拟订本工程的营销目标方针如下</w:t>
      </w:r>
      <w:r>
        <w:rPr>
          <w:rFonts w:ascii="Malgun Gothic" w:eastAsia="Malgun Gothic" w:hAnsi="Malgun Gothic" w:hint="eastAsia"/>
        </w:rPr>
        <w:t>，</w:t>
      </w:r>
      <w:r>
        <w:t>作为本工程营销</w:t>
      </w:r>
    </w:p>
    <w:p>
      <w:pPr>
        <w:spacing w:after="0"/>
        <w:sectPr>
          <w:headerReference w:type="default" r:id="rId5"/>
          <w:footerReference w:type="default" r:id="rId6"/>
          <w:type w:val="continuous"/>
          <w:pgSz w:w="17860" w:h="25260"/>
          <w:pgMar w:top="1820" w:right="2500" w:bottom="2020" w:left="2540" w:header="1103" w:footer="1831"/>
          <w:cols w:space="708"/>
        </w:sectPr>
      </w:pPr>
    </w:p>
    <w:p>
      <w:pPr>
        <w:pStyle w:val="BodyText"/>
        <w:spacing w:before="6"/>
        <w:ind w:left="0"/>
        <w:rPr>
          <w:sz w:val="16"/>
        </w:rPr>
      </w:pPr>
      <w:r>
        <w:drawing>
          <wp:anchor distT="0" distB="0" distL="0" distR="0" simplePos="0" relativeHeight="251659264" behindDoc="1" locked="0" layoutInCell="1" allowOverlap="1">
            <wp:simplePos x="0" y="0"/>
            <wp:positionH relativeFrom="page">
              <wp:posOffset>1676400</wp:posOffset>
            </wp:positionH>
            <wp:positionV relativeFrom="page">
              <wp:posOffset>1168400</wp:posOffset>
            </wp:positionV>
            <wp:extent cx="8001000" cy="13093700"/>
            <wp:effectExtent l="0" t="0" r="0" b="0"/>
            <wp:wrapNone/>
            <wp:docPr id="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2.png"/>
                    <pic:cNvPicPr/>
                  </pic:nvPicPr>
                  <pic:blipFill>
                    <a:blip xmlns:r="http://schemas.openxmlformats.org/officeDocument/2006/relationships" r:embed="rId4" cstate="print"/>
                    <a:stretch>
                      <a:fillRect/>
                    </a:stretch>
                  </pic:blipFill>
                  <pic:spPr>
                    <a:xfrm>
                      <a:off x="0" y="0"/>
                      <a:ext cx="8001000" cy="13093700"/>
                    </a:xfrm>
                    <a:prstGeom prst="rect">
                      <a:avLst/>
                    </a:prstGeom>
                  </pic:spPr>
                </pic:pic>
              </a:graphicData>
            </a:graphic>
          </wp:anchor>
        </w:drawing>
      </w:r>
    </w:p>
    <w:p>
      <w:pPr>
        <w:pStyle w:val="BodyText"/>
        <w:spacing w:before="32"/>
        <w:rPr>
          <w:rFonts w:ascii="Malgun Gothic" w:eastAsia="Malgun Gothic" w:hint="eastAsia"/>
        </w:rPr>
      </w:pPr>
      <w:r>
        <w:t>工作纲领的完善和充实</w:t>
      </w:r>
      <w:r>
        <w:rPr>
          <w:rFonts w:ascii="Malgun Gothic" w:eastAsia="Malgun Gothic" w:hint="eastAsia"/>
        </w:rPr>
        <w:t>。</w:t>
      </w:r>
    </w:p>
    <w:p>
      <w:pPr>
        <w:pStyle w:val="ListParagraph"/>
        <w:numPr>
          <w:ilvl w:val="0"/>
          <w:numId w:val="8"/>
        </w:numPr>
        <w:tabs>
          <w:tab w:val="left" w:pos="561"/>
        </w:tabs>
        <w:spacing w:before="302" w:after="0" w:line="240" w:lineRule="auto"/>
        <w:ind w:left="560" w:right="0" w:hanging="401"/>
        <w:jc w:val="left"/>
        <w:rPr>
          <w:rFonts w:ascii="Malgun Gothic" w:eastAsia="Malgun Gothic" w:hint="eastAsia"/>
          <w:sz w:val="31"/>
        </w:rPr>
      </w:pPr>
      <w:r>
        <w:rPr>
          <w:sz w:val="31"/>
        </w:rPr>
        <w:t>树立一个锐概念</w:t>
      </w:r>
      <w:r>
        <w:rPr>
          <w:rFonts w:ascii="Malgun Gothic" w:eastAsia="Malgun Gothic" w:hint="eastAsia"/>
          <w:sz w:val="31"/>
        </w:rPr>
        <w:t>：</w:t>
      </w:r>
      <w:r>
        <w:rPr>
          <w:sz w:val="31"/>
        </w:rPr>
        <w:t>休闲式购物商业</w:t>
      </w:r>
      <w:r>
        <w:rPr>
          <w:rFonts w:ascii="Malgun Gothic" w:eastAsia="Malgun Gothic" w:hint="eastAsia"/>
          <w:sz w:val="31"/>
        </w:rPr>
        <w:t>。</w:t>
      </w:r>
    </w:p>
    <w:p>
      <w:pPr>
        <w:pStyle w:val="ListParagraph"/>
        <w:numPr>
          <w:ilvl w:val="0"/>
          <w:numId w:val="8"/>
        </w:numPr>
        <w:tabs>
          <w:tab w:val="left" w:pos="561"/>
        </w:tabs>
        <w:spacing w:before="374" w:after="0" w:line="240" w:lineRule="auto"/>
        <w:ind w:left="560" w:right="0" w:hanging="401"/>
        <w:jc w:val="left"/>
        <w:rPr>
          <w:rFonts w:ascii="Malgun Gothic" w:eastAsia="Malgun Gothic" w:hint="eastAsia"/>
          <w:sz w:val="31"/>
        </w:rPr>
      </w:pPr>
      <w:r>
        <w:rPr>
          <w:sz w:val="31"/>
        </w:rPr>
        <w:t>提倡一个财宝理念</w:t>
      </w:r>
      <w:r>
        <w:rPr>
          <w:rFonts w:ascii="Malgun Gothic" w:eastAsia="Malgun Gothic" w:hint="eastAsia"/>
          <w:sz w:val="31"/>
        </w:rPr>
        <w:t>：</w:t>
      </w:r>
      <w:r>
        <w:rPr>
          <w:sz w:val="31"/>
        </w:rPr>
        <w:t>创投性商业</w:t>
      </w:r>
      <w:r>
        <w:rPr>
          <w:rFonts w:ascii="Malgun Gothic" w:eastAsia="Malgun Gothic" w:hint="eastAsia"/>
          <w:sz w:val="31"/>
        </w:rPr>
        <w:t>、</w:t>
      </w:r>
      <w:r>
        <w:rPr>
          <w:sz w:val="31"/>
        </w:rPr>
        <w:t>休闲式购物</w:t>
      </w:r>
      <w:r>
        <w:rPr>
          <w:rFonts w:ascii="Malgun Gothic" w:eastAsia="Malgun Gothic" w:hint="eastAsia"/>
          <w:sz w:val="31"/>
        </w:rPr>
        <w:t>、</w:t>
      </w:r>
      <w:r>
        <w:rPr>
          <w:sz w:val="31"/>
        </w:rPr>
        <w:t>稳定性回报</w:t>
      </w:r>
      <w:r>
        <w:rPr>
          <w:rFonts w:ascii="Malgun Gothic" w:eastAsia="Malgun Gothic" w:hint="eastAsia"/>
          <w:sz w:val="31"/>
        </w:rPr>
        <w:t>。</w:t>
      </w:r>
    </w:p>
    <w:p>
      <w:pPr>
        <w:pStyle w:val="ListParagraph"/>
        <w:numPr>
          <w:ilvl w:val="0"/>
          <w:numId w:val="8"/>
        </w:numPr>
        <w:tabs>
          <w:tab w:val="left" w:pos="1147"/>
        </w:tabs>
        <w:spacing w:before="373" w:after="0" w:line="240" w:lineRule="auto"/>
        <w:ind w:left="1147" w:right="0" w:hanging="400"/>
        <w:jc w:val="both"/>
        <w:rPr>
          <w:rFonts w:ascii="Malgun Gothic" w:eastAsia="Malgun Gothic" w:hint="eastAsia"/>
          <w:sz w:val="31"/>
        </w:rPr>
      </w:pPr>
      <w:r>
        <w:rPr>
          <w:sz w:val="31"/>
        </w:rPr>
        <w:t>提炼一个鲜亮主题</w:t>
      </w:r>
      <w:r>
        <w:rPr>
          <w:rFonts w:ascii="Malgun Gothic" w:eastAsia="Malgun Gothic" w:hint="eastAsia"/>
          <w:sz w:val="31"/>
        </w:rPr>
        <w:t>：</w:t>
      </w:r>
      <w:r>
        <w:rPr>
          <w:sz w:val="31"/>
        </w:rPr>
        <w:t>产权式商铺</w:t>
      </w:r>
      <w:r>
        <w:rPr>
          <w:rFonts w:ascii="Malgun Gothic" w:eastAsia="Malgun Gothic" w:hint="eastAsia"/>
          <w:sz w:val="31"/>
        </w:rPr>
        <w:t>、</w:t>
      </w:r>
      <w:r>
        <w:rPr>
          <w:sz w:val="31"/>
        </w:rPr>
        <w:t>休闲式商业</w:t>
      </w:r>
      <w:r>
        <w:rPr>
          <w:rFonts w:ascii="Malgun Gothic" w:eastAsia="Malgun Gothic" w:hint="eastAsia"/>
          <w:sz w:val="31"/>
        </w:rPr>
        <w:t>。</w:t>
      </w:r>
    </w:p>
    <w:p>
      <w:pPr>
        <w:pStyle w:val="ListParagraph"/>
        <w:numPr>
          <w:ilvl w:val="0"/>
          <w:numId w:val="8"/>
        </w:numPr>
        <w:tabs>
          <w:tab w:val="left" w:pos="561"/>
        </w:tabs>
        <w:spacing w:before="374" w:after="0" w:line="415" w:lineRule="auto"/>
        <w:ind w:left="160" w:right="332" w:firstLine="0"/>
        <w:jc w:val="both"/>
        <w:rPr>
          <w:rFonts w:ascii="Malgun Gothic" w:eastAsia="Malgun Gothic" w:hAnsi="Malgun Gothic" w:hint="eastAsia"/>
          <w:sz w:val="31"/>
        </w:rPr>
      </w:pPr>
      <w:r>
        <w:rPr>
          <w:sz w:val="31"/>
        </w:rPr>
        <w:t>启动一个前卫市场</w:t>
      </w:r>
      <w:r>
        <w:rPr>
          <w:rFonts w:ascii="Malgun Gothic" w:eastAsia="Malgun Gothic" w:hAnsi="Malgun Gothic" w:hint="eastAsia"/>
          <w:sz w:val="31"/>
        </w:rPr>
        <w:t>：</w:t>
      </w:r>
      <w:r>
        <w:rPr>
          <w:sz w:val="31"/>
        </w:rPr>
        <w:t>崇尚</w:t>
      </w:r>
      <w:r>
        <w:rPr>
          <w:rFonts w:ascii="Malgun Gothic" w:eastAsia="Malgun Gothic" w:hAnsi="Malgun Gothic" w:hint="eastAsia"/>
          <w:sz w:val="31"/>
        </w:rPr>
        <w:t>“</w:t>
      </w:r>
      <w:r>
        <w:rPr>
          <w:sz w:val="31"/>
        </w:rPr>
        <w:t>创投性商业</w:t>
      </w:r>
      <w:r>
        <w:rPr>
          <w:rFonts w:ascii="Malgun Gothic" w:eastAsia="Malgun Gothic" w:hAnsi="Malgun Gothic" w:hint="eastAsia"/>
          <w:sz w:val="31"/>
        </w:rPr>
        <w:t>、</w:t>
      </w:r>
      <w:r>
        <w:rPr>
          <w:sz w:val="31"/>
        </w:rPr>
        <w:t>休闲式购物</w:t>
      </w:r>
      <w:r>
        <w:rPr>
          <w:rFonts w:ascii="Malgun Gothic" w:eastAsia="Malgun Gothic" w:hAnsi="Malgun Gothic" w:hint="eastAsia"/>
          <w:sz w:val="31"/>
        </w:rPr>
        <w:t>”，</w:t>
      </w:r>
      <w:r>
        <w:rPr>
          <w:sz w:val="31"/>
        </w:rPr>
        <w:t>摒弃传统商业的纯购物环境压抑与约束</w:t>
      </w:r>
      <w:r>
        <w:rPr>
          <w:rFonts w:ascii="Malgun Gothic" w:eastAsia="Malgun Gothic" w:hAnsi="Malgun Gothic" w:hint="eastAsia"/>
          <w:sz w:val="31"/>
        </w:rPr>
        <w:t>，</w:t>
      </w:r>
      <w:r>
        <w:rPr>
          <w:sz w:val="31"/>
        </w:rPr>
        <w:t>主要面对年轻锐</w:t>
      </w:r>
      <w:r>
        <w:rPr>
          <w:rFonts w:ascii="Malgun Gothic" w:eastAsia="Malgun Gothic" w:hAnsi="Malgun Gothic" w:hint="eastAsia"/>
          <w:sz w:val="31"/>
        </w:rPr>
        <w:t>、</w:t>
      </w:r>
      <w:r>
        <w:rPr>
          <w:sz w:val="31"/>
        </w:rPr>
        <w:t>有自己共性的消费群体</w:t>
      </w:r>
      <w:r>
        <w:rPr>
          <w:rFonts w:ascii="Malgun Gothic" w:eastAsia="Malgun Gothic" w:hAnsi="Malgun Gothic" w:hint="eastAsia"/>
          <w:sz w:val="31"/>
        </w:rPr>
        <w:t>，</w:t>
      </w:r>
      <w:r>
        <w:rPr>
          <w:sz w:val="31"/>
        </w:rPr>
        <w:t>让其体验到休闲模式的商业环境</w:t>
      </w:r>
      <w:r>
        <w:rPr>
          <w:rFonts w:ascii="Malgun Gothic" w:eastAsia="Malgun Gothic" w:hAnsi="Malgun Gothic" w:hint="eastAsia"/>
          <w:sz w:val="31"/>
        </w:rPr>
        <w:t>，</w:t>
      </w:r>
      <w:r>
        <w:rPr>
          <w:rFonts w:ascii="Malgun Gothic" w:eastAsia="Malgun Gothic" w:hAnsi="Malgun Gothic" w:hint="eastAsia"/>
          <w:spacing w:val="1"/>
          <w:sz w:val="31"/>
        </w:rPr>
        <w:t xml:space="preserve"> </w:t>
      </w:r>
      <w:r>
        <w:rPr>
          <w:sz w:val="31"/>
        </w:rPr>
        <w:t>购物主题明确</w:t>
      </w:r>
      <w:r>
        <w:rPr>
          <w:rFonts w:ascii="Malgun Gothic" w:eastAsia="Malgun Gothic" w:hAnsi="Malgun Gothic" w:hint="eastAsia"/>
          <w:sz w:val="31"/>
        </w:rPr>
        <w:t>。</w:t>
      </w:r>
    </w:p>
    <w:p>
      <w:pPr>
        <w:pStyle w:val="ListParagraph"/>
        <w:numPr>
          <w:ilvl w:val="0"/>
          <w:numId w:val="8"/>
        </w:numPr>
        <w:tabs>
          <w:tab w:val="left" w:pos="561"/>
        </w:tabs>
        <w:spacing w:before="0" w:after="0" w:line="453" w:lineRule="exact"/>
        <w:ind w:left="560" w:right="0" w:hanging="401"/>
        <w:jc w:val="both"/>
        <w:rPr>
          <w:sz w:val="31"/>
        </w:rPr>
      </w:pPr>
      <w:r>
        <w:rPr>
          <w:sz w:val="31"/>
        </w:rPr>
        <w:t>酝酿一场热销风暴</w:t>
      </w:r>
      <w:r>
        <w:rPr>
          <w:rFonts w:ascii="Malgun Gothic" w:eastAsia="Malgun Gothic" w:hint="eastAsia"/>
          <w:sz w:val="31"/>
        </w:rPr>
        <w:t>：</w:t>
      </w:r>
      <w:r>
        <w:rPr>
          <w:sz w:val="31"/>
        </w:rPr>
        <w:t>本工程将传统商业行为上升为现代全的休闲商业</w:t>
      </w:r>
      <w:r>
        <w:rPr>
          <w:rFonts w:ascii="Malgun Gothic" w:eastAsia="Malgun Gothic" w:hint="eastAsia"/>
          <w:sz w:val="31"/>
        </w:rPr>
        <w:t>，</w:t>
      </w:r>
      <w:r>
        <w:rPr>
          <w:sz w:val="31"/>
        </w:rPr>
        <w:t>力争推动商业</w:t>
      </w:r>
    </w:p>
    <w:p>
      <w:pPr>
        <w:pStyle w:val="BodyText"/>
        <w:spacing w:before="11"/>
        <w:ind w:left="0"/>
        <w:rPr>
          <w:sz w:val="34"/>
        </w:rPr>
      </w:pPr>
    </w:p>
    <w:p>
      <w:pPr>
        <w:pStyle w:val="BodyText"/>
        <w:spacing w:line="398" w:lineRule="auto"/>
        <w:ind w:right="654"/>
        <w:rPr>
          <w:rFonts w:ascii="Malgun Gothic" w:eastAsia="Malgun Gothic" w:hint="eastAsia"/>
        </w:rPr>
      </w:pPr>
      <w:r>
        <w:t>房地产市场开发的全变革</w:t>
      </w:r>
      <w:r>
        <w:rPr>
          <w:rFonts w:ascii="Malgun Gothic" w:eastAsia="Malgun Gothic" w:hint="eastAsia"/>
        </w:rPr>
        <w:t>，</w:t>
      </w:r>
      <w:r>
        <w:t>避开传统商业的竞争</w:t>
      </w:r>
      <w:r>
        <w:rPr>
          <w:rFonts w:ascii="Malgun Gothic" w:eastAsia="Malgun Gothic" w:hint="eastAsia"/>
        </w:rPr>
        <w:t>，</w:t>
      </w:r>
      <w:r>
        <w:t>在一个全市场里掀起一场热销风暴</w:t>
      </w:r>
      <w:r>
        <w:rPr>
          <w:rFonts w:ascii="Malgun Gothic" w:eastAsia="Malgun Gothic" w:hint="eastAsia"/>
        </w:rPr>
        <w:t>。</w:t>
      </w:r>
    </w:p>
    <w:p>
      <w:pPr>
        <w:pStyle w:val="BodyText"/>
        <w:spacing w:before="6"/>
      </w:pPr>
      <w:r>
        <w:t>三</w:t>
      </w:r>
      <w:r>
        <w:rPr>
          <w:rFonts w:ascii="Malgun Gothic" w:eastAsia="Malgun Gothic" w:hint="eastAsia"/>
        </w:rPr>
        <w:t>、</w:t>
      </w:r>
      <w:r>
        <w:t>销售目标及目标分解</w:t>
      </w:r>
    </w:p>
    <w:p>
      <w:pPr>
        <w:pStyle w:val="ListParagraph"/>
        <w:numPr>
          <w:ilvl w:val="0"/>
          <w:numId w:val="7"/>
        </w:numPr>
        <w:tabs>
          <w:tab w:val="left" w:pos="561"/>
        </w:tabs>
        <w:spacing w:before="301" w:after="0" w:line="240" w:lineRule="auto"/>
        <w:ind w:left="560" w:right="0" w:hanging="401"/>
        <w:jc w:val="left"/>
        <w:rPr>
          <w:sz w:val="31"/>
        </w:rPr>
      </w:pPr>
      <w:r>
        <w:rPr>
          <w:sz w:val="31"/>
        </w:rPr>
        <w:t>销售</w:t>
      </w:r>
      <w:r>
        <w:rPr>
          <w:rFonts w:ascii="Malgun Gothic" w:eastAsia="Malgun Gothic" w:hint="eastAsia"/>
          <w:sz w:val="31"/>
        </w:rPr>
        <w:t>〔</w:t>
      </w:r>
      <w:r>
        <w:rPr>
          <w:sz w:val="31"/>
        </w:rPr>
        <w:t>招商</w:t>
      </w:r>
      <w:r>
        <w:rPr>
          <w:rFonts w:ascii="Malgun Gothic" w:eastAsia="Malgun Gothic" w:hint="eastAsia"/>
          <w:sz w:val="31"/>
        </w:rPr>
        <w:t>〕</w:t>
      </w:r>
      <w:r>
        <w:rPr>
          <w:sz w:val="31"/>
        </w:rPr>
        <w:t>目标</w:t>
      </w:r>
    </w:p>
    <w:p>
      <w:pPr>
        <w:pStyle w:val="ListParagraph"/>
        <w:numPr>
          <w:ilvl w:val="0"/>
          <w:numId w:val="7"/>
        </w:numPr>
        <w:tabs>
          <w:tab w:val="left" w:pos="561"/>
        </w:tabs>
        <w:spacing w:before="374" w:after="0" w:line="429" w:lineRule="auto"/>
        <w:ind w:left="160" w:right="10122" w:firstLine="0"/>
        <w:jc w:val="left"/>
        <w:rPr>
          <w:sz w:val="31"/>
        </w:rPr>
      </w:pPr>
      <w:r>
        <w:rPr>
          <w:sz w:val="31"/>
        </w:rPr>
        <w:t>销售目标分解四</w:t>
      </w:r>
      <w:r>
        <w:rPr>
          <w:rFonts w:ascii="Malgun Gothic" w:eastAsia="Malgun Gothic" w:hint="eastAsia"/>
          <w:sz w:val="31"/>
        </w:rPr>
        <w:t>、</w:t>
      </w:r>
      <w:r>
        <w:rPr>
          <w:sz w:val="31"/>
        </w:rPr>
        <w:t>营销阶段打算</w:t>
      </w:r>
    </w:p>
    <w:p>
      <w:pPr>
        <w:pStyle w:val="BodyText"/>
        <w:spacing w:line="494" w:lineRule="exact"/>
      </w:pPr>
      <w:r>
        <w:t>依据工程的定位及施工进度打算</w:t>
      </w:r>
      <w:r>
        <w:rPr>
          <w:rFonts w:ascii="Malgun Gothic" w:eastAsia="Malgun Gothic" w:hint="eastAsia"/>
        </w:rPr>
        <w:t>，</w:t>
      </w:r>
      <w:r>
        <w:t>将营销工作分为四个阶段</w:t>
      </w:r>
      <w:r>
        <w:rPr>
          <w:rFonts w:ascii="Malgun Gothic" w:eastAsia="Malgun Gothic" w:hint="eastAsia"/>
        </w:rPr>
        <w:t>，</w:t>
      </w:r>
      <w:r>
        <w:t xml:space="preserve">各阶段工作重点如表 </w:t>
      </w:r>
      <w:r>
        <w:rPr>
          <w:rFonts w:ascii="Malgun Gothic" w:eastAsia="Malgun Gothic" w:hint="eastAsia"/>
        </w:rPr>
        <w:t>8-5</w:t>
      </w:r>
      <w:r>
        <w:rPr>
          <w:rFonts w:ascii="Malgun Gothic" w:eastAsia="Malgun Gothic" w:hint="eastAsia"/>
          <w:spacing w:val="83"/>
        </w:rPr>
        <w:t xml:space="preserve"> </w:t>
      </w:r>
      <w:r>
        <w:t>所</w:t>
      </w:r>
    </w:p>
    <w:p>
      <w:pPr>
        <w:pStyle w:val="BodyText"/>
        <w:spacing w:before="374"/>
        <w:rPr>
          <w:rFonts w:ascii="Malgun Gothic" w:eastAsia="Malgun Gothic" w:hint="eastAsia"/>
        </w:rPr>
      </w:pPr>
      <w:r>
        <w:t>示</w:t>
      </w:r>
      <w:r>
        <w:rPr>
          <w:rFonts w:ascii="Malgun Gothic" w:eastAsia="Malgun Gothic" w:hint="eastAsia"/>
        </w:rPr>
        <w:t>。</w:t>
      </w:r>
    </w:p>
    <w:p>
      <w:pPr>
        <w:pStyle w:val="BodyText"/>
        <w:spacing w:before="374"/>
      </w:pPr>
      <w:r>
        <w:t>五</w:t>
      </w:r>
      <w:r>
        <w:rPr>
          <w:rFonts w:ascii="Malgun Gothic" w:eastAsia="Malgun Gothic" w:hint="eastAsia"/>
        </w:rPr>
        <w:t>、</w:t>
      </w:r>
      <w:r>
        <w:t>工程销售时机及价格</w:t>
      </w:r>
    </w:p>
    <w:p>
      <w:pPr>
        <w:pStyle w:val="BodyText"/>
        <w:spacing w:before="374" w:line="400" w:lineRule="auto"/>
        <w:ind w:right="353"/>
        <w:rPr>
          <w:rFonts w:ascii="Malgun Gothic" w:eastAsia="Malgun Gothic" w:hint="eastAsia"/>
        </w:rPr>
      </w:pPr>
      <w:r>
        <w:rPr>
          <w:spacing w:val="-2"/>
        </w:rPr>
        <w:t>为了更好地在后续营销过程中充分表达总体营销策略和达成目标方针的实现</w:t>
      </w:r>
      <w:r>
        <w:rPr>
          <w:rFonts w:ascii="Malgun Gothic" w:eastAsia="Malgun Gothic" w:hint="eastAsia"/>
        </w:rPr>
        <w:t>，</w:t>
      </w:r>
      <w:r>
        <w:t>综合工程要素资源和营销推广传播要素</w:t>
      </w:r>
      <w:r>
        <w:rPr>
          <w:rFonts w:ascii="Malgun Gothic" w:eastAsia="Malgun Gothic" w:hint="eastAsia"/>
        </w:rPr>
        <w:t>，</w:t>
      </w:r>
      <w:r>
        <w:t>结合工程定位</w:t>
      </w:r>
      <w:r>
        <w:rPr>
          <w:rFonts w:ascii="Malgun Gothic" w:eastAsia="Malgun Gothic" w:hint="eastAsia"/>
        </w:rPr>
        <w:t>，</w:t>
      </w:r>
      <w:r>
        <w:t>确定以下销售时机及价格</w:t>
      </w:r>
      <w:r>
        <w:rPr>
          <w:rFonts w:ascii="Malgun Gothic" w:eastAsia="Malgun Gothic" w:hint="eastAsia"/>
        </w:rPr>
        <w:t>。</w:t>
      </w:r>
    </w:p>
    <w:p>
      <w:pPr>
        <w:pStyle w:val="BodyText"/>
        <w:spacing w:line="485" w:lineRule="exact"/>
      </w:pPr>
      <w:r>
        <w:rPr>
          <w:rFonts w:ascii="Malgun Gothic" w:eastAsia="Malgun Gothic" w:hint="eastAsia"/>
        </w:rPr>
        <w:t>〔</w:t>
      </w:r>
      <w:r>
        <w:t>一</w:t>
      </w:r>
      <w:r>
        <w:rPr>
          <w:rFonts w:ascii="Malgun Gothic" w:eastAsia="Malgun Gothic" w:hint="eastAsia"/>
        </w:rPr>
        <w:t>〕</w:t>
      </w:r>
      <w:r>
        <w:t>工程入市时机及姿势</w:t>
      </w:r>
    </w:p>
    <w:p>
      <w:pPr>
        <w:pStyle w:val="ListParagraph"/>
        <w:numPr>
          <w:ilvl w:val="0"/>
          <w:numId w:val="6"/>
        </w:numPr>
        <w:tabs>
          <w:tab w:val="left" w:pos="652"/>
        </w:tabs>
        <w:spacing w:before="374" w:after="0" w:line="240" w:lineRule="auto"/>
        <w:ind w:left="651" w:right="0" w:hanging="492"/>
        <w:jc w:val="left"/>
        <w:rPr>
          <w:sz w:val="31"/>
        </w:rPr>
      </w:pPr>
      <w:r>
        <w:rPr>
          <w:sz w:val="31"/>
        </w:rPr>
        <w:t>入市时机</w:t>
      </w:r>
      <w:r>
        <w:rPr>
          <w:rFonts w:ascii="Malgun Gothic" w:eastAsia="Malgun Gothic" w:hint="eastAsia"/>
          <w:sz w:val="31"/>
        </w:rPr>
        <w:t>：</w:t>
      </w:r>
      <w:r>
        <w:rPr>
          <w:sz w:val="31"/>
        </w:rPr>
        <w:t>依据规划与工程进度以及营销预备</w:t>
      </w:r>
      <w:r>
        <w:rPr>
          <w:rFonts w:ascii="Malgun Gothic" w:eastAsia="Malgun Gothic" w:hint="eastAsia"/>
          <w:sz w:val="31"/>
        </w:rPr>
        <w:t>，</w:t>
      </w:r>
      <w:r>
        <w:rPr>
          <w:spacing w:val="-13"/>
          <w:sz w:val="31"/>
        </w:rPr>
        <w:t xml:space="preserve">在 </w:t>
      </w:r>
      <w:r>
        <w:rPr>
          <w:rFonts w:ascii="Malgun Gothic" w:eastAsia="Malgun Gothic" w:hint="eastAsia"/>
          <w:sz w:val="31"/>
        </w:rPr>
        <w:t>2023</w:t>
      </w:r>
      <w:r>
        <w:rPr>
          <w:rFonts w:ascii="Malgun Gothic" w:eastAsia="Malgun Gothic" w:hint="eastAsia"/>
          <w:spacing w:val="10"/>
          <w:sz w:val="31"/>
        </w:rPr>
        <w:t xml:space="preserve"> </w:t>
      </w:r>
      <w:r>
        <w:rPr>
          <w:spacing w:val="-14"/>
          <w:sz w:val="31"/>
        </w:rPr>
        <w:t xml:space="preserve">年 </w:t>
      </w:r>
      <w:r>
        <w:rPr>
          <w:rFonts w:ascii="Malgun Gothic" w:eastAsia="Malgun Gothic" w:hint="eastAsia"/>
          <w:sz w:val="31"/>
        </w:rPr>
        <w:t>5</w:t>
      </w:r>
      <w:r>
        <w:rPr>
          <w:rFonts w:ascii="Malgun Gothic" w:eastAsia="Malgun Gothic" w:hint="eastAsia"/>
          <w:spacing w:val="15"/>
          <w:sz w:val="31"/>
        </w:rPr>
        <w:t xml:space="preserve"> </w:t>
      </w:r>
      <w:r>
        <w:rPr>
          <w:sz w:val="31"/>
        </w:rPr>
        <w:t>月份房交会期间开盘</w:t>
      </w:r>
      <w:r>
        <w:rPr>
          <w:rFonts w:ascii="Malgun Gothic" w:eastAsia="Malgun Gothic" w:hint="eastAsia"/>
          <w:sz w:val="31"/>
        </w:rPr>
        <w:t>〔</w:t>
      </w:r>
      <w:r>
        <w:rPr>
          <w:sz w:val="31"/>
        </w:rPr>
        <w:t>或</w:t>
      </w:r>
    </w:p>
    <w:p>
      <w:pPr>
        <w:pStyle w:val="BodyText"/>
        <w:spacing w:before="373"/>
      </w:pPr>
      <w:r>
        <w:rPr>
          <w:rFonts w:ascii="Malgun Gothic" w:eastAsia="Malgun Gothic" w:hint="eastAsia"/>
        </w:rPr>
        <w:t>2023</w:t>
      </w:r>
      <w:r>
        <w:rPr>
          <w:rFonts w:ascii="Malgun Gothic" w:eastAsia="Malgun Gothic" w:hint="eastAsia"/>
          <w:spacing w:val="-10"/>
        </w:rPr>
        <w:t xml:space="preserve"> </w:t>
      </w:r>
      <w:r>
        <w:rPr>
          <w:spacing w:val="-24"/>
        </w:rPr>
        <w:t xml:space="preserve">年 </w:t>
      </w:r>
      <w:r>
        <w:rPr>
          <w:rFonts w:ascii="Malgun Gothic" w:eastAsia="Malgun Gothic" w:hint="eastAsia"/>
        </w:rPr>
        <w:t>9</w:t>
      </w:r>
      <w:r>
        <w:rPr>
          <w:rFonts w:ascii="Malgun Gothic" w:eastAsia="Malgun Gothic" w:hint="eastAsia"/>
          <w:spacing w:val="-4"/>
        </w:rPr>
        <w:t xml:space="preserve"> </w:t>
      </w:r>
      <w:r>
        <w:t>月</w:t>
      </w:r>
      <w:r>
        <w:rPr>
          <w:rFonts w:ascii="Malgun Gothic" w:eastAsia="Malgun Gothic" w:hint="eastAsia"/>
        </w:rPr>
        <w:t>〕，</w:t>
      </w:r>
      <w:r>
        <w:rPr>
          <w:spacing w:val="-11"/>
        </w:rPr>
        <w:t xml:space="preserve">可以抓住 </w:t>
      </w:r>
      <w:r>
        <w:rPr>
          <w:rFonts w:ascii="Malgun Gothic" w:eastAsia="Malgun Gothic" w:hint="eastAsia"/>
        </w:rPr>
        <w:t>2023</w:t>
      </w:r>
      <w:r>
        <w:rPr>
          <w:rFonts w:ascii="Malgun Gothic" w:eastAsia="Malgun Gothic" w:hint="eastAsia"/>
          <w:spacing w:val="-10"/>
        </w:rPr>
        <w:t xml:space="preserve"> </w:t>
      </w:r>
      <w:r>
        <w:t>年春季房交会</w:t>
      </w:r>
      <w:r>
        <w:rPr>
          <w:rFonts w:ascii="Malgun Gothic" w:eastAsia="Malgun Gothic" w:hint="eastAsia"/>
        </w:rPr>
        <w:t>、</w:t>
      </w:r>
      <w:r>
        <w:t>五一国际劳动节等时机掀起第一个启动高</w:t>
      </w:r>
    </w:p>
    <w:p>
      <w:pPr>
        <w:spacing w:after="0"/>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7" w:history="1">
        <w:r>
          <w:rPr>
            <w:rFonts w:ascii="SimSun" w:eastAsia="SimSun" w:hAnsi="SimSun" w:cs="SimSun"/>
            <w:b/>
            <w:bCs/>
            <w:color w:val="0000EE"/>
            <w:sz w:val="30"/>
            <w:szCs w:val="30"/>
            <w:u w:val="single" w:color="0000EE"/>
          </w:rPr>
          <w:t>https://d.book118.com/697062115162006025</w:t>
        </w:r>
      </w:hyperlink>
    </w:p>
    <w:p>
      <w:pPr>
        <w:spacing w:after="0"/>
      </w:pPr>
    </w:p>
    <w:sectPr>
      <w:headerReference w:type="default" r:id="rId8"/>
      <w:footerReference w:type="default" r:id="rId9"/>
      <w:pgSz w:w="17860" w:h="25260"/>
      <w:pgMar w:top="1820" w:right="2500" w:bottom="2020" w:left="2540" w:header="1103" w:footer="1831"/>
      <w:pgNumType w:start="2"/>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幼圆">
    <w:altName w:val="幼圆"/>
    <w:charset w:val="86"/>
    <w:family w:val="modern"/>
    <w:pitch w:val="fixed"/>
    <w:sig w:usb0="00000000" w:usb1="00000000" w:usb2="00000000" w:usb3="00000000" w:csb0="00040000" w:csb1="00000000"/>
  </w:font>
  <w:font w:name="Malgun Gothic">
    <w:altName w:val="Malgun Gothic"/>
    <w:charset w:val="00"/>
    <w:family w:val="swiss"/>
    <w:pitch w:val="variable"/>
    <w:sig w:usb0="00000000" w:usb1="00000000" w:usb2="00000000" w:usb3="00000000" w:csb0="00000001" w:csb1="00000000"/>
  </w:font>
  <w:font w:name="Calibri">
    <w:altName w:val="Calibri"/>
    <w:charset w:val="00"/>
    <w:family w:val="swiss"/>
    <w:pitch w:val="variable"/>
    <w:sig w:usb0="00000000"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2" type="#_x0000_t202" style="width:56pt;height:15.5pt;margin-top:1160.35pt;margin-left:134.04pt;mso-position-horizontal-relative:page;mso-position-vertical-relative:page;position:absolute;z-index:-251658240" filled="f" stroked="f">
          <v:textbox inset="0,0,0,0">
            <w:txbxContent>
              <w:p>
                <w:pPr>
                  <w:spacing w:before="0" w:line="310" w:lineRule="exact"/>
                  <w:ind w:left="20" w:right="0" w:firstLine="0"/>
                  <w:jc w:val="left"/>
                  <w:rPr>
                    <w:sz w:val="27"/>
                  </w:rPr>
                </w:pPr>
                <w:r>
                  <w:rPr>
                    <w:sz w:val="27"/>
                  </w:rPr>
                  <w:t>参考材料</w:t>
                </w:r>
              </w:p>
            </w:txbxContent>
          </v:textbox>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6" type="#_x0000_t202" style="width:56pt;height:15.5pt;margin-top:1160.35pt;margin-left:134.04pt;mso-position-horizontal-relative:page;mso-position-vertical-relative:page;position:absolute;z-index:-251657216" filled="f" stroked="f">
          <v:textbox inset="0,0,0,0">
            <w:txbxContent>
              <w:p>
                <w:pPr>
                  <w:spacing w:before="0" w:line="310" w:lineRule="exact"/>
                  <w:ind w:left="20" w:right="0" w:firstLine="0"/>
                  <w:jc w:val="left"/>
                  <w:rPr>
                    <w:sz w:val="27"/>
                  </w:rPr>
                </w:pPr>
                <w:r>
                  <w:rPr>
                    <w:sz w:val="27"/>
                  </w:rPr>
                  <w:t>参考材料</w:t>
                </w:r>
              </w:p>
            </w:txbxContent>
          </v:textbox>
        </v:shape>
      </w:pic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58240" behindDoc="1" locked="0" layoutInCell="1" allowOverlap="1">
          <wp:simplePos x="0" y="0"/>
          <wp:positionH relativeFrom="page">
            <wp:posOffset>1676400</wp:posOffset>
          </wp:positionH>
          <wp:positionV relativeFrom="page">
            <wp:posOffset>838200</wp:posOffset>
          </wp:positionV>
          <wp:extent cx="8001000" cy="38100"/>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49" type="#_x0000_t202" style="width:8.85pt;height:15.5pt;margin-top:54.14pt;margin-left:229.43pt;mso-position-horizontal-relative:page;mso-position-vertical-relative:page;position:absolute;z-index:-251657216" filled="f" stroked="f">
          <v:textbox inset="0,0,0,0">
            <w:txbxContent>
              <w:p>
                <w:pPr>
                  <w:spacing w:before="0" w:line="295" w:lineRule="exact"/>
                  <w:ind w:left="20" w:right="0" w:firstLine="0"/>
                  <w:jc w:val="left"/>
                  <w:rPr>
                    <w:rFonts w:ascii="Calibri"/>
                    <w:sz w:val="27"/>
                  </w:rPr>
                </w:pPr>
                <w:r>
                  <w:rPr>
                    <w:rFonts w:ascii="Calibri"/>
                    <w:sz w:val="27"/>
                  </w:rPr>
                  <w:t>..</w:t>
                </w:r>
              </w:p>
            </w:txbxContent>
          </v:textbox>
        </v:shape>
      </w:pict>
    </w:r>
    <w:r>
      <w:pict>
        <v:shape id="_x0000_s2050" type="#_x0000_t202" style="width:8.85pt;height:15.5pt;margin-top:54.14pt;margin-left:425.49pt;mso-position-horizontal-relative:page;mso-position-vertical-relative:page;position:absolute;z-index:-251656192" filled="f" stroked="f">
          <v:textbox inset="0,0,0,0">
            <w:txbxContent>
              <w:p>
                <w:pPr>
                  <w:spacing w:before="0" w:line="295" w:lineRule="exact"/>
                  <w:ind w:left="20" w:right="0" w:firstLine="0"/>
                  <w:jc w:val="left"/>
                  <w:rPr>
                    <w:rFonts w:ascii="Calibri"/>
                    <w:sz w:val="27"/>
                  </w:rPr>
                </w:pPr>
                <w:r>
                  <w:rPr>
                    <w:rFonts w:ascii="Calibri"/>
                    <w:sz w:val="27"/>
                  </w:rPr>
                  <w:t>..</w:t>
                </w:r>
              </w:p>
            </w:txbxContent>
          </v:textbox>
        </v:shape>
      </w:pict>
    </w:r>
    <w:r>
      <w:pict>
        <v:shape id="_x0000_s2051" type="#_x0000_t202" style="width:8.85pt;height:15.5pt;margin-top:54.14pt;margin-left:654.55pt;mso-position-horizontal-relative:page;mso-position-vertical-relative:page;position:absolute;z-index:-251655168" filled="f" stroked="f">
          <v:textbox inset="0,0,0,0">
            <w:txbxContent>
              <w:p>
                <w:pPr>
                  <w:spacing w:before="0" w:line="295" w:lineRule="exact"/>
                  <w:ind w:left="20" w:right="0" w:firstLine="0"/>
                  <w:jc w:val="left"/>
                  <w:rPr>
                    <w:rFonts w:ascii="Calibri"/>
                    <w:sz w:val="27"/>
                  </w:rPr>
                </w:pPr>
                <w:r>
                  <w:rPr>
                    <w:rFonts w:ascii="Calibri"/>
                    <w:sz w:val="27"/>
                  </w:rPr>
                  <w:t>..</w:t>
                </w:r>
              </w:p>
            </w:txbxContent>
          </v:textbox>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62336" behindDoc="1" locked="0" layoutInCell="1" allowOverlap="1">
          <wp:simplePos x="0" y="0"/>
          <wp:positionH relativeFrom="page">
            <wp:posOffset>1676400</wp:posOffset>
          </wp:positionH>
          <wp:positionV relativeFrom="page">
            <wp:posOffset>838200</wp:posOffset>
          </wp:positionV>
          <wp:extent cx="8001000" cy="38100"/>
          <wp:effectExtent l="0" t="0" r="0" b="0"/>
          <wp:wrapNone/>
          <wp:docPr id="50609073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6090737"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3" type="#_x0000_t202" style="width:8.85pt;height:15.5pt;margin-top:54.14pt;margin-left:229.43pt;mso-position-horizontal-relative:page;mso-position-vertical-relative:page;position:absolute;z-index:-251653120" filled="f" stroked="f">
          <v:textbox inset="0,0,0,0">
            <w:txbxContent>
              <w:p>
                <w:pPr>
                  <w:spacing w:before="0" w:line="295" w:lineRule="exact"/>
                  <w:ind w:left="20" w:right="0" w:firstLine="0"/>
                  <w:jc w:val="left"/>
                  <w:rPr>
                    <w:rFonts w:ascii="Calibri"/>
                    <w:sz w:val="27"/>
                  </w:rPr>
                </w:pPr>
                <w:r>
                  <w:rPr>
                    <w:rFonts w:ascii="Calibri"/>
                    <w:sz w:val="27"/>
                  </w:rPr>
                  <w:t>..</w:t>
                </w:r>
              </w:p>
            </w:txbxContent>
          </v:textbox>
        </v:shape>
      </w:pict>
    </w:r>
    <w:r>
      <w:pict>
        <v:shape id="_x0000_s2054" type="#_x0000_t202" style="width:8.85pt;height:15.5pt;margin-top:54.14pt;margin-left:425.49pt;mso-position-horizontal-relative:page;mso-position-vertical-relative:page;position:absolute;z-index:-251652096" filled="f" stroked="f">
          <v:textbox inset="0,0,0,0">
            <w:txbxContent>
              <w:p>
                <w:pPr>
                  <w:spacing w:before="0" w:line="295" w:lineRule="exact"/>
                  <w:ind w:left="20" w:right="0" w:firstLine="0"/>
                  <w:jc w:val="left"/>
                  <w:rPr>
                    <w:rFonts w:ascii="Calibri"/>
                    <w:sz w:val="27"/>
                  </w:rPr>
                </w:pPr>
                <w:r>
                  <w:rPr>
                    <w:rFonts w:ascii="Calibri"/>
                    <w:sz w:val="27"/>
                  </w:rPr>
                  <w:t>..</w:t>
                </w:r>
              </w:p>
            </w:txbxContent>
          </v:textbox>
        </v:shape>
      </w:pict>
    </w:r>
    <w:r>
      <w:pict>
        <v:shape id="_x0000_s2055" type="#_x0000_t202" style="width:8.85pt;height:15.5pt;margin-top:54.14pt;margin-left:654.55pt;mso-position-horizontal-relative:page;mso-position-vertical-relative:page;position:absolute;z-index:-251651072" filled="f" stroked="f">
          <v:textbox inset="0,0,0,0">
            <w:txbxContent>
              <w:p>
                <w:pPr>
                  <w:spacing w:before="0" w:line="295" w:lineRule="exact"/>
                  <w:ind w:left="20" w:right="0" w:firstLine="0"/>
                  <w:jc w:val="left"/>
                  <w:rPr>
                    <w:rFonts w:ascii="Calibri"/>
                    <w:sz w:val="27"/>
                  </w:rPr>
                </w:pPr>
                <w:r>
                  <w:rPr>
                    <w:rFonts w:ascii="Calibri"/>
                    <w:sz w:val="27"/>
                  </w:rPr>
                  <w:t>..</w:t>
                </w:r>
              </w:p>
            </w:txbxContent>
          </v:textbox>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7645970"/>
    <w:multiLevelType w:val="hybridMultilevel"/>
    <w:tmpl w:val="00000000"/>
    <w:lvl w:ilvl="0">
      <w:start w:val="1"/>
      <w:numFmt w:val="decimal"/>
      <w:lvlText w:val="%1."/>
      <w:lvlJc w:val="left"/>
      <w:pPr>
        <w:ind w:left="160" w:hanging="491"/>
        <w:jc w:val="left"/>
      </w:pPr>
      <w:rPr>
        <w:rFonts w:ascii="Malgun Gothic" w:eastAsia="Malgun Gothic" w:hAnsi="Malgun Gothic" w:cs="Malgun Gothic" w:hint="default"/>
        <w:spacing w:val="-2"/>
        <w:w w:val="102"/>
        <w:sz w:val="29"/>
        <w:szCs w:val="29"/>
      </w:rPr>
    </w:lvl>
    <w:lvl w:ilvl="1">
      <w:start w:val="0"/>
      <w:numFmt w:val="bullet"/>
      <w:lvlText w:val="•"/>
      <w:lvlJc w:val="left"/>
      <w:pPr>
        <w:ind w:left="1425" w:hanging="491"/>
      </w:pPr>
      <w:rPr>
        <w:rFonts w:hint="default"/>
      </w:rPr>
    </w:lvl>
    <w:lvl w:ilvl="2">
      <w:start w:val="0"/>
      <w:numFmt w:val="bullet"/>
      <w:lvlText w:val="•"/>
      <w:lvlJc w:val="left"/>
      <w:pPr>
        <w:ind w:left="2691" w:hanging="491"/>
      </w:pPr>
      <w:rPr>
        <w:rFonts w:hint="default"/>
      </w:rPr>
    </w:lvl>
    <w:lvl w:ilvl="3">
      <w:start w:val="0"/>
      <w:numFmt w:val="bullet"/>
      <w:lvlText w:val="•"/>
      <w:lvlJc w:val="left"/>
      <w:pPr>
        <w:ind w:left="3957" w:hanging="491"/>
      </w:pPr>
      <w:rPr>
        <w:rFonts w:hint="default"/>
      </w:rPr>
    </w:lvl>
    <w:lvl w:ilvl="4">
      <w:start w:val="0"/>
      <w:numFmt w:val="bullet"/>
      <w:lvlText w:val="•"/>
      <w:lvlJc w:val="left"/>
      <w:pPr>
        <w:ind w:left="5223" w:hanging="491"/>
      </w:pPr>
      <w:rPr>
        <w:rFonts w:hint="default"/>
      </w:rPr>
    </w:lvl>
    <w:lvl w:ilvl="5">
      <w:start w:val="0"/>
      <w:numFmt w:val="bullet"/>
      <w:lvlText w:val="•"/>
      <w:lvlJc w:val="left"/>
      <w:pPr>
        <w:ind w:left="6489" w:hanging="491"/>
      </w:pPr>
      <w:rPr>
        <w:rFonts w:hint="default"/>
      </w:rPr>
    </w:lvl>
    <w:lvl w:ilvl="6">
      <w:start w:val="0"/>
      <w:numFmt w:val="bullet"/>
      <w:lvlText w:val="•"/>
      <w:lvlJc w:val="left"/>
      <w:pPr>
        <w:ind w:left="7755" w:hanging="491"/>
      </w:pPr>
      <w:rPr>
        <w:rFonts w:hint="default"/>
      </w:rPr>
    </w:lvl>
    <w:lvl w:ilvl="7">
      <w:start w:val="0"/>
      <w:numFmt w:val="bullet"/>
      <w:lvlText w:val="•"/>
      <w:lvlJc w:val="left"/>
      <w:pPr>
        <w:ind w:left="9021" w:hanging="491"/>
      </w:pPr>
      <w:rPr>
        <w:rFonts w:hint="default"/>
      </w:rPr>
    </w:lvl>
    <w:lvl w:ilvl="8">
      <w:start w:val="0"/>
      <w:numFmt w:val="bullet"/>
      <w:lvlText w:val="•"/>
      <w:lvlJc w:val="left"/>
      <w:pPr>
        <w:ind w:left="10287" w:hanging="491"/>
      </w:pPr>
      <w:rPr>
        <w:rFonts w:hint="default"/>
      </w:rPr>
    </w:lvl>
  </w:abstractNum>
  <w:abstractNum w:abstractNumId="1">
    <w:nsid w:val="3899EDAD"/>
    <w:multiLevelType w:val="hybridMultilevel"/>
    <w:tmpl w:val="00000000"/>
    <w:lvl w:ilvl="0">
      <w:start w:val="1"/>
      <w:numFmt w:val="decimal"/>
      <w:lvlText w:val="%1."/>
      <w:lvlJc w:val="left"/>
      <w:pPr>
        <w:ind w:left="560" w:hanging="400"/>
        <w:jc w:val="left"/>
      </w:pPr>
      <w:rPr>
        <w:rFonts w:ascii="Malgun Gothic" w:eastAsia="Malgun Gothic" w:hAnsi="Malgun Gothic" w:cs="Malgun Gothic" w:hint="default"/>
        <w:spacing w:val="-1"/>
        <w:w w:val="102"/>
        <w:sz w:val="31"/>
        <w:szCs w:val="31"/>
      </w:rPr>
    </w:lvl>
    <w:lvl w:ilvl="1">
      <w:start w:val="0"/>
      <w:numFmt w:val="bullet"/>
      <w:lvlText w:val="•"/>
      <w:lvlJc w:val="left"/>
      <w:pPr>
        <w:ind w:left="1785" w:hanging="400"/>
      </w:pPr>
      <w:rPr>
        <w:rFonts w:hint="default"/>
      </w:rPr>
    </w:lvl>
    <w:lvl w:ilvl="2">
      <w:start w:val="0"/>
      <w:numFmt w:val="bullet"/>
      <w:lvlText w:val="•"/>
      <w:lvlJc w:val="left"/>
      <w:pPr>
        <w:ind w:left="3011" w:hanging="400"/>
      </w:pPr>
      <w:rPr>
        <w:rFonts w:hint="default"/>
      </w:rPr>
    </w:lvl>
    <w:lvl w:ilvl="3">
      <w:start w:val="0"/>
      <w:numFmt w:val="bullet"/>
      <w:lvlText w:val="•"/>
      <w:lvlJc w:val="left"/>
      <w:pPr>
        <w:ind w:left="4237" w:hanging="400"/>
      </w:pPr>
      <w:rPr>
        <w:rFonts w:hint="default"/>
      </w:rPr>
    </w:lvl>
    <w:lvl w:ilvl="4">
      <w:start w:val="0"/>
      <w:numFmt w:val="bullet"/>
      <w:lvlText w:val="•"/>
      <w:lvlJc w:val="left"/>
      <w:pPr>
        <w:ind w:left="5463" w:hanging="400"/>
      </w:pPr>
      <w:rPr>
        <w:rFonts w:hint="default"/>
      </w:rPr>
    </w:lvl>
    <w:lvl w:ilvl="5">
      <w:start w:val="0"/>
      <w:numFmt w:val="bullet"/>
      <w:lvlText w:val="•"/>
      <w:lvlJc w:val="left"/>
      <w:pPr>
        <w:ind w:left="6689" w:hanging="400"/>
      </w:pPr>
      <w:rPr>
        <w:rFonts w:hint="default"/>
      </w:rPr>
    </w:lvl>
    <w:lvl w:ilvl="6">
      <w:start w:val="0"/>
      <w:numFmt w:val="bullet"/>
      <w:lvlText w:val="•"/>
      <w:lvlJc w:val="left"/>
      <w:pPr>
        <w:ind w:left="7915" w:hanging="400"/>
      </w:pPr>
      <w:rPr>
        <w:rFonts w:hint="default"/>
      </w:rPr>
    </w:lvl>
    <w:lvl w:ilvl="7">
      <w:start w:val="0"/>
      <w:numFmt w:val="bullet"/>
      <w:lvlText w:val="•"/>
      <w:lvlJc w:val="left"/>
      <w:pPr>
        <w:ind w:left="9141" w:hanging="400"/>
      </w:pPr>
      <w:rPr>
        <w:rFonts w:hint="default"/>
      </w:rPr>
    </w:lvl>
    <w:lvl w:ilvl="8">
      <w:start w:val="0"/>
      <w:numFmt w:val="bullet"/>
      <w:lvlText w:val="•"/>
      <w:lvlJc w:val="left"/>
      <w:pPr>
        <w:ind w:left="10367" w:hanging="400"/>
      </w:pPr>
      <w:rPr>
        <w:rFonts w:hint="default"/>
      </w:rPr>
    </w:lvl>
  </w:abstractNum>
  <w:abstractNum w:abstractNumId="2">
    <w:nsid w:val="46243246"/>
    <w:multiLevelType w:val="hybridMultilevel"/>
    <w:tmpl w:val="00000000"/>
    <w:lvl w:ilvl="0">
      <w:start w:val="1"/>
      <w:numFmt w:val="decimal"/>
      <w:lvlText w:val="%1."/>
      <w:lvlJc w:val="left"/>
      <w:pPr>
        <w:ind w:left="651" w:hanging="491"/>
        <w:jc w:val="left"/>
      </w:pPr>
      <w:rPr>
        <w:rFonts w:ascii="Malgun Gothic" w:eastAsia="Malgun Gothic" w:hAnsi="Malgun Gothic" w:cs="Malgun Gothic" w:hint="default"/>
        <w:spacing w:val="-2"/>
        <w:w w:val="102"/>
        <w:sz w:val="29"/>
        <w:szCs w:val="29"/>
      </w:rPr>
    </w:lvl>
    <w:lvl w:ilvl="1">
      <w:start w:val="0"/>
      <w:numFmt w:val="bullet"/>
      <w:lvlText w:val="•"/>
      <w:lvlJc w:val="left"/>
      <w:pPr>
        <w:ind w:left="1875" w:hanging="491"/>
      </w:pPr>
      <w:rPr>
        <w:rFonts w:hint="default"/>
      </w:rPr>
    </w:lvl>
    <w:lvl w:ilvl="2">
      <w:start w:val="0"/>
      <w:numFmt w:val="bullet"/>
      <w:lvlText w:val="•"/>
      <w:lvlJc w:val="left"/>
      <w:pPr>
        <w:ind w:left="3091" w:hanging="491"/>
      </w:pPr>
      <w:rPr>
        <w:rFonts w:hint="default"/>
      </w:rPr>
    </w:lvl>
    <w:lvl w:ilvl="3">
      <w:start w:val="0"/>
      <w:numFmt w:val="bullet"/>
      <w:lvlText w:val="•"/>
      <w:lvlJc w:val="left"/>
      <w:pPr>
        <w:ind w:left="4307" w:hanging="491"/>
      </w:pPr>
      <w:rPr>
        <w:rFonts w:hint="default"/>
      </w:rPr>
    </w:lvl>
    <w:lvl w:ilvl="4">
      <w:start w:val="0"/>
      <w:numFmt w:val="bullet"/>
      <w:lvlText w:val="•"/>
      <w:lvlJc w:val="left"/>
      <w:pPr>
        <w:ind w:left="5523" w:hanging="491"/>
      </w:pPr>
      <w:rPr>
        <w:rFonts w:hint="default"/>
      </w:rPr>
    </w:lvl>
    <w:lvl w:ilvl="5">
      <w:start w:val="0"/>
      <w:numFmt w:val="bullet"/>
      <w:lvlText w:val="•"/>
      <w:lvlJc w:val="left"/>
      <w:pPr>
        <w:ind w:left="6739" w:hanging="491"/>
      </w:pPr>
      <w:rPr>
        <w:rFonts w:hint="default"/>
      </w:rPr>
    </w:lvl>
    <w:lvl w:ilvl="6">
      <w:start w:val="0"/>
      <w:numFmt w:val="bullet"/>
      <w:lvlText w:val="•"/>
      <w:lvlJc w:val="left"/>
      <w:pPr>
        <w:ind w:left="7955" w:hanging="491"/>
      </w:pPr>
      <w:rPr>
        <w:rFonts w:hint="default"/>
      </w:rPr>
    </w:lvl>
    <w:lvl w:ilvl="7">
      <w:start w:val="0"/>
      <w:numFmt w:val="bullet"/>
      <w:lvlText w:val="•"/>
      <w:lvlJc w:val="left"/>
      <w:pPr>
        <w:ind w:left="9171" w:hanging="491"/>
      </w:pPr>
      <w:rPr>
        <w:rFonts w:hint="default"/>
      </w:rPr>
    </w:lvl>
    <w:lvl w:ilvl="8">
      <w:start w:val="0"/>
      <w:numFmt w:val="bullet"/>
      <w:lvlText w:val="•"/>
      <w:lvlJc w:val="left"/>
      <w:pPr>
        <w:ind w:left="10387" w:hanging="491"/>
      </w:pPr>
      <w:rPr>
        <w:rFonts w:hint="default"/>
      </w:rPr>
    </w:lvl>
  </w:abstractNum>
  <w:abstractNum w:abstractNumId="3">
    <w:nsid w:val="5A478CB7"/>
    <w:multiLevelType w:val="hybridMultilevel"/>
    <w:tmpl w:val="00000000"/>
    <w:lvl w:ilvl="0">
      <w:start w:val="1"/>
      <w:numFmt w:val="decimal"/>
      <w:lvlText w:val="%1."/>
      <w:lvlJc w:val="left"/>
      <w:pPr>
        <w:ind w:left="160" w:hanging="491"/>
        <w:jc w:val="left"/>
      </w:pPr>
      <w:rPr>
        <w:rFonts w:ascii="Malgun Gothic" w:eastAsia="Malgun Gothic" w:hAnsi="Malgun Gothic" w:cs="Malgun Gothic" w:hint="default"/>
        <w:spacing w:val="-2"/>
        <w:w w:val="102"/>
        <w:sz w:val="29"/>
        <w:szCs w:val="29"/>
      </w:rPr>
    </w:lvl>
    <w:lvl w:ilvl="1">
      <w:start w:val="0"/>
      <w:numFmt w:val="bullet"/>
      <w:lvlText w:val="•"/>
      <w:lvlJc w:val="left"/>
      <w:pPr>
        <w:ind w:left="1425" w:hanging="491"/>
      </w:pPr>
      <w:rPr>
        <w:rFonts w:hint="default"/>
      </w:rPr>
    </w:lvl>
    <w:lvl w:ilvl="2">
      <w:start w:val="0"/>
      <w:numFmt w:val="bullet"/>
      <w:lvlText w:val="•"/>
      <w:lvlJc w:val="left"/>
      <w:pPr>
        <w:ind w:left="2691" w:hanging="491"/>
      </w:pPr>
      <w:rPr>
        <w:rFonts w:hint="default"/>
      </w:rPr>
    </w:lvl>
    <w:lvl w:ilvl="3">
      <w:start w:val="0"/>
      <w:numFmt w:val="bullet"/>
      <w:lvlText w:val="•"/>
      <w:lvlJc w:val="left"/>
      <w:pPr>
        <w:ind w:left="3957" w:hanging="491"/>
      </w:pPr>
      <w:rPr>
        <w:rFonts w:hint="default"/>
      </w:rPr>
    </w:lvl>
    <w:lvl w:ilvl="4">
      <w:start w:val="0"/>
      <w:numFmt w:val="bullet"/>
      <w:lvlText w:val="•"/>
      <w:lvlJc w:val="left"/>
      <w:pPr>
        <w:ind w:left="5223" w:hanging="491"/>
      </w:pPr>
      <w:rPr>
        <w:rFonts w:hint="default"/>
      </w:rPr>
    </w:lvl>
    <w:lvl w:ilvl="5">
      <w:start w:val="0"/>
      <w:numFmt w:val="bullet"/>
      <w:lvlText w:val="•"/>
      <w:lvlJc w:val="left"/>
      <w:pPr>
        <w:ind w:left="6489" w:hanging="491"/>
      </w:pPr>
      <w:rPr>
        <w:rFonts w:hint="default"/>
      </w:rPr>
    </w:lvl>
    <w:lvl w:ilvl="6">
      <w:start w:val="0"/>
      <w:numFmt w:val="bullet"/>
      <w:lvlText w:val="•"/>
      <w:lvlJc w:val="left"/>
      <w:pPr>
        <w:ind w:left="7755" w:hanging="491"/>
      </w:pPr>
      <w:rPr>
        <w:rFonts w:hint="default"/>
      </w:rPr>
    </w:lvl>
    <w:lvl w:ilvl="7">
      <w:start w:val="0"/>
      <w:numFmt w:val="bullet"/>
      <w:lvlText w:val="•"/>
      <w:lvlJc w:val="left"/>
      <w:pPr>
        <w:ind w:left="9021" w:hanging="491"/>
      </w:pPr>
      <w:rPr>
        <w:rFonts w:hint="default"/>
      </w:rPr>
    </w:lvl>
    <w:lvl w:ilvl="8">
      <w:start w:val="0"/>
      <w:numFmt w:val="bullet"/>
      <w:lvlText w:val="•"/>
      <w:lvlJc w:val="left"/>
      <w:pPr>
        <w:ind w:left="10287" w:hanging="491"/>
      </w:pPr>
      <w:rPr>
        <w:rFonts w:hint="default"/>
      </w:rPr>
    </w:lvl>
  </w:abstractNum>
  <w:abstractNum w:abstractNumId="4">
    <w:nsid w:val="61EC9787"/>
    <w:multiLevelType w:val="hybridMultilevel"/>
    <w:tmpl w:val="00000000"/>
    <w:lvl w:ilvl="0">
      <w:start w:val="1"/>
      <w:numFmt w:val="decimal"/>
      <w:lvlText w:val="%1."/>
      <w:lvlJc w:val="left"/>
      <w:pPr>
        <w:ind w:left="560" w:hanging="400"/>
        <w:jc w:val="right"/>
      </w:pPr>
      <w:rPr>
        <w:rFonts w:ascii="Malgun Gothic" w:eastAsia="Malgun Gothic" w:hAnsi="Malgun Gothic" w:cs="Malgun Gothic" w:hint="default"/>
        <w:spacing w:val="-1"/>
        <w:w w:val="102"/>
        <w:sz w:val="31"/>
        <w:szCs w:val="31"/>
      </w:rPr>
    </w:lvl>
    <w:lvl w:ilvl="1">
      <w:start w:val="0"/>
      <w:numFmt w:val="bullet"/>
      <w:lvlText w:val="•"/>
      <w:lvlJc w:val="left"/>
      <w:pPr>
        <w:ind w:left="1785" w:hanging="400"/>
      </w:pPr>
      <w:rPr>
        <w:rFonts w:hint="default"/>
      </w:rPr>
    </w:lvl>
    <w:lvl w:ilvl="2">
      <w:start w:val="0"/>
      <w:numFmt w:val="bullet"/>
      <w:lvlText w:val="•"/>
      <w:lvlJc w:val="left"/>
      <w:pPr>
        <w:ind w:left="3011" w:hanging="400"/>
      </w:pPr>
      <w:rPr>
        <w:rFonts w:hint="default"/>
      </w:rPr>
    </w:lvl>
    <w:lvl w:ilvl="3">
      <w:start w:val="0"/>
      <w:numFmt w:val="bullet"/>
      <w:lvlText w:val="•"/>
      <w:lvlJc w:val="left"/>
      <w:pPr>
        <w:ind w:left="4237" w:hanging="400"/>
      </w:pPr>
      <w:rPr>
        <w:rFonts w:hint="default"/>
      </w:rPr>
    </w:lvl>
    <w:lvl w:ilvl="4">
      <w:start w:val="0"/>
      <w:numFmt w:val="bullet"/>
      <w:lvlText w:val="•"/>
      <w:lvlJc w:val="left"/>
      <w:pPr>
        <w:ind w:left="5463" w:hanging="400"/>
      </w:pPr>
      <w:rPr>
        <w:rFonts w:hint="default"/>
      </w:rPr>
    </w:lvl>
    <w:lvl w:ilvl="5">
      <w:start w:val="0"/>
      <w:numFmt w:val="bullet"/>
      <w:lvlText w:val="•"/>
      <w:lvlJc w:val="left"/>
      <w:pPr>
        <w:ind w:left="6689" w:hanging="400"/>
      </w:pPr>
      <w:rPr>
        <w:rFonts w:hint="default"/>
      </w:rPr>
    </w:lvl>
    <w:lvl w:ilvl="6">
      <w:start w:val="0"/>
      <w:numFmt w:val="bullet"/>
      <w:lvlText w:val="•"/>
      <w:lvlJc w:val="left"/>
      <w:pPr>
        <w:ind w:left="7915" w:hanging="400"/>
      </w:pPr>
      <w:rPr>
        <w:rFonts w:hint="default"/>
      </w:rPr>
    </w:lvl>
    <w:lvl w:ilvl="7">
      <w:start w:val="0"/>
      <w:numFmt w:val="bullet"/>
      <w:lvlText w:val="•"/>
      <w:lvlJc w:val="left"/>
      <w:pPr>
        <w:ind w:left="9141" w:hanging="400"/>
      </w:pPr>
      <w:rPr>
        <w:rFonts w:hint="default"/>
      </w:rPr>
    </w:lvl>
    <w:lvl w:ilvl="8">
      <w:start w:val="0"/>
      <w:numFmt w:val="bullet"/>
      <w:lvlText w:val="•"/>
      <w:lvlJc w:val="left"/>
      <w:pPr>
        <w:ind w:left="10367" w:hanging="400"/>
      </w:pPr>
      <w:rPr>
        <w:rFonts w:hint="default"/>
      </w:rPr>
    </w:lvl>
  </w:abstractNum>
  <w:abstractNum w:abstractNumId="5">
    <w:nsid w:val="74331722"/>
    <w:multiLevelType w:val="hybridMultilevel"/>
    <w:tmpl w:val="00000000"/>
    <w:lvl w:ilvl="0">
      <w:start w:val="1"/>
      <w:numFmt w:val="decimal"/>
      <w:lvlText w:val="%1."/>
      <w:lvlJc w:val="left"/>
      <w:pPr>
        <w:ind w:left="651" w:hanging="491"/>
        <w:jc w:val="left"/>
      </w:pPr>
      <w:rPr>
        <w:rFonts w:ascii="Malgun Gothic" w:eastAsia="Malgun Gothic" w:hAnsi="Malgun Gothic" w:cs="Malgun Gothic" w:hint="default"/>
        <w:spacing w:val="-2"/>
        <w:w w:val="102"/>
        <w:sz w:val="29"/>
        <w:szCs w:val="29"/>
      </w:rPr>
    </w:lvl>
    <w:lvl w:ilvl="1">
      <w:start w:val="0"/>
      <w:numFmt w:val="bullet"/>
      <w:lvlText w:val="•"/>
      <w:lvlJc w:val="left"/>
      <w:pPr>
        <w:ind w:left="1875" w:hanging="491"/>
      </w:pPr>
      <w:rPr>
        <w:rFonts w:hint="default"/>
      </w:rPr>
    </w:lvl>
    <w:lvl w:ilvl="2">
      <w:start w:val="0"/>
      <w:numFmt w:val="bullet"/>
      <w:lvlText w:val="•"/>
      <w:lvlJc w:val="left"/>
      <w:pPr>
        <w:ind w:left="3091" w:hanging="491"/>
      </w:pPr>
      <w:rPr>
        <w:rFonts w:hint="default"/>
      </w:rPr>
    </w:lvl>
    <w:lvl w:ilvl="3">
      <w:start w:val="0"/>
      <w:numFmt w:val="bullet"/>
      <w:lvlText w:val="•"/>
      <w:lvlJc w:val="left"/>
      <w:pPr>
        <w:ind w:left="4307" w:hanging="491"/>
      </w:pPr>
      <w:rPr>
        <w:rFonts w:hint="default"/>
      </w:rPr>
    </w:lvl>
    <w:lvl w:ilvl="4">
      <w:start w:val="0"/>
      <w:numFmt w:val="bullet"/>
      <w:lvlText w:val="•"/>
      <w:lvlJc w:val="left"/>
      <w:pPr>
        <w:ind w:left="5523" w:hanging="491"/>
      </w:pPr>
      <w:rPr>
        <w:rFonts w:hint="default"/>
      </w:rPr>
    </w:lvl>
    <w:lvl w:ilvl="5">
      <w:start w:val="0"/>
      <w:numFmt w:val="bullet"/>
      <w:lvlText w:val="•"/>
      <w:lvlJc w:val="left"/>
      <w:pPr>
        <w:ind w:left="6739" w:hanging="491"/>
      </w:pPr>
      <w:rPr>
        <w:rFonts w:hint="default"/>
      </w:rPr>
    </w:lvl>
    <w:lvl w:ilvl="6">
      <w:start w:val="0"/>
      <w:numFmt w:val="bullet"/>
      <w:lvlText w:val="•"/>
      <w:lvlJc w:val="left"/>
      <w:pPr>
        <w:ind w:left="7955" w:hanging="491"/>
      </w:pPr>
      <w:rPr>
        <w:rFonts w:hint="default"/>
      </w:rPr>
    </w:lvl>
    <w:lvl w:ilvl="7">
      <w:start w:val="0"/>
      <w:numFmt w:val="bullet"/>
      <w:lvlText w:val="•"/>
      <w:lvlJc w:val="left"/>
      <w:pPr>
        <w:ind w:left="9171" w:hanging="491"/>
      </w:pPr>
      <w:rPr>
        <w:rFonts w:hint="default"/>
      </w:rPr>
    </w:lvl>
    <w:lvl w:ilvl="8">
      <w:start w:val="0"/>
      <w:numFmt w:val="bullet"/>
      <w:lvlText w:val="•"/>
      <w:lvlJc w:val="left"/>
      <w:pPr>
        <w:ind w:left="10387" w:hanging="491"/>
      </w:pPr>
      <w:rPr>
        <w:rFonts w:hint="default"/>
      </w:rPr>
    </w:lvl>
  </w:abstractNum>
  <w:abstractNum w:abstractNumId="6">
    <w:nsid w:val="75D456ED"/>
    <w:multiLevelType w:val="hybridMultilevel"/>
    <w:tmpl w:val="00000000"/>
    <w:lvl w:ilvl="0">
      <w:start w:val="1"/>
      <w:numFmt w:val="decimal"/>
      <w:lvlText w:val="%1"/>
      <w:lvlJc w:val="left"/>
      <w:pPr>
        <w:ind w:left="160" w:hanging="286"/>
        <w:jc w:val="left"/>
      </w:pPr>
      <w:rPr>
        <w:rFonts w:ascii="Malgun Gothic" w:eastAsia="Malgun Gothic" w:hAnsi="Malgun Gothic" w:cs="Malgun Gothic" w:hint="default"/>
        <w:w w:val="102"/>
        <w:sz w:val="31"/>
        <w:szCs w:val="31"/>
      </w:rPr>
    </w:lvl>
    <w:lvl w:ilvl="1">
      <w:start w:val="0"/>
      <w:numFmt w:val="bullet"/>
      <w:lvlText w:val="•"/>
      <w:lvlJc w:val="left"/>
      <w:pPr>
        <w:ind w:left="1425" w:hanging="286"/>
      </w:pPr>
      <w:rPr>
        <w:rFonts w:hint="default"/>
      </w:rPr>
    </w:lvl>
    <w:lvl w:ilvl="2">
      <w:start w:val="0"/>
      <w:numFmt w:val="bullet"/>
      <w:lvlText w:val="•"/>
      <w:lvlJc w:val="left"/>
      <w:pPr>
        <w:ind w:left="2691" w:hanging="286"/>
      </w:pPr>
      <w:rPr>
        <w:rFonts w:hint="default"/>
      </w:rPr>
    </w:lvl>
    <w:lvl w:ilvl="3">
      <w:start w:val="0"/>
      <w:numFmt w:val="bullet"/>
      <w:lvlText w:val="•"/>
      <w:lvlJc w:val="left"/>
      <w:pPr>
        <w:ind w:left="3957" w:hanging="286"/>
      </w:pPr>
      <w:rPr>
        <w:rFonts w:hint="default"/>
      </w:rPr>
    </w:lvl>
    <w:lvl w:ilvl="4">
      <w:start w:val="0"/>
      <w:numFmt w:val="bullet"/>
      <w:lvlText w:val="•"/>
      <w:lvlJc w:val="left"/>
      <w:pPr>
        <w:ind w:left="5223" w:hanging="286"/>
      </w:pPr>
      <w:rPr>
        <w:rFonts w:hint="default"/>
      </w:rPr>
    </w:lvl>
    <w:lvl w:ilvl="5">
      <w:start w:val="0"/>
      <w:numFmt w:val="bullet"/>
      <w:lvlText w:val="•"/>
      <w:lvlJc w:val="left"/>
      <w:pPr>
        <w:ind w:left="6489" w:hanging="286"/>
      </w:pPr>
      <w:rPr>
        <w:rFonts w:hint="default"/>
      </w:rPr>
    </w:lvl>
    <w:lvl w:ilvl="6">
      <w:start w:val="0"/>
      <w:numFmt w:val="bullet"/>
      <w:lvlText w:val="•"/>
      <w:lvlJc w:val="left"/>
      <w:pPr>
        <w:ind w:left="7755" w:hanging="286"/>
      </w:pPr>
      <w:rPr>
        <w:rFonts w:hint="default"/>
      </w:rPr>
    </w:lvl>
    <w:lvl w:ilvl="7">
      <w:start w:val="0"/>
      <w:numFmt w:val="bullet"/>
      <w:lvlText w:val="•"/>
      <w:lvlJc w:val="left"/>
      <w:pPr>
        <w:ind w:left="9021" w:hanging="286"/>
      </w:pPr>
      <w:rPr>
        <w:rFonts w:hint="default"/>
      </w:rPr>
    </w:lvl>
    <w:lvl w:ilvl="8">
      <w:start w:val="0"/>
      <w:numFmt w:val="bullet"/>
      <w:lvlText w:val="•"/>
      <w:lvlJc w:val="left"/>
      <w:pPr>
        <w:ind w:left="10287" w:hanging="286"/>
      </w:pPr>
      <w:rPr>
        <w:rFonts w:hint="default"/>
      </w:rPr>
    </w:lvl>
  </w:abstractNum>
  <w:abstractNum w:abstractNumId="7">
    <w:nsid w:val="77318BEC"/>
    <w:multiLevelType w:val="hybridMultilevel"/>
    <w:tmpl w:val="00000000"/>
    <w:lvl w:ilvl="0">
      <w:start w:val="1"/>
      <w:numFmt w:val="decimal"/>
      <w:lvlText w:val="%1"/>
      <w:lvlJc w:val="left"/>
      <w:pPr>
        <w:ind w:left="938" w:hanging="286"/>
        <w:jc w:val="left"/>
      </w:pPr>
      <w:rPr>
        <w:rFonts w:ascii="Malgun Gothic" w:eastAsia="Malgun Gothic" w:hAnsi="Malgun Gothic" w:cs="Malgun Gothic" w:hint="default"/>
        <w:w w:val="102"/>
        <w:sz w:val="31"/>
        <w:szCs w:val="31"/>
      </w:rPr>
    </w:lvl>
    <w:lvl w:ilvl="1">
      <w:start w:val="0"/>
      <w:numFmt w:val="bullet"/>
      <w:lvlText w:val="•"/>
      <w:lvlJc w:val="left"/>
      <w:pPr>
        <w:ind w:left="2127" w:hanging="286"/>
      </w:pPr>
      <w:rPr>
        <w:rFonts w:hint="default"/>
      </w:rPr>
    </w:lvl>
    <w:lvl w:ilvl="2">
      <w:start w:val="0"/>
      <w:numFmt w:val="bullet"/>
      <w:lvlText w:val="•"/>
      <w:lvlJc w:val="left"/>
      <w:pPr>
        <w:ind w:left="3315" w:hanging="286"/>
      </w:pPr>
      <w:rPr>
        <w:rFonts w:hint="default"/>
      </w:rPr>
    </w:lvl>
    <w:lvl w:ilvl="3">
      <w:start w:val="0"/>
      <w:numFmt w:val="bullet"/>
      <w:lvlText w:val="•"/>
      <w:lvlJc w:val="left"/>
      <w:pPr>
        <w:ind w:left="4503" w:hanging="286"/>
      </w:pPr>
      <w:rPr>
        <w:rFonts w:hint="default"/>
      </w:rPr>
    </w:lvl>
    <w:lvl w:ilvl="4">
      <w:start w:val="0"/>
      <w:numFmt w:val="bullet"/>
      <w:lvlText w:val="•"/>
      <w:lvlJc w:val="left"/>
      <w:pPr>
        <w:ind w:left="5691" w:hanging="286"/>
      </w:pPr>
      <w:rPr>
        <w:rFonts w:hint="default"/>
      </w:rPr>
    </w:lvl>
    <w:lvl w:ilvl="5">
      <w:start w:val="0"/>
      <w:numFmt w:val="bullet"/>
      <w:lvlText w:val="•"/>
      <w:lvlJc w:val="left"/>
      <w:pPr>
        <w:ind w:left="6879" w:hanging="286"/>
      </w:pPr>
      <w:rPr>
        <w:rFonts w:hint="default"/>
      </w:rPr>
    </w:lvl>
    <w:lvl w:ilvl="6">
      <w:start w:val="0"/>
      <w:numFmt w:val="bullet"/>
      <w:lvlText w:val="•"/>
      <w:lvlJc w:val="left"/>
      <w:pPr>
        <w:ind w:left="8067" w:hanging="286"/>
      </w:pPr>
      <w:rPr>
        <w:rFonts w:hint="default"/>
      </w:rPr>
    </w:lvl>
    <w:lvl w:ilvl="7">
      <w:start w:val="0"/>
      <w:numFmt w:val="bullet"/>
      <w:lvlText w:val="•"/>
      <w:lvlJc w:val="left"/>
      <w:pPr>
        <w:ind w:left="9255" w:hanging="286"/>
      </w:pPr>
      <w:rPr>
        <w:rFonts w:hint="default"/>
      </w:rPr>
    </w:lvl>
    <w:lvl w:ilvl="8">
      <w:start w:val="0"/>
      <w:numFmt w:val="bullet"/>
      <w:lvlText w:val="•"/>
      <w:lvlJc w:val="left"/>
      <w:pPr>
        <w:ind w:left="10443" w:hanging="286"/>
      </w:pPr>
      <w:rPr>
        <w:rFonts w:hint="default"/>
      </w:rPr>
    </w:lvl>
  </w:abstractNum>
  <w:num w:numId="1">
    <w:abstractNumId w:val="6"/>
  </w:num>
  <w:num w:numId="2">
    <w:abstractNumId w:val="7"/>
  </w:num>
  <w:num w:numId="3">
    <w:abstractNumId w:val="3"/>
  </w:num>
  <w:num w:numId="4">
    <w:abstractNumId w:val="0"/>
  </w:num>
  <w:num w:numId="5">
    <w:abstractNumId w:val="2"/>
  </w:num>
  <w:num w:numId="6">
    <w:abstractNumId w:val="5"/>
  </w:num>
  <w:num w:numId="7">
    <w:abstractNumId w:val="1"/>
  </w:num>
  <w:num w:numId="8">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character" w:default="1" w:styleId="DefaultParagraphFont">
    <w:name w:val="Default Paragraph Font"/>
    <w:uiPriority w:val="1"/>
    <w:semiHidden/>
    <w:unhideWhenUsed/>
  </w:style>
  <w:style w:type="table" w:default="1" w:styleId="TableNormal">
    <w:name w:val="Normal Table"/>
    <w:uiPriority w:val="2"/>
    <w:semiHidden/>
    <w:unhideWhenUsed/>
    <w:qFormat/>
    <w:tblPr>
      <w:tblInd w:w="0" w:type="dxa"/>
      <w:tblCellMar>
        <w:top w:w="0" w:type="dxa"/>
        <w:left w:w="0" w:type="dxa"/>
        <w:bottom w:w="0" w:type="dxa"/>
        <w:right w:w="0" w:type="dxa"/>
      </w:tblCellMar>
    </w:tblPr>
  </w:style>
  <w:style w:type="numbering" w:default="1" w:styleId="NoList">
    <w:name w:val="No List"/>
    <w:uiPriority w:val="99"/>
    <w:semiHidden/>
    <w:unhideWhenUsed/>
  </w:style>
  <w:style w:type="paragraph" w:styleId="BodyText">
    <w:name w:val="Body Text"/>
    <w:basedOn w:val="Normal"/>
    <w:uiPriority w:val="1"/>
    <w:qFormat/>
    <w:pPr>
      <w:ind w:left="160"/>
    </w:pPr>
    <w:rPr>
      <w:rFonts w:ascii="宋体" w:eastAsia="宋体" w:hAnsi="宋体" w:cs="宋体"/>
      <w:sz w:val="31"/>
      <w:szCs w:val="31"/>
    </w:rPr>
  </w:style>
  <w:style w:type="paragraph" w:styleId="Title">
    <w:name w:val="Title"/>
    <w:basedOn w:val="Normal"/>
    <w:uiPriority w:val="1"/>
    <w:qFormat/>
    <w:pPr>
      <w:spacing w:before="63"/>
      <w:ind w:left="160" w:right="8860"/>
    </w:pPr>
    <w:rPr>
      <w:rFonts w:ascii="宋体" w:eastAsia="宋体" w:hAnsi="宋体" w:cs="宋体"/>
      <w:b/>
      <w:bCs/>
      <w:sz w:val="31"/>
      <w:szCs w:val="31"/>
    </w:rPr>
  </w:style>
  <w:style w:type="paragraph" w:styleId="ListParagraph">
    <w:name w:val="List Paragraph"/>
    <w:basedOn w:val="Normal"/>
    <w:uiPriority w:val="1"/>
    <w:qFormat/>
    <w:pPr>
      <w:spacing w:before="374"/>
      <w:ind w:left="160"/>
    </w:pPr>
    <w:rPr>
      <w:rFonts w:ascii="宋体" w:eastAsia="宋体" w:hAnsi="宋体" w:cs="宋体"/>
    </w:rPr>
  </w:style>
  <w:style w:type="paragraph" w:customStyle="1" w:styleId="TableParagraph">
    <w:name w:val="Table Paragraph"/>
    <w:basedOn w:val="Normal"/>
    <w:uiPriority w:val="1"/>
    <w:qFormat/>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theme" Target="theme/theme1.xml" /><Relationship Id="rId11" Type="http://schemas.openxmlformats.org/officeDocument/2006/relationships/numbering" Target="numbering.xml" /><Relationship Id="rId12"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header" Target="header1.xml" /><Relationship Id="rId6" Type="http://schemas.openxmlformats.org/officeDocument/2006/relationships/footer" Target="footer1.xml" /><Relationship Id="rId7" Type="http://schemas.openxmlformats.org/officeDocument/2006/relationships/hyperlink" Target="https://d.book118.com/697062115162006025" TargetMode="External" /><Relationship Id="rId8" Type="http://schemas.openxmlformats.org/officeDocument/2006/relationships/header" Target="header2.xml" /><Relationship Id="rId9" Type="http://schemas.openxmlformats.org/officeDocument/2006/relationships/footer" Target="footer2.xml" /></Relationships>
</file>

<file path=word/_rels/header1.xml.rels><?xml version="1.0" encoding="utf-8" standalone="yes"?><Relationships xmlns="http://schemas.openxmlformats.org/package/2006/relationships"><Relationship Id="rId1" Type="http://schemas.openxmlformats.org/officeDocument/2006/relationships/image" Target="media/image2.png" /></Relationships>
</file>

<file path=word/_rels/header2.xml.rels><?xml version="1.0" encoding="utf-8" standalone="yes"?><Relationships xmlns="http://schemas.openxmlformats.org/package/2006/relationships"><Relationship Id="rId1" Type="http://schemas.openxmlformats.org/officeDocument/2006/relationships/image" Target="media/image2.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2023-10-30T21:52:40Z</dcterms:created>
  <dcterms:modified xsi:type="dcterms:W3CDTF">2023-10-30T21:52:40Z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2023-02-27T00:00:00Z</vt:filetime>
  </property>
  <property fmtid="{D5CDD505-2E9C-101B-9397-08002B2CF9AE}" pid="3" name="LastSaved">
    <vt:filetime>2023-10-30T00:00:00Z</vt:filetime>
  </property>
</Properties>
</file>