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8"/>
        <w:rPr>
          <w:rFonts w:ascii="Times New Roman"/>
          <w:sz w:val="25"/>
        </w:rPr>
      </w:pPr>
    </w:p>
    <w:p>
      <w:pPr>
        <w:spacing w:before="60"/>
        <w:ind w:left="0" w:right="823" w:firstLine="0"/>
        <w:jc w:val="right"/>
        <w:rPr>
          <w:b/>
          <w:sz w:val="28"/>
        </w:rPr>
      </w:pPr>
      <w:r>
        <w:drawing>
          <wp:anchor distT="0" distB="0" distL="0" distR="0" simplePos="0" relativeHeight="251658240" behindDoc="0" locked="0" layoutInCell="1" allowOverlap="1">
            <wp:simplePos x="0" y="0"/>
            <wp:positionH relativeFrom="page">
              <wp:posOffset>4783328</wp:posOffset>
            </wp:positionH>
            <wp:positionV relativeFrom="paragraph">
              <wp:posOffset>208565</wp:posOffset>
            </wp:positionV>
            <wp:extent cx="796213" cy="3975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6213" cy="397509"/>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77.15pt;height:27.7pt;margin-top:-14.3pt;margin-left:58.54pt;mso-position-horizontal-relative:page;position:absolute;z-index:251659264"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88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6"/>
                      <w:jc w:val="left"/>
                    </w:trPr>
                    <w:tc>
                      <w:tcPr>
                        <w:tcW w:w="653" w:type="dxa"/>
                      </w:tcPr>
                      <w:p>
                        <w:pPr>
                          <w:pStyle w:val="TableParagraph"/>
                          <w:spacing w:before="0" w:line="234" w:lineRule="exact"/>
                          <w:ind w:left="200"/>
                          <w:jc w:val="left"/>
                          <w:rPr>
                            <w:rFonts w:ascii="Times New Roman"/>
                            <w:sz w:val="21"/>
                          </w:rPr>
                        </w:pPr>
                        <w:r>
                          <w:rPr>
                            <w:rFonts w:ascii="Times New Roman"/>
                            <w:sz w:val="21"/>
                          </w:rPr>
                          <w:t>ICS</w:t>
                        </w:r>
                      </w:p>
                    </w:tc>
                    <w:tc>
                      <w:tcPr>
                        <w:tcW w:w="889" w:type="dxa"/>
                      </w:tcPr>
                      <w:p>
                        <w:pPr>
                          <w:pStyle w:val="TableParagraph"/>
                          <w:spacing w:before="0" w:line="257" w:lineRule="exact"/>
                          <w:ind w:left="55"/>
                          <w:jc w:val="left"/>
                          <w:rPr>
                            <w:rFonts w:ascii="黑体"/>
                            <w:sz w:val="21"/>
                          </w:rPr>
                        </w:pPr>
                        <w:r>
                          <w:rPr>
                            <w:rFonts w:ascii="黑体"/>
                            <w:sz w:val="21"/>
                          </w:rPr>
                          <w:t>93.140</w:t>
                        </w:r>
                      </w:p>
                    </w:tc>
                  </w:tr>
                  <w:tr>
                    <w:tblPrEx>
                      <w:tblW w:w="0" w:type="auto"/>
                      <w:jc w:val="left"/>
                      <w:tblInd w:w="7" w:type="dxa"/>
                      <w:tblLayout w:type="fixed"/>
                      <w:tblCellMar>
                        <w:top w:w="0" w:type="dxa"/>
                        <w:left w:w="0" w:type="dxa"/>
                        <w:bottom w:w="0" w:type="dxa"/>
                        <w:right w:w="0" w:type="dxa"/>
                      </w:tblCellMar>
                      <w:tblLook w:val="01E0"/>
                    </w:tblPrEx>
                    <w:trPr>
                      <w:trHeight w:val="276"/>
                      <w:jc w:val="left"/>
                    </w:trPr>
                    <w:tc>
                      <w:tcPr>
                        <w:tcW w:w="653" w:type="dxa"/>
                      </w:tcPr>
                      <w:p>
                        <w:pPr>
                          <w:pStyle w:val="TableParagraph"/>
                          <w:spacing w:before="29" w:line="227" w:lineRule="exact"/>
                          <w:ind w:left="200"/>
                          <w:jc w:val="left"/>
                          <w:rPr>
                            <w:rFonts w:ascii="Times New Roman"/>
                            <w:sz w:val="21"/>
                          </w:rPr>
                        </w:pPr>
                        <w:r>
                          <w:rPr>
                            <w:rFonts w:ascii="Times New Roman"/>
                            <w:sz w:val="21"/>
                          </w:rPr>
                          <w:t>CCS</w:t>
                        </w:r>
                      </w:p>
                    </w:tc>
                    <w:tc>
                      <w:tcPr>
                        <w:tcW w:w="889" w:type="dxa"/>
                      </w:tcPr>
                      <w:p>
                        <w:pPr>
                          <w:pStyle w:val="TableParagraph"/>
                          <w:spacing w:before="37" w:line="220" w:lineRule="exact"/>
                          <w:ind w:left="55"/>
                          <w:jc w:val="left"/>
                          <w:rPr>
                            <w:rFonts w:ascii="黑体"/>
                            <w:sz w:val="21"/>
                          </w:rPr>
                        </w:pPr>
                        <w:r>
                          <w:rPr>
                            <w:rFonts w:ascii="黑体"/>
                            <w:sz w:val="21"/>
                          </w:rPr>
                          <w:t>P 67</w:t>
                        </w:r>
                      </w:p>
                    </w:tc>
                  </w:tr>
                </w:tbl>
                <w:p>
                  <w:pPr>
                    <w:pStyle w:val="BodyText"/>
                  </w:pPr>
                </w:p>
              </w:txbxContent>
            </v:textbox>
          </v:shape>
        </w:pict>
      </w:r>
      <w:r>
        <w:rPr>
          <w:rFonts w:ascii="Times New Roman"/>
          <w:b/>
          <w:w w:val="125"/>
          <w:sz w:val="96"/>
        </w:rPr>
        <w:t>45</w:t>
      </w:r>
      <w:r>
        <w:rPr>
          <w:b/>
          <w:w w:val="129"/>
          <w:sz w:val="28"/>
        </w:rPr>
        <w:t xml:space="preserve"> </w:t>
      </w:r>
    </w:p>
    <w:p>
      <w:pPr>
        <w:tabs>
          <w:tab w:val="left" w:pos="977"/>
          <w:tab w:val="left" w:pos="1891"/>
          <w:tab w:val="left" w:pos="2807"/>
          <w:tab w:val="left" w:pos="3721"/>
          <w:tab w:val="left" w:pos="4637"/>
          <w:tab w:val="left" w:pos="5551"/>
          <w:tab w:val="left" w:pos="6472"/>
          <w:tab w:val="left" w:pos="7386"/>
          <w:tab w:val="left" w:pos="8303"/>
          <w:tab w:val="left" w:pos="9220"/>
        </w:tabs>
        <w:spacing w:before="253"/>
        <w:ind w:left="60" w:right="0" w:firstLine="0"/>
        <w:jc w:val="center"/>
        <w:rPr>
          <w:rFonts w:ascii="黑体" w:eastAsia="黑体" w:hint="eastAsia"/>
          <w:sz w:val="48"/>
        </w:rPr>
      </w:pPr>
      <w:r>
        <w:rPr>
          <w:rFonts w:ascii="黑体" w:eastAsia="黑体" w:hint="eastAsia"/>
          <w:sz w:val="48"/>
        </w:rPr>
        <w:t>广</w:t>
        <w:tab/>
        <w:t>西</w:t>
        <w:tab/>
        <w:t>壮</w:t>
        <w:tab/>
        <w:t>族</w:t>
        <w:tab/>
        <w:t>自</w:t>
        <w:tab/>
        <w:t>治</w:t>
        <w:tab/>
        <w:t>区</w:t>
        <w:tab/>
        <w:t>地</w:t>
        <w:tab/>
        <w:t>方</w:t>
        <w:tab/>
        <w:t>标</w:t>
        <w:tab/>
        <w:t>准</w:t>
      </w:r>
    </w:p>
    <w:p>
      <w:pPr>
        <w:spacing w:before="341"/>
        <w:ind w:left="0" w:right="407" w:firstLine="0"/>
        <w:jc w:val="right"/>
        <w:rPr>
          <w:rFonts w:ascii="黑体" w:hAnsi="黑体"/>
          <w:sz w:val="28"/>
        </w:rPr>
      </w:pPr>
      <w:r>
        <w:rPr>
          <w:rFonts w:ascii="黑体" w:hAnsi="黑体"/>
          <w:sz w:val="28"/>
        </w:rPr>
        <w:t>DB45/T</w:t>
      </w:r>
      <w:r>
        <w:rPr>
          <w:rFonts w:ascii="黑体" w:hAnsi="黑体"/>
          <w:spacing w:val="-7"/>
          <w:sz w:val="28"/>
        </w:rPr>
        <w:t xml:space="preserve"> </w:t>
      </w:r>
      <w:r>
        <w:rPr>
          <w:rFonts w:ascii="黑体" w:hAnsi="黑体"/>
          <w:sz w:val="28"/>
        </w:rPr>
        <w:t>2665—2023</w:t>
      </w:r>
    </w:p>
    <w:p>
      <w:pPr>
        <w:pStyle w:val="BodyText"/>
        <w:rPr>
          <w:rFonts w:ascii="黑体"/>
          <w:sz w:val="20"/>
        </w:rPr>
      </w:pPr>
    </w:p>
    <w:p>
      <w:pPr>
        <w:pStyle w:val="BodyText"/>
        <w:spacing w:before="5"/>
        <w:rPr>
          <w:rFonts w:ascii="黑体"/>
          <w:sz w:val="28"/>
        </w:rPr>
      </w:pPr>
      <w:r>
        <w:pict>
          <v:shape id="_x0000_s1026" style="width:481.85pt;height:0.1pt;margin-top:20.56pt;margin-left:70.9pt;mso-position-horizontal-relative:page;mso-wrap-distance-left:0;mso-wrap-distance-right:0;position:absolute;z-index:-251656192" coordorigin="1418,411" coordsize="9637,0" path="m1418,411l11055,411e" filled="f" stroked="t" strokecolor="black" strokeweight="0.75pt">
            <v:stroke dashstyle="solid"/>
            <v:path arrowok="t"/>
            <w10:wrap type="topAndBottom"/>
          </v:shape>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5"/>
        <w:rPr>
          <w:rFonts w:ascii="黑体"/>
          <w:sz w:val="28"/>
        </w:rPr>
      </w:pPr>
    </w:p>
    <w:p>
      <w:pPr>
        <w:pStyle w:val="Title"/>
      </w:pPr>
      <w:r>
        <w:t>船闸集中控制系统数据结构设计规范</w:t>
      </w:r>
    </w:p>
    <w:p>
      <w:pPr>
        <w:spacing w:before="373"/>
        <w:ind w:left="289" w:right="0" w:firstLine="0"/>
        <w:jc w:val="center"/>
        <w:rPr>
          <w:rFonts w:ascii="黑体"/>
          <w:sz w:val="28"/>
        </w:rPr>
      </w:pPr>
      <w:r>
        <w:rPr>
          <w:rFonts w:ascii="黑体"/>
          <w:sz w:val="28"/>
        </w:rPr>
        <w:t>Design specification of data structures for shiplocks central</w:t>
      </w:r>
      <w:r>
        <w:rPr>
          <w:rFonts w:ascii="黑体"/>
          <w:spacing w:val="-71"/>
          <w:sz w:val="28"/>
        </w:rPr>
        <w:t xml:space="preserve"> </w:t>
      </w:r>
      <w:r>
        <w:rPr>
          <w:rFonts w:ascii="黑体"/>
          <w:sz w:val="28"/>
        </w:rPr>
        <w:t>control system</w: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tabs>
          <w:tab w:val="left" w:pos="7672"/>
        </w:tabs>
        <w:spacing w:before="235"/>
        <w:ind w:left="317" w:right="0" w:firstLine="0"/>
        <w:jc w:val="center"/>
        <w:rPr>
          <w:rFonts w:ascii="黑体" w:eastAsia="黑体" w:hint="eastAsia"/>
          <w:sz w:val="28"/>
        </w:rPr>
      </w:pPr>
      <w:r>
        <w:pict>
          <v:shape id="_x0000_s1027" style="width:481.85pt;height:0.1pt;margin-top:31.37pt;margin-left:70.85pt;mso-position-horizontal-relative:page;mso-wrap-distance-left:0;mso-wrap-distance-right:0;position:absolute;z-index:-251655168" coordorigin="1417,627" coordsize="9637,0" path="m1417,627l11054,627e" filled="f" stroked="t" strokecolor="black" strokeweight="0.75pt">
            <v:stroke dashstyle="solid"/>
            <v:path arrowok="t"/>
            <w10:wrap type="topAndBottom"/>
          </v:shape>
        </w:pict>
      </w:r>
      <w:r>
        <w:rPr>
          <w:rFonts w:ascii="黑体" w:eastAsia="黑体" w:hint="eastAsia"/>
          <w:sz w:val="28"/>
        </w:rPr>
        <w:t>2023</w:t>
      </w:r>
      <w:r>
        <w:rPr>
          <w:rFonts w:ascii="黑体" w:eastAsia="黑体" w:hint="eastAsia"/>
          <w:spacing w:val="-70"/>
          <w:sz w:val="28"/>
        </w:rPr>
        <w:t xml:space="preserve"> </w:t>
      </w:r>
      <w:r>
        <w:rPr>
          <w:rFonts w:ascii="黑体" w:eastAsia="黑体" w:hint="eastAsia"/>
          <w:sz w:val="28"/>
        </w:rPr>
        <w:t>-</w:t>
      </w:r>
      <w:r>
        <w:rPr>
          <w:rFonts w:ascii="黑体" w:eastAsia="黑体" w:hint="eastAsia"/>
          <w:spacing w:val="-72"/>
          <w:sz w:val="28"/>
        </w:rPr>
        <w:t xml:space="preserve"> </w:t>
      </w:r>
      <w:r>
        <w:rPr>
          <w:rFonts w:ascii="黑体" w:eastAsia="黑体" w:hint="eastAsia"/>
          <w:sz w:val="28"/>
        </w:rPr>
        <w:t>05</w:t>
      </w:r>
      <w:r>
        <w:rPr>
          <w:rFonts w:ascii="黑体" w:eastAsia="黑体" w:hint="eastAsia"/>
          <w:spacing w:val="-72"/>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30</w:t>
      </w:r>
      <w:r>
        <w:rPr>
          <w:rFonts w:ascii="黑体" w:eastAsia="黑体" w:hint="eastAsia"/>
          <w:spacing w:val="-72"/>
          <w:sz w:val="28"/>
        </w:rPr>
        <w:t xml:space="preserve"> </w:t>
      </w:r>
      <w:r>
        <w:rPr>
          <w:rFonts w:ascii="黑体" w:eastAsia="黑体" w:hint="eastAsia"/>
          <w:sz w:val="28"/>
        </w:rPr>
        <w:t>发布</w:t>
        <w:tab/>
        <w:t>2023</w:t>
      </w:r>
      <w:r>
        <w:rPr>
          <w:rFonts w:ascii="黑体" w:eastAsia="黑体" w:hint="eastAsia"/>
          <w:spacing w:val="-69"/>
          <w:sz w:val="28"/>
        </w:rPr>
        <w:t xml:space="preserve"> </w:t>
      </w:r>
      <w:r>
        <w:rPr>
          <w:rFonts w:ascii="黑体" w:eastAsia="黑体" w:hint="eastAsia"/>
          <w:sz w:val="28"/>
        </w:rPr>
        <w:t>-</w:t>
      </w:r>
      <w:r>
        <w:rPr>
          <w:rFonts w:ascii="黑体" w:eastAsia="黑体" w:hint="eastAsia"/>
          <w:spacing w:val="-72"/>
          <w:sz w:val="28"/>
        </w:rPr>
        <w:t xml:space="preserve"> </w:t>
      </w:r>
      <w:r>
        <w:rPr>
          <w:rFonts w:ascii="黑体" w:eastAsia="黑体" w:hint="eastAsia"/>
          <w:sz w:val="28"/>
        </w:rPr>
        <w:t>08</w:t>
      </w:r>
      <w:r>
        <w:rPr>
          <w:rFonts w:ascii="黑体" w:eastAsia="黑体" w:hint="eastAsia"/>
          <w:spacing w:val="-72"/>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30</w:t>
      </w:r>
      <w:r>
        <w:rPr>
          <w:rFonts w:ascii="黑体" w:eastAsia="黑体" w:hint="eastAsia"/>
          <w:spacing w:val="-72"/>
          <w:sz w:val="28"/>
        </w:rPr>
        <w:t xml:space="preserve"> </w:t>
      </w:r>
      <w:r>
        <w:rPr>
          <w:rFonts w:ascii="黑体" w:eastAsia="黑体" w:hint="eastAsia"/>
          <w:sz w:val="28"/>
        </w:rPr>
        <w:t>实施</w:t>
      </w:r>
    </w:p>
    <w:p>
      <w:pPr>
        <w:pStyle w:val="BodyText"/>
        <w:rPr>
          <w:rFonts w:ascii="黑体"/>
          <w:sz w:val="28"/>
        </w:rPr>
      </w:pPr>
    </w:p>
    <w:p>
      <w:pPr>
        <w:pStyle w:val="BodyText"/>
        <w:spacing w:before="7"/>
        <w:rPr>
          <w:rFonts w:ascii="黑体"/>
          <w:sz w:val="31"/>
        </w:rPr>
      </w:pPr>
    </w:p>
    <w:p>
      <w:pPr>
        <w:tabs>
          <w:tab w:val="left" w:pos="4481"/>
        </w:tabs>
        <w:spacing w:before="0"/>
        <w:ind w:left="2" w:right="0" w:firstLine="0"/>
        <w:jc w:val="center"/>
        <w:rPr>
          <w:rFonts w:ascii="黑体" w:eastAsia="黑体" w:hint="eastAsia"/>
          <w:sz w:val="28"/>
        </w:rPr>
      </w:pPr>
      <w:r>
        <w:rPr>
          <w:rFonts w:ascii="黑体" w:eastAsia="黑体" w:hint="eastAsia"/>
          <w:sz w:val="28"/>
        </w:rPr>
        <w:t>广西壮</w:t>
      </w:r>
      <w:r>
        <w:rPr>
          <w:rFonts w:ascii="黑体" w:eastAsia="黑体" w:hint="eastAsia"/>
          <w:spacing w:val="-3"/>
          <w:sz w:val="28"/>
        </w:rPr>
        <w:t>族</w:t>
      </w:r>
      <w:r>
        <w:rPr>
          <w:rFonts w:ascii="黑体" w:eastAsia="黑体" w:hint="eastAsia"/>
          <w:sz w:val="28"/>
        </w:rPr>
        <w:t>自治</w:t>
      </w:r>
      <w:r>
        <w:rPr>
          <w:rFonts w:ascii="黑体" w:eastAsia="黑体" w:hint="eastAsia"/>
          <w:spacing w:val="-3"/>
          <w:sz w:val="28"/>
        </w:rPr>
        <w:t>区市</w:t>
      </w:r>
      <w:r>
        <w:rPr>
          <w:rFonts w:ascii="黑体" w:eastAsia="黑体" w:hint="eastAsia"/>
          <w:sz w:val="28"/>
        </w:rPr>
        <w:t>场监督</w:t>
      </w:r>
      <w:r>
        <w:rPr>
          <w:rFonts w:ascii="黑体" w:eastAsia="黑体" w:hint="eastAsia"/>
          <w:spacing w:val="-3"/>
          <w:sz w:val="28"/>
        </w:rPr>
        <w:t>管</w:t>
      </w:r>
      <w:r>
        <w:rPr>
          <w:rFonts w:ascii="黑体" w:eastAsia="黑体" w:hint="eastAsia"/>
          <w:sz w:val="28"/>
        </w:rPr>
        <w:t>理局</w:t>
        <w:tab/>
        <w:t>发</w:t>
      </w:r>
      <w:r>
        <w:rPr>
          <w:rFonts w:ascii="黑体" w:eastAsia="黑体" w:hint="eastAsia"/>
          <w:spacing w:val="28"/>
          <w:sz w:val="28"/>
        </w:rPr>
        <w:t xml:space="preserve"> </w:t>
      </w:r>
      <w:r>
        <w:rPr>
          <w:rFonts w:ascii="黑体" w:eastAsia="黑体" w:hint="eastAsia"/>
          <w:sz w:val="28"/>
        </w:rPr>
        <w:t>布</w:t>
      </w: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6"/>
        <w:rPr>
          <w:rFonts w:ascii="黑体"/>
          <w:sz w:val="15"/>
        </w:rPr>
      </w:pPr>
    </w:p>
    <w:p>
      <w:pPr>
        <w:pStyle w:val="BodyText"/>
        <w:rPr>
          <w:rFonts w:ascii="黑体"/>
          <w:sz w:val="2"/>
        </w:rPr>
      </w:pPr>
    </w:p>
    <w:p>
      <w:pPr>
        <w:pStyle w:val="BodyText"/>
        <w:rPr>
          <w:rFonts w:ascii="黑体"/>
          <w:sz w:val="2"/>
        </w:rPr>
        <w:sectPr>
          <w:type w:val="continuous"/>
          <w:pgSz w:w="11910" w:h="16840"/>
          <w:pgMar w:top="540" w:right="720" w:bottom="0" w:left="1000" w:header="708" w:footer="708"/>
          <w:cols w:space="708"/>
        </w:sectPr>
      </w:pPr>
    </w:p>
    <w:p>
      <w:pPr>
        <w:pStyle w:val="BodyText"/>
        <w:rPr>
          <w:rFonts w:ascii="黑体"/>
          <w:sz w:val="2"/>
        </w:rPr>
      </w:pPr>
    </w:p>
    <w:p>
      <w:pPr>
        <w:pStyle w:val="BodyText"/>
        <w:rPr>
          <w:rFonts w:ascii="黑体"/>
          <w:sz w:val="2"/>
        </w:rPr>
      </w:pPr>
    </w:p>
    <w:p>
      <w:pPr>
        <w:spacing w:before="0"/>
        <w:ind w:left="418" w:right="0" w:firstLine="0"/>
        <w:jc w:val="left"/>
        <w:rPr>
          <w:sz w:val="2"/>
        </w:rPr>
      </w:pPr>
      <w:r>
        <w:rPr>
          <w:w w:val="96"/>
          <w:sz w:val="2"/>
        </w:rPr>
        <w:t xml:space="preserve"> </w:t>
      </w:r>
    </w:p>
    <w:p>
      <w:pPr>
        <w:spacing w:after="0"/>
        <w:jc w:val="left"/>
        <w:rPr>
          <w:sz w:val="2"/>
        </w:rPr>
        <w:sectPr>
          <w:type w:val="nextPage"/>
          <w:pgSz w:w="11910" w:h="16840"/>
          <w:pgMar w:top="540" w:right="720" w:bottom="0" w:left="1000" w:header="708" w:footer="708"/>
          <w:pgNumType w:start="2"/>
          <w:cols w:space="708"/>
          <w:titlePg w:val="0"/>
        </w:sectPr>
      </w:pPr>
    </w:p>
    <w:p>
      <w:pPr>
        <w:pStyle w:val="BodyText"/>
        <w:spacing w:before="7"/>
        <w:rPr>
          <w:sz w:val="15"/>
        </w:rPr>
      </w:pPr>
    </w:p>
    <w:p>
      <w:pPr>
        <w:spacing w:after="0"/>
        <w:rPr>
          <w:sz w:val="15"/>
        </w:rPr>
        <w:sectPr>
          <w:pgSz w:w="11910" w:h="16840"/>
          <w:pgMar w:top="1580" w:right="720" w:bottom="280" w:left="1000" w:header="708" w:footer="708"/>
          <w:pgNumType w:start="3"/>
          <w:cols w:space="708"/>
        </w:sectPr>
      </w:pPr>
    </w:p>
    <w:p>
      <w:pPr>
        <w:pStyle w:val="BodyText"/>
        <w:rPr>
          <w:sz w:val="20"/>
        </w:rPr>
      </w:pPr>
    </w:p>
    <w:p>
      <w:pPr>
        <w:pStyle w:val="BodyText"/>
        <w:rPr>
          <w:sz w:val="20"/>
        </w:rPr>
      </w:pPr>
    </w:p>
    <w:p>
      <w:pPr>
        <w:pStyle w:val="BodyText"/>
        <w:spacing w:before="4"/>
        <w:rPr>
          <w:sz w:val="22"/>
        </w:rPr>
      </w:pPr>
    </w:p>
    <w:p>
      <w:pPr>
        <w:pStyle w:val="Heading1"/>
        <w:tabs>
          <w:tab w:val="left" w:pos="965"/>
        </w:tabs>
        <w:ind w:left="5"/>
      </w:pPr>
      <w:r>
        <w:t>目</w:t>
        <w:tab/>
        <w:t>次</w:t>
      </w:r>
    </w:p>
    <w:p>
      <w:pPr>
        <w:pStyle w:val="BodyText"/>
        <w:rPr>
          <w:rFonts w:ascii="黑体"/>
          <w:sz w:val="32"/>
        </w:rPr>
      </w:pPr>
    </w:p>
    <w:p>
      <w:pPr>
        <w:pStyle w:val="BodyText"/>
        <w:tabs>
          <w:tab w:val="left" w:leader="dot" w:pos="9456"/>
        </w:tabs>
        <w:spacing w:before="277"/>
        <w:ind w:left="418"/>
      </w:pPr>
      <w:hyperlink w:anchor="_bookmark0" w:history="1">
        <w:r>
          <w:t>前言</w:t>
          <w:tab/>
          <w:t>II</w:t>
        </w:r>
      </w:hyperlink>
    </w:p>
    <w:p>
      <w:pPr>
        <w:pStyle w:val="BodyText"/>
        <w:tabs>
          <w:tab w:val="left" w:leader="dot" w:pos="9561"/>
        </w:tabs>
        <w:spacing w:before="132"/>
        <w:ind w:left="418"/>
      </w:pPr>
      <w:hyperlink w:anchor="_bookmark1" w:history="1">
        <w:r>
          <w:t xml:space="preserve">1 </w:t>
        </w:r>
        <w:r>
          <w:rPr>
            <w:spacing w:val="2"/>
          </w:rPr>
          <w:t xml:space="preserve"> </w:t>
        </w:r>
        <w:r>
          <w:rPr>
            <w:spacing w:val="-3"/>
          </w:rPr>
          <w:t>范围</w:t>
          <w:tab/>
        </w:r>
        <w:r>
          <w:t>1</w:t>
        </w:r>
      </w:hyperlink>
    </w:p>
    <w:p>
      <w:pPr>
        <w:pStyle w:val="BodyText"/>
        <w:tabs>
          <w:tab w:val="left" w:leader="dot" w:pos="9561"/>
        </w:tabs>
        <w:spacing w:before="131"/>
        <w:ind w:left="418"/>
      </w:pPr>
      <w:hyperlink w:anchor="_bookmark2" w:history="1">
        <w:r>
          <w:t xml:space="preserve">2 </w:t>
        </w:r>
        <w:r>
          <w:rPr>
            <w:spacing w:val="6"/>
          </w:rPr>
          <w:t xml:space="preserve"> </w:t>
        </w:r>
        <w:r>
          <w:rPr>
            <w:spacing w:val="-3"/>
          </w:rPr>
          <w:t>规</w:t>
        </w:r>
        <w:r>
          <w:t>范</w:t>
        </w:r>
        <w:r>
          <w:rPr>
            <w:spacing w:val="-3"/>
          </w:rPr>
          <w:t>性</w:t>
        </w:r>
        <w:r>
          <w:t>引</w:t>
        </w:r>
        <w:r>
          <w:rPr>
            <w:spacing w:val="-3"/>
          </w:rPr>
          <w:t>用</w:t>
        </w:r>
        <w:r>
          <w:t>文件</w:t>
          <w:tab/>
          <w:t>1</w:t>
        </w:r>
      </w:hyperlink>
    </w:p>
    <w:p>
      <w:pPr>
        <w:pStyle w:val="BodyText"/>
        <w:tabs>
          <w:tab w:val="left" w:leader="dot" w:pos="9561"/>
        </w:tabs>
        <w:spacing w:before="130"/>
        <w:ind w:left="418"/>
      </w:pPr>
      <w:hyperlink w:anchor="_bookmark3" w:history="1">
        <w:r>
          <w:t xml:space="preserve">3 </w:t>
        </w:r>
        <w:r>
          <w:rPr>
            <w:spacing w:val="5"/>
          </w:rPr>
          <w:t xml:space="preserve"> </w:t>
        </w:r>
        <w:r>
          <w:rPr>
            <w:spacing w:val="-3"/>
          </w:rPr>
          <w:t>术</w:t>
        </w:r>
        <w:r>
          <w:t>语</w:t>
        </w:r>
        <w:r>
          <w:rPr>
            <w:spacing w:val="-3"/>
          </w:rPr>
          <w:t>和</w:t>
        </w:r>
        <w:r>
          <w:t>定义</w:t>
          <w:tab/>
          <w:t>1</w:t>
        </w:r>
      </w:hyperlink>
    </w:p>
    <w:p>
      <w:pPr>
        <w:pStyle w:val="BodyText"/>
        <w:tabs>
          <w:tab w:val="left" w:leader="dot" w:pos="9561"/>
        </w:tabs>
        <w:spacing w:before="132"/>
        <w:ind w:left="418"/>
      </w:pPr>
      <w:hyperlink w:anchor="_bookmark4" w:history="1">
        <w:r>
          <w:t xml:space="preserve">4 </w:t>
        </w:r>
        <w:r>
          <w:rPr>
            <w:spacing w:val="4"/>
          </w:rPr>
          <w:t xml:space="preserve"> </w:t>
        </w:r>
        <w:r>
          <w:rPr>
            <w:spacing w:val="-3"/>
          </w:rPr>
          <w:t>数</w:t>
        </w:r>
        <w:r>
          <w:t>据</w:t>
        </w:r>
        <w:r>
          <w:rPr>
            <w:spacing w:val="-3"/>
          </w:rPr>
          <w:t>组</w:t>
        </w:r>
        <w:r>
          <w:t>成</w:t>
          <w:tab/>
          <w:t>2</w:t>
        </w:r>
      </w:hyperlink>
    </w:p>
    <w:p>
      <w:pPr>
        <w:pStyle w:val="BodyText"/>
        <w:tabs>
          <w:tab w:val="left" w:leader="dot" w:pos="9561"/>
        </w:tabs>
        <w:spacing w:before="53"/>
        <w:ind w:left="630"/>
      </w:pPr>
      <w:hyperlink w:anchor="_bookmark5" w:history="1">
        <w:r>
          <w:t xml:space="preserve">4.1 </w:t>
        </w:r>
        <w:r>
          <w:rPr>
            <w:spacing w:val="1"/>
          </w:rPr>
          <w:t xml:space="preserve"> </w:t>
        </w:r>
        <w:r>
          <w:t>一</w:t>
        </w:r>
        <w:r>
          <w:rPr>
            <w:spacing w:val="-3"/>
          </w:rPr>
          <w:t>般</w:t>
        </w:r>
        <w:r>
          <w:t>要求</w:t>
          <w:tab/>
          <w:t>2</w:t>
        </w:r>
      </w:hyperlink>
    </w:p>
    <w:p>
      <w:pPr>
        <w:pStyle w:val="BodyText"/>
        <w:tabs>
          <w:tab w:val="left" w:leader="dot" w:pos="9561"/>
        </w:tabs>
        <w:spacing w:before="30"/>
        <w:ind w:left="630"/>
      </w:pPr>
      <w:hyperlink w:anchor="_bookmark6" w:history="1">
        <w:r>
          <w:t xml:space="preserve">4.2 </w:t>
        </w:r>
        <w:r>
          <w:rPr>
            <w:spacing w:val="1"/>
          </w:rPr>
          <w:t xml:space="preserve"> </w:t>
        </w:r>
        <w:r>
          <w:t>基</w:t>
        </w:r>
        <w:r>
          <w:rPr>
            <w:spacing w:val="-3"/>
          </w:rPr>
          <w:t>础</w:t>
        </w:r>
        <w:r>
          <w:t>数据</w:t>
          <w:tab/>
          <w:t>2</w:t>
        </w:r>
      </w:hyperlink>
    </w:p>
    <w:p>
      <w:pPr>
        <w:pStyle w:val="BodyText"/>
        <w:tabs>
          <w:tab w:val="left" w:leader="dot" w:pos="9561"/>
        </w:tabs>
        <w:spacing w:before="31"/>
        <w:ind w:left="630"/>
      </w:pPr>
      <w:hyperlink w:anchor="_bookmark7" w:history="1">
        <w:r>
          <w:t xml:space="preserve">4.3 </w:t>
        </w:r>
        <w:r>
          <w:rPr>
            <w:spacing w:val="1"/>
          </w:rPr>
          <w:t xml:space="preserve"> </w:t>
        </w:r>
        <w:r>
          <w:t>控</w:t>
        </w:r>
        <w:r>
          <w:rPr>
            <w:spacing w:val="-3"/>
          </w:rPr>
          <w:t>制</w:t>
        </w:r>
        <w:r>
          <w:t>数据</w:t>
          <w:tab/>
          <w:t>2</w:t>
        </w:r>
      </w:hyperlink>
    </w:p>
    <w:p>
      <w:pPr>
        <w:pStyle w:val="BodyText"/>
        <w:tabs>
          <w:tab w:val="left" w:leader="dot" w:pos="9561"/>
        </w:tabs>
        <w:spacing w:before="31"/>
        <w:ind w:left="630"/>
      </w:pPr>
      <w:hyperlink w:anchor="_bookmark8" w:history="1">
        <w:r>
          <w:t xml:space="preserve">4.4 </w:t>
        </w:r>
        <w:r>
          <w:rPr>
            <w:spacing w:val="1"/>
          </w:rPr>
          <w:t xml:space="preserve"> </w:t>
        </w:r>
        <w:r>
          <w:t>运</w:t>
        </w:r>
        <w:r>
          <w:rPr>
            <w:spacing w:val="-3"/>
          </w:rPr>
          <w:t>行</w:t>
        </w:r>
        <w:r>
          <w:t>数据</w:t>
          <w:tab/>
          <w:t>2</w:t>
        </w:r>
      </w:hyperlink>
    </w:p>
    <w:p>
      <w:pPr>
        <w:pStyle w:val="BodyText"/>
        <w:tabs>
          <w:tab w:val="left" w:leader="dot" w:pos="9561"/>
        </w:tabs>
        <w:spacing w:before="31"/>
        <w:ind w:left="630"/>
      </w:pPr>
      <w:hyperlink w:anchor="_bookmark9" w:history="1">
        <w:r>
          <w:t xml:space="preserve">4.5 </w:t>
        </w:r>
        <w:r>
          <w:rPr>
            <w:spacing w:val="1"/>
          </w:rPr>
          <w:t xml:space="preserve"> </w:t>
        </w:r>
        <w:r>
          <w:t>运</w:t>
        </w:r>
        <w:r>
          <w:rPr>
            <w:spacing w:val="-3"/>
          </w:rPr>
          <w:t>维</w:t>
        </w:r>
        <w:r>
          <w:t>数据</w:t>
          <w:tab/>
          <w:t>3</w:t>
        </w:r>
      </w:hyperlink>
    </w:p>
    <w:p>
      <w:pPr>
        <w:pStyle w:val="BodyText"/>
        <w:tabs>
          <w:tab w:val="left" w:leader="dot" w:pos="9561"/>
        </w:tabs>
        <w:spacing w:before="31"/>
        <w:ind w:left="630"/>
      </w:pPr>
      <w:hyperlink w:anchor="_bookmark10" w:history="1">
        <w:r>
          <w:t xml:space="preserve">4.6 </w:t>
        </w:r>
        <w:r>
          <w:rPr>
            <w:spacing w:val="1"/>
          </w:rPr>
          <w:t xml:space="preserve"> </w:t>
        </w:r>
        <w:r>
          <w:t>数</w:t>
        </w:r>
        <w:r>
          <w:rPr>
            <w:spacing w:val="-3"/>
          </w:rPr>
          <w:t>据</w:t>
        </w:r>
        <w:r>
          <w:t>逻辑</w:t>
          <w:tab/>
          <w:t>3</w:t>
        </w:r>
      </w:hyperlink>
    </w:p>
    <w:p>
      <w:pPr>
        <w:pStyle w:val="BodyText"/>
        <w:tabs>
          <w:tab w:val="left" w:leader="dot" w:pos="9561"/>
        </w:tabs>
        <w:spacing w:before="110"/>
        <w:ind w:left="418"/>
      </w:pPr>
      <w:hyperlink w:anchor="_bookmark11" w:history="1">
        <w:r>
          <w:t xml:space="preserve">5 </w:t>
        </w:r>
        <w:r>
          <w:rPr>
            <w:spacing w:val="4"/>
          </w:rPr>
          <w:t xml:space="preserve"> </w:t>
        </w:r>
        <w:r>
          <w:rPr>
            <w:spacing w:val="-3"/>
          </w:rPr>
          <w:t>数</w:t>
        </w:r>
        <w:r>
          <w:t>据</w:t>
        </w:r>
        <w:r>
          <w:rPr>
            <w:spacing w:val="-3"/>
          </w:rPr>
          <w:t>格</w:t>
        </w:r>
        <w:r>
          <w:t>式</w:t>
          <w:tab/>
          <w:t>4</w:t>
        </w:r>
      </w:hyperlink>
    </w:p>
    <w:p>
      <w:pPr>
        <w:pStyle w:val="BodyText"/>
        <w:tabs>
          <w:tab w:val="left" w:leader="dot" w:pos="9561"/>
        </w:tabs>
        <w:spacing w:before="50"/>
        <w:ind w:left="630"/>
      </w:pPr>
      <w:hyperlink w:anchor="_bookmark12" w:history="1">
        <w:r>
          <w:t xml:space="preserve">5.1 </w:t>
        </w:r>
        <w:r>
          <w:rPr>
            <w:spacing w:val="1"/>
          </w:rPr>
          <w:t xml:space="preserve"> </w:t>
        </w:r>
        <w:r>
          <w:t>一</w:t>
        </w:r>
        <w:r>
          <w:rPr>
            <w:spacing w:val="-3"/>
          </w:rPr>
          <w:t>般</w:t>
        </w:r>
        <w:r>
          <w:t>要求</w:t>
          <w:tab/>
          <w:t>4</w:t>
        </w:r>
      </w:hyperlink>
    </w:p>
    <w:p>
      <w:pPr>
        <w:pStyle w:val="BodyText"/>
        <w:tabs>
          <w:tab w:val="left" w:leader="dot" w:pos="9561"/>
        </w:tabs>
        <w:spacing w:before="31"/>
        <w:ind w:left="630"/>
      </w:pPr>
      <w:hyperlink w:anchor="_bookmark13" w:history="1">
        <w:r>
          <w:t xml:space="preserve">5.2 </w:t>
        </w:r>
        <w:r>
          <w:rPr>
            <w:spacing w:val="1"/>
          </w:rPr>
          <w:t xml:space="preserve"> </w:t>
        </w:r>
        <w:r>
          <w:t>数</w:t>
        </w:r>
        <w:r>
          <w:rPr>
            <w:spacing w:val="-3"/>
          </w:rPr>
          <w:t>据</w:t>
        </w:r>
        <w:r>
          <w:t>接口</w:t>
          <w:tab/>
          <w:t>4</w:t>
        </w:r>
      </w:hyperlink>
    </w:p>
    <w:p>
      <w:pPr>
        <w:pStyle w:val="BodyText"/>
        <w:tabs>
          <w:tab w:val="left" w:leader="dot" w:pos="9561"/>
        </w:tabs>
        <w:spacing w:before="111"/>
        <w:ind w:left="418"/>
      </w:pPr>
      <w:hyperlink w:anchor="_bookmark14" w:history="1">
        <w:r>
          <w:t xml:space="preserve">6 </w:t>
        </w:r>
        <w:r>
          <w:rPr>
            <w:spacing w:val="4"/>
          </w:rPr>
          <w:t xml:space="preserve"> </w:t>
        </w:r>
        <w:r>
          <w:rPr>
            <w:spacing w:val="-3"/>
          </w:rPr>
          <w:t>数</w:t>
        </w:r>
        <w:r>
          <w:t>据</w:t>
        </w:r>
        <w:r>
          <w:rPr>
            <w:spacing w:val="-3"/>
          </w:rPr>
          <w:t>存</w:t>
        </w:r>
        <w:r>
          <w:t>储</w:t>
          <w:tab/>
          <w:t>4</w:t>
        </w:r>
      </w:hyperlink>
    </w:p>
    <w:p>
      <w:pPr>
        <w:pStyle w:val="BodyText"/>
        <w:tabs>
          <w:tab w:val="left" w:leader="dot" w:pos="9561"/>
        </w:tabs>
        <w:spacing w:before="52"/>
        <w:ind w:left="630"/>
      </w:pPr>
      <w:hyperlink w:anchor="_bookmark15" w:history="1">
        <w:r>
          <w:t xml:space="preserve">6.1 </w:t>
        </w:r>
        <w:r>
          <w:rPr>
            <w:spacing w:val="1"/>
          </w:rPr>
          <w:t xml:space="preserve"> </w:t>
        </w:r>
        <w:r>
          <w:t>一</w:t>
        </w:r>
        <w:r>
          <w:rPr>
            <w:spacing w:val="-3"/>
          </w:rPr>
          <w:t>般</w:t>
        </w:r>
        <w:r>
          <w:t>要求</w:t>
          <w:tab/>
          <w:t>4</w:t>
        </w:r>
      </w:hyperlink>
    </w:p>
    <w:p>
      <w:pPr>
        <w:pStyle w:val="BodyText"/>
        <w:tabs>
          <w:tab w:val="left" w:leader="dot" w:pos="9561"/>
        </w:tabs>
        <w:spacing w:before="31"/>
        <w:ind w:left="630"/>
      </w:pPr>
      <w:hyperlink w:anchor="_bookmark16" w:history="1">
        <w:r>
          <w:t xml:space="preserve">6.2 </w:t>
        </w:r>
        <w:r>
          <w:rPr>
            <w:spacing w:val="2"/>
          </w:rPr>
          <w:t xml:space="preserve"> </w:t>
        </w:r>
        <w:r>
          <w:t>存</w:t>
        </w:r>
        <w:r>
          <w:rPr>
            <w:spacing w:val="-3"/>
          </w:rPr>
          <w:t>储</w:t>
        </w:r>
        <w:r>
          <w:t>技</w:t>
        </w:r>
        <w:r>
          <w:rPr>
            <w:spacing w:val="-3"/>
          </w:rPr>
          <w:t>术</w:t>
        </w:r>
        <w:r>
          <w:t>要求</w:t>
          <w:tab/>
          <w:t>4</w:t>
        </w:r>
      </w:hyperlink>
    </w:p>
    <w:p>
      <w:pPr>
        <w:pStyle w:val="BodyText"/>
        <w:tabs>
          <w:tab w:val="left" w:leader="dot" w:pos="9561"/>
        </w:tabs>
        <w:spacing w:before="111"/>
        <w:ind w:left="418"/>
      </w:pPr>
      <w:hyperlink w:anchor="_bookmark17" w:history="1">
        <w:r>
          <w:t xml:space="preserve">7 </w:t>
        </w:r>
        <w:r>
          <w:rPr>
            <w:spacing w:val="4"/>
          </w:rPr>
          <w:t xml:space="preserve"> </w:t>
        </w:r>
        <w:r>
          <w:rPr>
            <w:spacing w:val="-3"/>
          </w:rPr>
          <w:t>数</w:t>
        </w:r>
        <w:r>
          <w:t>据</w:t>
        </w:r>
        <w:r>
          <w:rPr>
            <w:spacing w:val="-3"/>
          </w:rPr>
          <w:t>交</w:t>
        </w:r>
        <w:r>
          <w:t>换</w:t>
          <w:tab/>
          <w:t>5</w:t>
        </w:r>
      </w:hyperlink>
    </w:p>
    <w:p>
      <w:pPr>
        <w:pStyle w:val="BodyText"/>
        <w:tabs>
          <w:tab w:val="left" w:leader="dot" w:pos="9561"/>
        </w:tabs>
        <w:spacing w:before="52"/>
        <w:ind w:left="630"/>
      </w:pPr>
      <w:hyperlink w:anchor="_bookmark18" w:history="1">
        <w:r>
          <w:t xml:space="preserve">7.1 </w:t>
        </w:r>
        <w:r>
          <w:rPr>
            <w:spacing w:val="1"/>
          </w:rPr>
          <w:t xml:space="preserve"> </w:t>
        </w:r>
        <w:r>
          <w:t>一</w:t>
        </w:r>
        <w:r>
          <w:rPr>
            <w:spacing w:val="-3"/>
          </w:rPr>
          <w:t>般</w:t>
        </w:r>
        <w:r>
          <w:t>要求</w:t>
          <w:tab/>
          <w:t>5</w:t>
        </w:r>
      </w:hyperlink>
    </w:p>
    <w:p>
      <w:pPr>
        <w:pStyle w:val="ListParagraph"/>
        <w:numPr>
          <w:ilvl w:val="1"/>
          <w:numId w:val="3"/>
        </w:numPr>
        <w:tabs>
          <w:tab w:val="left" w:pos="948"/>
          <w:tab w:val="left" w:leader="dot" w:pos="9561"/>
        </w:tabs>
        <w:spacing w:before="31" w:after="0" w:line="240" w:lineRule="auto"/>
        <w:ind w:left="947" w:right="0" w:hanging="318"/>
        <w:jc w:val="left"/>
        <w:rPr>
          <w:sz w:val="21"/>
        </w:rPr>
      </w:pPr>
      <w:hyperlink w:anchor="_bookmark19" w:history="1">
        <w:r>
          <w:rPr>
            <w:sz w:val="21"/>
          </w:rPr>
          <w:t>交</w:t>
        </w:r>
        <w:r>
          <w:rPr>
            <w:spacing w:val="-3"/>
            <w:sz w:val="21"/>
          </w:rPr>
          <w:t>换</w:t>
        </w:r>
        <w:r>
          <w:rPr>
            <w:sz w:val="21"/>
          </w:rPr>
          <w:t>技</w:t>
        </w:r>
        <w:r>
          <w:rPr>
            <w:spacing w:val="-3"/>
            <w:sz w:val="21"/>
          </w:rPr>
          <w:t>术</w:t>
        </w:r>
        <w:r>
          <w:rPr>
            <w:sz w:val="21"/>
          </w:rPr>
          <w:t>要求</w:t>
          <w:tab/>
          <w:t>5</w:t>
        </w:r>
      </w:hyperlink>
    </w:p>
    <w:p>
      <w:pPr>
        <w:pStyle w:val="ListParagraph"/>
        <w:numPr>
          <w:ilvl w:val="1"/>
          <w:numId w:val="3"/>
        </w:numPr>
        <w:tabs>
          <w:tab w:val="left" w:pos="948"/>
          <w:tab w:val="left" w:leader="dot" w:pos="9561"/>
        </w:tabs>
        <w:spacing w:before="31" w:after="0" w:line="240" w:lineRule="auto"/>
        <w:ind w:left="947" w:right="0" w:hanging="318"/>
        <w:jc w:val="left"/>
        <w:rPr>
          <w:sz w:val="21"/>
        </w:rPr>
      </w:pPr>
      <w:hyperlink w:anchor="_bookmark20" w:history="1">
        <w:r>
          <w:rPr>
            <w:sz w:val="21"/>
          </w:rPr>
          <w:t>数</w:t>
        </w:r>
        <w:r>
          <w:rPr>
            <w:spacing w:val="-3"/>
            <w:sz w:val="21"/>
          </w:rPr>
          <w:t>据</w:t>
        </w:r>
        <w:r>
          <w:rPr>
            <w:sz w:val="21"/>
          </w:rPr>
          <w:t>交</w:t>
        </w:r>
        <w:r>
          <w:rPr>
            <w:spacing w:val="-3"/>
            <w:sz w:val="21"/>
          </w:rPr>
          <w:t>换</w:t>
        </w:r>
        <w:r>
          <w:rPr>
            <w:sz w:val="21"/>
          </w:rPr>
          <w:t>接口</w:t>
          <w:tab/>
          <w:t>5</w:t>
        </w:r>
      </w:hyperlink>
    </w:p>
    <w:p>
      <w:pPr>
        <w:pStyle w:val="BodyText"/>
        <w:tabs>
          <w:tab w:val="left" w:leader="dot" w:pos="9561"/>
        </w:tabs>
        <w:spacing w:before="110"/>
        <w:ind w:left="418"/>
      </w:pPr>
      <w:hyperlink w:anchor="_bookmark21" w:history="1">
        <w:r>
          <w:t xml:space="preserve">8 </w:t>
        </w:r>
        <w:r>
          <w:rPr>
            <w:spacing w:val="4"/>
          </w:rPr>
          <w:t xml:space="preserve"> </w:t>
        </w:r>
        <w:r>
          <w:rPr>
            <w:spacing w:val="-3"/>
          </w:rPr>
          <w:t>数</w:t>
        </w:r>
        <w:r>
          <w:t>据</w:t>
        </w:r>
        <w:r>
          <w:rPr>
            <w:spacing w:val="-3"/>
          </w:rPr>
          <w:t>安</w:t>
        </w:r>
        <w:r>
          <w:t>全</w:t>
          <w:tab/>
          <w:t>5</w:t>
        </w:r>
      </w:hyperlink>
    </w:p>
    <w:p>
      <w:pPr>
        <w:pStyle w:val="BodyText"/>
        <w:tabs>
          <w:tab w:val="left" w:leader="dot" w:pos="9561"/>
        </w:tabs>
        <w:spacing w:before="50"/>
        <w:ind w:left="630"/>
      </w:pPr>
      <w:hyperlink w:anchor="_bookmark22" w:history="1">
        <w:r>
          <w:t xml:space="preserve">8.1 </w:t>
        </w:r>
        <w:r>
          <w:rPr>
            <w:spacing w:val="1"/>
          </w:rPr>
          <w:t xml:space="preserve"> </w:t>
        </w:r>
        <w:r>
          <w:t>一</w:t>
        </w:r>
        <w:r>
          <w:rPr>
            <w:spacing w:val="-3"/>
          </w:rPr>
          <w:t>般</w:t>
        </w:r>
        <w:r>
          <w:t>要求</w:t>
          <w:tab/>
          <w:t>5</w:t>
        </w:r>
      </w:hyperlink>
    </w:p>
    <w:p>
      <w:pPr>
        <w:pStyle w:val="BodyText"/>
        <w:tabs>
          <w:tab w:val="left" w:leader="dot" w:pos="9561"/>
        </w:tabs>
        <w:spacing w:before="31"/>
        <w:ind w:left="630"/>
      </w:pPr>
      <w:hyperlink w:anchor="_bookmark23" w:history="1">
        <w:r>
          <w:t xml:space="preserve">8.2 </w:t>
        </w:r>
        <w:r>
          <w:rPr>
            <w:spacing w:val="1"/>
          </w:rPr>
          <w:t xml:space="preserve"> </w:t>
        </w:r>
        <w:r>
          <w:t>安</w:t>
        </w:r>
        <w:r>
          <w:rPr>
            <w:spacing w:val="-3"/>
          </w:rPr>
          <w:t>全</w:t>
        </w:r>
        <w:r>
          <w:t>监控</w:t>
          <w:tab/>
          <w:t>5</w:t>
        </w:r>
      </w:hyperlink>
    </w:p>
    <w:p>
      <w:pPr>
        <w:pStyle w:val="BodyText"/>
        <w:tabs>
          <w:tab w:val="left" w:leader="dot" w:pos="9561"/>
        </w:tabs>
        <w:spacing w:before="110"/>
        <w:ind w:left="418"/>
      </w:pPr>
      <w:hyperlink w:anchor="_bookmark24" w:history="1">
        <w:r>
          <w:t>附录</w:t>
        </w:r>
        <w:r>
          <w:rPr>
            <w:spacing w:val="-51"/>
          </w:rPr>
          <w:t xml:space="preserve"> </w:t>
        </w:r>
        <w:r>
          <w:t>A（</w:t>
        </w:r>
        <w:r>
          <w:rPr>
            <w:spacing w:val="-3"/>
          </w:rPr>
          <w:t>规</w:t>
        </w:r>
        <w:r>
          <w:t>范</w:t>
        </w:r>
        <w:r>
          <w:rPr>
            <w:spacing w:val="-3"/>
          </w:rPr>
          <w:t>性</w:t>
        </w:r>
        <w:r>
          <w:t xml:space="preserve">） </w:t>
        </w:r>
        <w:r>
          <w:rPr>
            <w:spacing w:val="9"/>
          </w:rPr>
          <w:t xml:space="preserve"> </w:t>
        </w:r>
        <w:r>
          <w:t>集</w:t>
        </w:r>
        <w:r>
          <w:rPr>
            <w:spacing w:val="-3"/>
          </w:rPr>
          <w:t>中</w:t>
        </w:r>
        <w:r>
          <w:t>控制</w:t>
        </w:r>
        <w:r>
          <w:rPr>
            <w:spacing w:val="-3"/>
          </w:rPr>
          <w:t>系</w:t>
        </w:r>
        <w:r>
          <w:t>统</w:t>
        </w:r>
        <w:r>
          <w:rPr>
            <w:spacing w:val="-3"/>
          </w:rPr>
          <w:t>数</w:t>
        </w:r>
        <w:r>
          <w:t>据</w:t>
        </w:r>
        <w:r>
          <w:rPr>
            <w:spacing w:val="-3"/>
          </w:rPr>
          <w:t>逻</w:t>
        </w:r>
        <w:r>
          <w:t>辑</w:t>
        </w:r>
        <w:r>
          <w:rPr>
            <w:spacing w:val="-3"/>
          </w:rPr>
          <w:t>拓</w:t>
        </w:r>
        <w:r>
          <w:t>扑图</w:t>
          <w:tab/>
          <w:t>6</w:t>
        </w:r>
      </w:hyperlink>
    </w:p>
    <w:p>
      <w:pPr>
        <w:pStyle w:val="BodyText"/>
        <w:tabs>
          <w:tab w:val="left" w:leader="dot" w:pos="9561"/>
        </w:tabs>
        <w:spacing w:before="132"/>
        <w:ind w:left="418"/>
      </w:pPr>
      <w:hyperlink w:anchor="_bookmark25" w:history="1">
        <w:r>
          <w:t>附录</w:t>
        </w:r>
        <w:r>
          <w:rPr>
            <w:spacing w:val="-51"/>
          </w:rPr>
          <w:t xml:space="preserve"> </w:t>
        </w:r>
        <w:r>
          <w:t>B（</w:t>
        </w:r>
        <w:r>
          <w:rPr>
            <w:spacing w:val="-3"/>
          </w:rPr>
          <w:t>资</w:t>
        </w:r>
        <w:r>
          <w:t>料</w:t>
        </w:r>
        <w:r>
          <w:rPr>
            <w:spacing w:val="-3"/>
          </w:rPr>
          <w:t>性</w:t>
        </w:r>
        <w:r>
          <w:t xml:space="preserve">） </w:t>
        </w:r>
        <w:r>
          <w:rPr>
            <w:spacing w:val="8"/>
          </w:rPr>
          <w:t xml:space="preserve"> </w:t>
        </w:r>
        <w:r>
          <w:t>船</w:t>
        </w:r>
        <w:r>
          <w:rPr>
            <w:spacing w:val="-3"/>
          </w:rPr>
          <w:t>闸</w:t>
        </w:r>
        <w:r>
          <w:t>集中</w:t>
        </w:r>
        <w:r>
          <w:rPr>
            <w:spacing w:val="-3"/>
          </w:rPr>
          <w:t>控</w:t>
        </w:r>
        <w:r>
          <w:t>制</w:t>
        </w:r>
        <w:r>
          <w:rPr>
            <w:spacing w:val="-3"/>
          </w:rPr>
          <w:t>系</w:t>
        </w:r>
        <w:r>
          <w:t>统</w:t>
        </w:r>
        <w:r>
          <w:rPr>
            <w:spacing w:val="-3"/>
          </w:rPr>
          <w:t>数</w:t>
        </w:r>
        <w:r>
          <w:t>据</w:t>
        </w:r>
        <w:r>
          <w:rPr>
            <w:spacing w:val="-3"/>
          </w:rPr>
          <w:t>示</w:t>
        </w:r>
        <w:r>
          <w:t>例</w:t>
          <w:tab/>
          <w:t>7</w:t>
        </w:r>
      </w:hyperlink>
    </w:p>
    <w:p>
      <w:pPr>
        <w:pStyle w:val="BodyText"/>
        <w:tabs>
          <w:tab w:val="left" w:leader="dot" w:pos="9561"/>
        </w:tabs>
        <w:spacing w:before="53"/>
        <w:ind w:left="630"/>
      </w:pPr>
      <w:hyperlink w:anchor="_bookmark26" w:history="1">
        <w:r>
          <w:t xml:space="preserve">B.1 </w:t>
        </w:r>
        <w:r>
          <w:rPr>
            <w:spacing w:val="2"/>
          </w:rPr>
          <w:t xml:space="preserve"> </w:t>
        </w:r>
        <w:r>
          <w:t>基</w:t>
        </w:r>
        <w:r>
          <w:rPr>
            <w:spacing w:val="-3"/>
          </w:rPr>
          <w:t>础</w:t>
        </w:r>
        <w:r>
          <w:t>数</w:t>
        </w:r>
        <w:r>
          <w:rPr>
            <w:spacing w:val="-3"/>
          </w:rPr>
          <w:t>据</w:t>
        </w:r>
        <w:r>
          <w:t>示例</w:t>
          <w:tab/>
          <w:t>7</w:t>
        </w:r>
      </w:hyperlink>
    </w:p>
    <w:p>
      <w:pPr>
        <w:pStyle w:val="BodyText"/>
        <w:tabs>
          <w:tab w:val="left" w:leader="dot" w:pos="9561"/>
        </w:tabs>
        <w:spacing w:before="31"/>
        <w:ind w:left="630"/>
      </w:pPr>
      <w:hyperlink w:anchor="_bookmark27" w:history="1">
        <w:r>
          <w:t xml:space="preserve">B.2 </w:t>
        </w:r>
        <w:r>
          <w:rPr>
            <w:spacing w:val="2"/>
          </w:rPr>
          <w:t xml:space="preserve"> </w:t>
        </w:r>
        <w:r>
          <w:t>控</w:t>
        </w:r>
        <w:r>
          <w:rPr>
            <w:spacing w:val="-3"/>
          </w:rPr>
          <w:t>制</w:t>
        </w:r>
        <w:r>
          <w:t>数</w:t>
        </w:r>
        <w:r>
          <w:rPr>
            <w:spacing w:val="-3"/>
          </w:rPr>
          <w:t>据</w:t>
        </w:r>
        <w:r>
          <w:t>示例</w:t>
          <w:tab/>
          <w:t>7</w:t>
        </w:r>
      </w:hyperlink>
    </w:p>
    <w:p>
      <w:pPr>
        <w:pStyle w:val="BodyText"/>
        <w:tabs>
          <w:tab w:val="left" w:leader="dot" w:pos="9561"/>
        </w:tabs>
        <w:spacing w:before="31"/>
        <w:ind w:left="630"/>
      </w:pPr>
      <w:hyperlink w:anchor="_bookmark28" w:history="1">
        <w:r>
          <w:t xml:space="preserve">B.3 </w:t>
        </w:r>
        <w:r>
          <w:rPr>
            <w:spacing w:val="2"/>
          </w:rPr>
          <w:t xml:space="preserve"> </w:t>
        </w:r>
        <w:r>
          <w:t>运</w:t>
        </w:r>
        <w:r>
          <w:rPr>
            <w:spacing w:val="-3"/>
          </w:rPr>
          <w:t>行</w:t>
        </w:r>
        <w:r>
          <w:t>数</w:t>
        </w:r>
        <w:r>
          <w:rPr>
            <w:spacing w:val="-3"/>
          </w:rPr>
          <w:t>据</w:t>
        </w:r>
        <w:r>
          <w:t>示例</w:t>
          <w:tab/>
          <w:t>9</w:t>
        </w:r>
      </w:hyperlink>
    </w:p>
    <w:p>
      <w:pPr>
        <w:pStyle w:val="BodyText"/>
        <w:tabs>
          <w:tab w:val="left" w:leader="dot" w:pos="9456"/>
        </w:tabs>
        <w:spacing w:before="31"/>
        <w:ind w:left="630"/>
      </w:pPr>
      <w:hyperlink w:anchor="_bookmark29" w:history="1">
        <w:r>
          <w:t xml:space="preserve">B.4 </w:t>
        </w:r>
        <w:r>
          <w:rPr>
            <w:spacing w:val="2"/>
          </w:rPr>
          <w:t xml:space="preserve"> </w:t>
        </w:r>
        <w:r>
          <w:t>运</w:t>
        </w:r>
        <w:r>
          <w:rPr>
            <w:spacing w:val="-3"/>
          </w:rPr>
          <w:t>维</w:t>
        </w:r>
        <w:r>
          <w:t>数</w:t>
        </w:r>
        <w:r>
          <w:rPr>
            <w:spacing w:val="-3"/>
          </w:rPr>
          <w:t>据</w:t>
        </w:r>
        <w:r>
          <w:t>示例</w:t>
          <w:tab/>
          <w:t>15</w:t>
        </w:r>
      </w:hyperlink>
    </w:p>
    <w:p>
      <w:pPr>
        <w:pStyle w:val="BodyText"/>
        <w:tabs>
          <w:tab w:val="left" w:leader="dot" w:pos="9456"/>
        </w:tabs>
        <w:spacing w:before="31"/>
        <w:ind w:left="630"/>
      </w:pPr>
      <w:hyperlink w:anchor="_bookmark30" w:history="1">
        <w:r>
          <w:t xml:space="preserve">B.5 </w:t>
        </w:r>
        <w:r>
          <w:rPr>
            <w:spacing w:val="2"/>
          </w:rPr>
          <w:t xml:space="preserve"> </w:t>
        </w:r>
        <w:r>
          <w:t>数</w:t>
        </w:r>
        <w:r>
          <w:rPr>
            <w:spacing w:val="-3"/>
          </w:rPr>
          <w:t>据</w:t>
        </w:r>
        <w:r>
          <w:t>接</w:t>
        </w:r>
        <w:r>
          <w:rPr>
            <w:spacing w:val="-3"/>
          </w:rPr>
          <w:t>口</w:t>
        </w:r>
        <w:r>
          <w:t>示例</w:t>
          <w:tab/>
          <w:t>16</w:t>
        </w:r>
      </w:hyperlink>
    </w:p>
    <w:p>
      <w:pPr>
        <w:spacing w:after="0"/>
        <w:sectPr>
          <w:headerReference w:type="even" r:id="rId5"/>
          <w:headerReference w:type="default" r:id="rId6"/>
          <w:footerReference w:type="even" r:id="rId7"/>
          <w:footerReference w:type="default" r:id="rId8"/>
          <w:pgSz w:w="11910" w:h="16840"/>
          <w:pgMar w:top="1640" w:right="720" w:bottom="1340" w:left="1000" w:header="1448" w:footer="1141"/>
          <w:pgNumType w:start="4"/>
          <w:cols w:space="708"/>
        </w:sectPr>
      </w:pPr>
    </w:p>
    <w:p>
      <w:pPr>
        <w:pStyle w:val="BodyText"/>
        <w:rPr>
          <w:sz w:val="20"/>
        </w:rPr>
      </w:pPr>
    </w:p>
    <w:p>
      <w:pPr>
        <w:pStyle w:val="BodyText"/>
        <w:rPr>
          <w:sz w:val="20"/>
        </w:rPr>
      </w:pPr>
    </w:p>
    <w:p>
      <w:pPr>
        <w:pStyle w:val="BodyText"/>
        <w:spacing w:before="7"/>
        <w:rPr>
          <w:sz w:val="18"/>
        </w:rPr>
      </w:pPr>
    </w:p>
    <w:p>
      <w:pPr>
        <w:pStyle w:val="Heading1"/>
        <w:tabs>
          <w:tab w:val="left" w:pos="960"/>
        </w:tabs>
        <w:spacing w:before="55"/>
        <w:ind w:right="141"/>
      </w:pPr>
      <w:bookmarkStart w:id="0" w:name="_bookmark0"/>
      <w:bookmarkEnd w:id="0"/>
      <w:r>
        <w:t>前</w:t>
        <w:tab/>
        <w:t>言</w:t>
      </w:r>
    </w:p>
    <w:p>
      <w:pPr>
        <w:pStyle w:val="BodyText"/>
        <w:spacing w:before="10"/>
        <w:rPr>
          <w:rFonts w:ascii="黑体"/>
          <w:sz w:val="46"/>
        </w:rPr>
      </w:pPr>
    </w:p>
    <w:p>
      <w:pPr>
        <w:pStyle w:val="BodyText"/>
        <w:spacing w:line="278" w:lineRule="auto"/>
        <w:ind w:left="132" w:right="692" w:firstLine="420"/>
      </w:pPr>
      <w:r>
        <w:t xml:space="preserve">本文件按照GB/T 1.1—2020《标准化工作导则 第1部分：标准化文件的结构和起草规则》的规定起草。 </w:t>
      </w:r>
    </w:p>
    <w:p>
      <w:pPr>
        <w:pStyle w:val="BodyText"/>
        <w:spacing w:line="278" w:lineRule="auto"/>
        <w:ind w:left="553" w:right="1750"/>
      </w:pPr>
      <w:r>
        <w:rPr>
          <w:spacing w:val="-3"/>
        </w:rPr>
        <w:t>请注意本文件的某些内容可能涉及专利。本文件的发布机构不承担识别专利的责任。本文件由广西壮族自治区交通运输厅提出并宣贯。</w:t>
      </w:r>
      <w:r>
        <w:t xml:space="preserve"> </w:t>
      </w:r>
    </w:p>
    <w:p>
      <w:pPr>
        <w:pStyle w:val="BodyText"/>
        <w:spacing w:line="269" w:lineRule="exact"/>
        <w:ind w:left="553"/>
      </w:pPr>
      <w:r>
        <w:t xml:space="preserve">本文件由广西交通运输标准化技术委员会归口。 </w:t>
      </w:r>
    </w:p>
    <w:p>
      <w:pPr>
        <w:pStyle w:val="BodyText"/>
        <w:spacing w:before="43" w:line="278" w:lineRule="auto"/>
        <w:ind w:left="132" w:right="692" w:firstLine="420"/>
      </w:pPr>
      <w:r>
        <w:rPr>
          <w:spacing w:val="-10"/>
        </w:rPr>
        <w:t>本文件起草单位：广西西江开发投资集团有限公司、广西北部湾国际港务集团有限公司、广西西江</w:t>
      </w:r>
      <w:r>
        <w:rPr>
          <w:spacing w:val="-5"/>
        </w:rPr>
        <w:t xml:space="preserve">集团红花二线船闸有限公司、华设设计集团股份有限公司、北京机械工业自动化研究所有限公司。 </w:t>
      </w:r>
    </w:p>
    <w:p>
      <w:pPr>
        <w:pStyle w:val="BodyText"/>
        <w:spacing w:line="278" w:lineRule="auto"/>
        <w:ind w:left="132" w:right="692" w:firstLine="420"/>
        <w:jc w:val="both"/>
      </w:pPr>
      <w:r>
        <w:rPr>
          <w:spacing w:val="-12"/>
        </w:rPr>
        <w:t>本文件主要起草人：林宁、梁鸿、李敏、郭亚中、陈家辉、原国智、肖威、刘俊江、禤德钊、杨卓</w:t>
      </w:r>
      <w:r>
        <w:rPr>
          <w:spacing w:val="-10"/>
        </w:rPr>
        <w:t>平、张鹏、吴鸾锋、沈旭鸿、胡怀玉、陈稚娟、杨涛、黄有榆、肖湘婷、冀温源、宾进宽、莫金明、许</w:t>
      </w:r>
      <w:r>
        <w:t xml:space="preserve">志磊。 </w:t>
      </w:r>
    </w:p>
    <w:p>
      <w:pPr>
        <w:pStyle w:val="BodyText"/>
        <w:spacing w:line="269" w:lineRule="exact"/>
        <w:ind w:left="553"/>
      </w:pPr>
      <w:r>
        <w:rPr>
          <w:w w:val="100"/>
        </w:rPr>
        <w:t xml:space="preserve"> </w:t>
      </w:r>
    </w:p>
    <w:p>
      <w:pPr>
        <w:spacing w:after="0" w:line="269" w:lineRule="exact"/>
        <w:sectPr>
          <w:headerReference w:type="even" r:id="rId9"/>
          <w:headerReference w:type="default" r:id="rId10"/>
          <w:footerReference w:type="even" r:id="rId11"/>
          <w:footerReference w:type="default" r:id="rId12"/>
          <w:pgSz w:w="11910" w:h="16840"/>
          <w:pgMar w:top="1640" w:right="720" w:bottom="1340" w:left="1000" w:header="1448" w:footer="1141"/>
          <w:pgNumType w:start="5"/>
          <w:cols w:space="708"/>
        </w:sectPr>
      </w:pPr>
    </w:p>
    <w:p>
      <w:pPr>
        <w:pStyle w:val="BodyText"/>
        <w:rPr>
          <w:sz w:val="20"/>
        </w:rPr>
      </w:pPr>
    </w:p>
    <w:p>
      <w:pPr>
        <w:pStyle w:val="BodyText"/>
        <w:spacing w:before="2"/>
        <w:rPr>
          <w:sz w:val="24"/>
        </w:rPr>
      </w:pPr>
    </w:p>
    <w:p>
      <w:pPr>
        <w:pStyle w:val="Heading1"/>
        <w:ind w:left="3"/>
      </w:pPr>
      <w:r>
        <w:t>船闸集中控制系统数据结构设计规范</w:t>
      </w:r>
    </w:p>
    <w:p>
      <w:pPr>
        <w:pStyle w:val="BodyText"/>
        <w:rPr>
          <w:rFonts w:ascii="黑体"/>
          <w:sz w:val="20"/>
        </w:rPr>
      </w:pPr>
    </w:p>
    <w:p>
      <w:pPr>
        <w:pStyle w:val="BodyText"/>
        <w:spacing w:before="2"/>
        <w:rPr>
          <w:rFonts w:ascii="黑体"/>
          <w:sz w:val="29"/>
        </w:rPr>
      </w:pPr>
    </w:p>
    <w:p>
      <w:pPr>
        <w:pStyle w:val="ListParagraph"/>
        <w:numPr>
          <w:ilvl w:val="0"/>
          <w:numId w:val="4"/>
        </w:numPr>
        <w:tabs>
          <w:tab w:val="left" w:pos="733"/>
          <w:tab w:val="left" w:pos="734"/>
        </w:tabs>
        <w:spacing w:before="71" w:after="0" w:line="240" w:lineRule="auto"/>
        <w:ind w:left="733" w:right="0" w:hanging="316"/>
        <w:jc w:val="left"/>
        <w:rPr>
          <w:rFonts w:ascii="黑体" w:eastAsia="黑体" w:hint="eastAsia"/>
          <w:sz w:val="21"/>
        </w:rPr>
      </w:pPr>
      <w:bookmarkStart w:id="1" w:name="_bookmark1"/>
      <w:bookmarkEnd w:id="1"/>
      <w:r>
        <w:rPr>
          <w:rFonts w:ascii="黑体" w:eastAsia="黑体" w:hint="eastAsia"/>
          <w:sz w:val="21"/>
        </w:rPr>
        <w:t>范围</w:t>
      </w:r>
    </w:p>
    <w:p>
      <w:pPr>
        <w:pStyle w:val="BodyText"/>
        <w:spacing w:before="9"/>
        <w:rPr>
          <w:rFonts w:ascii="黑体"/>
          <w:sz w:val="27"/>
        </w:rPr>
      </w:pPr>
    </w:p>
    <w:p>
      <w:pPr>
        <w:pStyle w:val="BodyText"/>
        <w:spacing w:line="276" w:lineRule="auto"/>
        <w:ind w:left="418" w:right="406" w:firstLine="420"/>
      </w:pPr>
      <w:r>
        <w:rPr>
          <w:spacing w:val="-7"/>
        </w:rPr>
        <w:t>本文件界定了船闸集中控制系统数据结构设计的相关术语和定义，规定了船闸集中控制系统数据结</w:t>
      </w:r>
      <w:r>
        <w:rPr>
          <w:spacing w:val="-5"/>
        </w:rPr>
        <w:t>构设计的数据组成、数据格式、数据存储、数据交换、数据安全等要求。</w:t>
      </w:r>
      <w:r>
        <w:t xml:space="preserve"> </w:t>
      </w:r>
    </w:p>
    <w:p>
      <w:pPr>
        <w:pStyle w:val="BodyText"/>
        <w:spacing w:before="3" w:line="278" w:lineRule="auto"/>
        <w:ind w:left="418" w:right="418" w:firstLine="420"/>
      </w:pPr>
      <w:r>
        <w:t xml:space="preserve">本文件适用于广西壮族自治区行政区域内船闸集中控制中心和采用集中控制方式船闸系统的数据结构设计。 </w:t>
      </w:r>
    </w:p>
    <w:p>
      <w:pPr>
        <w:pStyle w:val="BodyText"/>
        <w:spacing w:before="7"/>
        <w:rPr>
          <w:sz w:val="24"/>
        </w:rPr>
      </w:pPr>
    </w:p>
    <w:p>
      <w:pPr>
        <w:pStyle w:val="ListParagraph"/>
        <w:numPr>
          <w:ilvl w:val="0"/>
          <w:numId w:val="4"/>
        </w:numPr>
        <w:tabs>
          <w:tab w:val="left" w:pos="733"/>
          <w:tab w:val="left" w:pos="734"/>
        </w:tabs>
        <w:spacing w:before="0" w:after="0" w:line="240" w:lineRule="auto"/>
        <w:ind w:left="733" w:right="0" w:hanging="316"/>
        <w:jc w:val="left"/>
        <w:rPr>
          <w:rFonts w:ascii="黑体" w:eastAsia="黑体" w:hint="eastAsia"/>
          <w:sz w:val="21"/>
        </w:rPr>
      </w:pPr>
      <w:bookmarkStart w:id="2" w:name="_bookmark2"/>
      <w:bookmarkEnd w:id="2"/>
      <w:r>
        <w:rPr>
          <w:rFonts w:ascii="黑体" w:eastAsia="黑体" w:hint="eastAsia"/>
          <w:spacing w:val="-2"/>
          <w:sz w:val="21"/>
        </w:rPr>
        <w:t>规范性引用文件</w:t>
      </w:r>
    </w:p>
    <w:p>
      <w:pPr>
        <w:pStyle w:val="BodyText"/>
        <w:spacing w:before="7"/>
        <w:rPr>
          <w:rFonts w:ascii="黑体"/>
          <w:sz w:val="27"/>
        </w:rPr>
      </w:pPr>
    </w:p>
    <w:p>
      <w:pPr>
        <w:pStyle w:val="BodyText"/>
        <w:spacing w:line="278" w:lineRule="auto"/>
        <w:ind w:left="418" w:right="300" w:firstLine="420"/>
      </w:pPr>
      <w:r>
        <w:rPr>
          <w:spacing w:val="-10"/>
        </w:rPr>
        <w:t xml:space="preserve">下列文件中的内容通过文中的规范性引用而构成本文件必不可少的条款。其中，注日期的引用文件， </w:t>
      </w:r>
      <w:r>
        <w:rPr>
          <w:spacing w:val="-9"/>
        </w:rPr>
        <w:t>仅该日期对应的版本适用于本文件；不注日期的引用文件，其最新版本</w:t>
      </w:r>
      <w:r>
        <w:t>（</w:t>
      </w:r>
      <w:r>
        <w:rPr>
          <w:spacing w:val="-3"/>
        </w:rPr>
        <w:t>包括所有的修改单</w:t>
      </w:r>
      <w:r>
        <w:rPr>
          <w:spacing w:val="-27"/>
        </w:rPr>
        <w:t>）</w:t>
      </w:r>
      <w:r>
        <w:rPr>
          <w:spacing w:val="-3"/>
        </w:rPr>
        <w:t>适用于本文件。</w:t>
      </w:r>
      <w:r>
        <w:t xml:space="preserve"> </w:t>
      </w:r>
    </w:p>
    <w:p>
      <w:pPr>
        <w:pStyle w:val="BodyText"/>
        <w:spacing w:line="278" w:lineRule="auto"/>
        <w:ind w:left="838" w:right="3253"/>
      </w:pPr>
      <w:r>
        <w:t xml:space="preserve">GB/T 21062.4 政务信息资源交换体系 第4部分：技术管理要求GB/T 22239 信息安全技术 网络安全等级保护基本要求 </w:t>
      </w:r>
    </w:p>
    <w:p>
      <w:pPr>
        <w:pStyle w:val="BodyText"/>
        <w:spacing w:line="278" w:lineRule="auto"/>
        <w:ind w:left="838" w:right="4302"/>
      </w:pPr>
      <w:r>
        <w:t xml:space="preserve">GM/T 0032 基于角色的授权管理与访问控制技术规范GM/Y 5001 密码标准应用指南 </w:t>
      </w:r>
    </w:p>
    <w:p>
      <w:pPr>
        <w:pStyle w:val="BodyText"/>
        <w:spacing w:line="269" w:lineRule="exact"/>
        <w:ind w:left="838"/>
      </w:pPr>
      <w:r>
        <w:t xml:space="preserve">JTS/T 184 内河航道信息交换标准 </w:t>
      </w:r>
    </w:p>
    <w:p>
      <w:pPr>
        <w:pStyle w:val="BodyText"/>
        <w:spacing w:before="42"/>
        <w:ind w:left="838"/>
      </w:pPr>
      <w:r>
        <w:t xml:space="preserve">JT/T 697.4 交通信息基础数据元 第4部分：航道信息基础数据元 </w:t>
      </w:r>
    </w:p>
    <w:p>
      <w:pPr>
        <w:pStyle w:val="BodyText"/>
        <w:spacing w:before="12"/>
        <w:rPr>
          <w:sz w:val="27"/>
        </w:rPr>
      </w:pPr>
    </w:p>
    <w:p>
      <w:pPr>
        <w:pStyle w:val="ListParagraph"/>
        <w:numPr>
          <w:ilvl w:val="0"/>
          <w:numId w:val="4"/>
        </w:numPr>
        <w:tabs>
          <w:tab w:val="left" w:pos="733"/>
          <w:tab w:val="left" w:pos="734"/>
        </w:tabs>
        <w:spacing w:before="0" w:after="0" w:line="240" w:lineRule="auto"/>
        <w:ind w:left="733" w:right="0" w:hanging="316"/>
        <w:jc w:val="left"/>
        <w:rPr>
          <w:rFonts w:ascii="黑体" w:eastAsia="黑体" w:hint="eastAsia"/>
          <w:sz w:val="21"/>
        </w:rPr>
      </w:pPr>
      <w:bookmarkStart w:id="3" w:name="_bookmark3"/>
      <w:bookmarkEnd w:id="3"/>
      <w:r>
        <w:rPr>
          <w:rFonts w:ascii="黑体" w:eastAsia="黑体" w:hint="eastAsia"/>
          <w:spacing w:val="-1"/>
          <w:sz w:val="21"/>
        </w:rPr>
        <w:t>术语和定义</w:t>
      </w:r>
    </w:p>
    <w:p>
      <w:pPr>
        <w:pStyle w:val="BodyText"/>
        <w:spacing w:before="12"/>
        <w:rPr>
          <w:rFonts w:ascii="黑体"/>
        </w:rPr>
      </w:pPr>
    </w:p>
    <w:p>
      <w:pPr>
        <w:pStyle w:val="BodyText"/>
        <w:spacing w:before="72"/>
        <w:ind w:left="838"/>
      </w:pPr>
      <w:r>
        <w:t xml:space="preserve">下列术语和定义适用于本文件。 </w:t>
      </w:r>
    </w:p>
    <w:p>
      <w:pPr>
        <w:pStyle w:val="ListParagraph"/>
        <w:numPr>
          <w:ilvl w:val="1"/>
          <w:numId w:val="4"/>
        </w:numPr>
        <w:tabs>
          <w:tab w:val="left" w:pos="737"/>
        </w:tabs>
        <w:spacing w:before="42" w:after="0" w:line="240" w:lineRule="auto"/>
        <w:ind w:left="736" w:right="0" w:hanging="319"/>
        <w:jc w:val="left"/>
        <w:rPr>
          <w:rFonts w:ascii="黑体"/>
          <w:sz w:val="21"/>
        </w:rPr>
      </w:pPr>
      <w:r>
        <w:rPr>
          <w:rFonts w:ascii="黑体"/>
          <w:sz w:val="21"/>
        </w:rPr>
        <w:t>3.1</w:t>
      </w:r>
    </w:p>
    <w:p>
      <w:pPr>
        <w:pStyle w:val="BodyText"/>
        <w:tabs>
          <w:tab w:val="left" w:pos="1889"/>
        </w:tabs>
        <w:spacing w:before="43"/>
        <w:ind w:left="838"/>
        <w:rPr>
          <w:rFonts w:ascii="黑体" w:eastAsia="黑体" w:hint="eastAsia"/>
        </w:rPr>
      </w:pPr>
      <w:r>
        <w:rPr>
          <w:rFonts w:ascii="黑体" w:eastAsia="黑体" w:hint="eastAsia"/>
        </w:rPr>
        <w:t>现地</w:t>
      </w:r>
      <w:r>
        <w:rPr>
          <w:rFonts w:ascii="黑体" w:eastAsia="黑体" w:hint="eastAsia"/>
          <w:spacing w:val="-3"/>
        </w:rPr>
        <w:t>控</w:t>
      </w:r>
      <w:r>
        <w:rPr>
          <w:rFonts w:ascii="黑体" w:eastAsia="黑体" w:hint="eastAsia"/>
        </w:rPr>
        <w:t>制</w:t>
        <w:tab/>
        <w:t>local</w:t>
      </w:r>
      <w:r>
        <w:rPr>
          <w:rFonts w:ascii="黑体" w:eastAsia="黑体" w:hint="eastAsia"/>
          <w:spacing w:val="-1"/>
        </w:rPr>
        <w:t xml:space="preserve"> </w:t>
      </w:r>
      <w:r>
        <w:rPr>
          <w:rFonts w:ascii="黑体" w:eastAsia="黑体" w:hint="eastAsia"/>
        </w:rPr>
        <w:t>control</w:t>
      </w:r>
    </w:p>
    <w:p>
      <w:pPr>
        <w:pStyle w:val="BodyText"/>
        <w:spacing w:before="43"/>
        <w:ind w:left="838"/>
      </w:pPr>
      <w:r>
        <w:t>通过船闸现场或附近的控制单元或模块，实现闸门和阀门及其启闭机、辅机、泵站(含电机、电磁</w:t>
      </w:r>
    </w:p>
    <w:p>
      <w:pPr>
        <w:pStyle w:val="BodyText"/>
        <w:spacing w:before="43"/>
        <w:ind w:left="418"/>
      </w:pPr>
      <w:r>
        <w:t xml:space="preserve">阀等)、交通信号灯、广播设备以及室外照明灯等设备的操作控制。 </w:t>
      </w:r>
    </w:p>
    <w:p>
      <w:pPr>
        <w:pStyle w:val="ListParagraph"/>
        <w:numPr>
          <w:ilvl w:val="1"/>
          <w:numId w:val="4"/>
        </w:numPr>
        <w:tabs>
          <w:tab w:val="left" w:pos="737"/>
        </w:tabs>
        <w:spacing w:before="43" w:after="0" w:line="240" w:lineRule="auto"/>
        <w:ind w:left="736" w:right="0" w:hanging="319"/>
        <w:jc w:val="left"/>
        <w:rPr>
          <w:rFonts w:ascii="黑体"/>
          <w:sz w:val="21"/>
        </w:rPr>
      </w:pPr>
      <w:r>
        <w:rPr>
          <w:rFonts w:ascii="黑体"/>
          <w:sz w:val="21"/>
        </w:rPr>
        <w:t>3.2</w:t>
      </w:r>
    </w:p>
    <w:p>
      <w:pPr>
        <w:pStyle w:val="BodyText"/>
        <w:tabs>
          <w:tab w:val="left" w:pos="1889"/>
        </w:tabs>
        <w:spacing w:before="43"/>
        <w:ind w:left="838"/>
        <w:rPr>
          <w:rFonts w:ascii="黑体" w:eastAsia="黑体" w:hint="eastAsia"/>
        </w:rPr>
      </w:pPr>
      <w:r>
        <w:rPr>
          <w:rFonts w:ascii="黑体" w:eastAsia="黑体" w:hint="eastAsia"/>
        </w:rPr>
        <w:t>集中</w:t>
      </w:r>
      <w:r>
        <w:rPr>
          <w:rFonts w:ascii="黑体" w:eastAsia="黑体" w:hint="eastAsia"/>
          <w:spacing w:val="-3"/>
        </w:rPr>
        <w:t>控</w:t>
      </w:r>
      <w:r>
        <w:rPr>
          <w:rFonts w:ascii="黑体" w:eastAsia="黑体" w:hint="eastAsia"/>
        </w:rPr>
        <w:t>制</w:t>
        <w:tab/>
        <w:t>centralized</w:t>
      </w:r>
      <w:r>
        <w:rPr>
          <w:rFonts w:ascii="黑体" w:eastAsia="黑体" w:hint="eastAsia"/>
          <w:spacing w:val="-2"/>
        </w:rPr>
        <w:t xml:space="preserve"> </w:t>
      </w:r>
      <w:r>
        <w:rPr>
          <w:rFonts w:ascii="黑体" w:eastAsia="黑体" w:hint="eastAsia"/>
        </w:rPr>
        <w:t>control</w:t>
      </w:r>
    </w:p>
    <w:p>
      <w:pPr>
        <w:pStyle w:val="BodyText"/>
        <w:spacing w:before="43" w:line="278" w:lineRule="auto"/>
        <w:ind w:left="418" w:right="406" w:firstLine="420"/>
      </w:pPr>
      <w:r>
        <w:rPr>
          <w:spacing w:val="-10"/>
        </w:rPr>
        <w:t>在同一地点，通过信息系统实现，实现集中控制权限范围内的单个单级船闸、多个单级船闸、单个</w:t>
      </w:r>
      <w:r>
        <w:rPr>
          <w:spacing w:val="-5"/>
        </w:rPr>
        <w:t>单线船闸、多个单线船闸、多级船闸、多线船闸等的远程统一操作控制。</w:t>
      </w:r>
      <w:r>
        <w:t xml:space="preserve"> </w:t>
      </w:r>
    </w:p>
    <w:p>
      <w:pPr>
        <w:pStyle w:val="ListParagraph"/>
        <w:numPr>
          <w:ilvl w:val="1"/>
          <w:numId w:val="4"/>
        </w:numPr>
        <w:tabs>
          <w:tab w:val="left" w:pos="737"/>
        </w:tabs>
        <w:spacing w:before="0" w:after="0" w:line="240" w:lineRule="auto"/>
        <w:ind w:left="736" w:right="0" w:hanging="319"/>
        <w:jc w:val="left"/>
        <w:rPr>
          <w:rFonts w:ascii="黑体"/>
          <w:sz w:val="21"/>
        </w:rPr>
      </w:pPr>
      <w:r>
        <w:rPr>
          <w:rFonts w:ascii="黑体"/>
          <w:sz w:val="21"/>
        </w:rPr>
        <w:t>3.3</w:t>
      </w:r>
    </w:p>
    <w:p>
      <w:pPr>
        <w:pStyle w:val="BodyText"/>
        <w:tabs>
          <w:tab w:val="left" w:pos="2309"/>
        </w:tabs>
        <w:spacing w:before="43"/>
        <w:ind w:left="838"/>
        <w:rPr>
          <w:rFonts w:ascii="黑体" w:eastAsia="黑体" w:hint="eastAsia"/>
        </w:rPr>
      </w:pPr>
      <w:r>
        <w:rPr>
          <w:rFonts w:ascii="黑体" w:eastAsia="黑体" w:hint="eastAsia"/>
        </w:rPr>
        <w:t>集中</w:t>
      </w:r>
      <w:r>
        <w:rPr>
          <w:rFonts w:ascii="黑体" w:eastAsia="黑体" w:hint="eastAsia"/>
          <w:spacing w:val="-3"/>
        </w:rPr>
        <w:t>控</w:t>
      </w:r>
      <w:r>
        <w:rPr>
          <w:rFonts w:ascii="黑体" w:eastAsia="黑体" w:hint="eastAsia"/>
        </w:rPr>
        <w:t>制</w:t>
      </w:r>
      <w:r>
        <w:rPr>
          <w:rFonts w:ascii="黑体" w:eastAsia="黑体" w:hint="eastAsia"/>
          <w:spacing w:val="-3"/>
        </w:rPr>
        <w:t>中</w:t>
      </w:r>
      <w:r>
        <w:rPr>
          <w:rFonts w:ascii="黑体" w:eastAsia="黑体" w:hint="eastAsia"/>
        </w:rPr>
        <w:t>心</w:t>
        <w:tab/>
        <w:t>centralized control</w:t>
      </w:r>
      <w:r>
        <w:rPr>
          <w:rFonts w:ascii="黑体" w:eastAsia="黑体" w:hint="eastAsia"/>
          <w:spacing w:val="-3"/>
        </w:rPr>
        <w:t xml:space="preserve"> </w:t>
      </w:r>
      <w:r>
        <w:rPr>
          <w:rFonts w:ascii="黑体" w:eastAsia="黑体" w:hint="eastAsia"/>
        </w:rPr>
        <w:t>center</w:t>
      </w:r>
    </w:p>
    <w:p>
      <w:pPr>
        <w:pStyle w:val="BodyText"/>
        <w:spacing w:before="43"/>
        <w:ind w:left="838"/>
      </w:pPr>
      <w:r>
        <w:t xml:space="preserve">实现多梯级船闸集中控制功能，由中心控制室及配套设施和系统等组成的运行管理单位。 </w:t>
      </w:r>
    </w:p>
    <w:p>
      <w:pPr>
        <w:pStyle w:val="ListParagraph"/>
        <w:numPr>
          <w:ilvl w:val="1"/>
          <w:numId w:val="4"/>
        </w:numPr>
        <w:tabs>
          <w:tab w:val="left" w:pos="737"/>
        </w:tabs>
        <w:spacing w:before="43" w:after="0" w:line="240" w:lineRule="auto"/>
        <w:ind w:left="736" w:right="0" w:hanging="319"/>
        <w:jc w:val="left"/>
        <w:rPr>
          <w:rFonts w:ascii="黑体"/>
          <w:sz w:val="21"/>
        </w:rPr>
      </w:pPr>
      <w:r>
        <w:rPr>
          <w:rFonts w:ascii="黑体"/>
          <w:sz w:val="21"/>
        </w:rPr>
        <w:t>3.4</w:t>
      </w:r>
    </w:p>
    <w:p>
      <w:pPr>
        <w:pStyle w:val="BodyText"/>
        <w:tabs>
          <w:tab w:val="left" w:pos="2309"/>
        </w:tabs>
        <w:spacing w:before="43"/>
        <w:ind w:left="838"/>
        <w:rPr>
          <w:rFonts w:ascii="黑体" w:eastAsia="黑体" w:hint="eastAsia"/>
        </w:rPr>
      </w:pPr>
      <w:r>
        <w:rPr>
          <w:rFonts w:ascii="黑体" w:eastAsia="黑体" w:hint="eastAsia"/>
        </w:rPr>
        <w:t>集中</w:t>
      </w:r>
      <w:r>
        <w:rPr>
          <w:rFonts w:ascii="黑体" w:eastAsia="黑体" w:hint="eastAsia"/>
          <w:spacing w:val="-3"/>
        </w:rPr>
        <w:t>控</w:t>
      </w:r>
      <w:r>
        <w:rPr>
          <w:rFonts w:ascii="黑体" w:eastAsia="黑体" w:hint="eastAsia"/>
        </w:rPr>
        <w:t>制</w:t>
      </w:r>
      <w:r>
        <w:rPr>
          <w:rFonts w:ascii="黑体" w:eastAsia="黑体" w:hint="eastAsia"/>
          <w:spacing w:val="-3"/>
        </w:rPr>
        <w:t>系</w:t>
      </w:r>
      <w:r>
        <w:rPr>
          <w:rFonts w:ascii="黑体" w:eastAsia="黑体" w:hint="eastAsia"/>
        </w:rPr>
        <w:t>统</w:t>
        <w:tab/>
        <w:t>centralized control</w:t>
      </w:r>
      <w:r>
        <w:rPr>
          <w:rFonts w:ascii="黑体" w:eastAsia="黑体" w:hint="eastAsia"/>
          <w:spacing w:val="-3"/>
        </w:rPr>
        <w:t xml:space="preserve"> </w:t>
      </w:r>
      <w:r>
        <w:rPr>
          <w:rFonts w:ascii="黑体" w:eastAsia="黑体" w:hint="eastAsia"/>
        </w:rPr>
        <w:t>system</w:t>
      </w:r>
    </w:p>
    <w:p>
      <w:pPr>
        <w:pStyle w:val="BodyText"/>
        <w:spacing w:before="43"/>
        <w:ind w:left="838"/>
      </w:pPr>
      <w:r>
        <w:t xml:space="preserve">部署于船闸集中控制中心或现地船闸，实现船闸上、下游闸门、阀门等设备监测与控制的系统。 </w:t>
      </w:r>
    </w:p>
    <w:p>
      <w:pPr>
        <w:pStyle w:val="ListParagraph"/>
        <w:numPr>
          <w:ilvl w:val="1"/>
          <w:numId w:val="4"/>
        </w:numPr>
        <w:tabs>
          <w:tab w:val="left" w:pos="737"/>
        </w:tabs>
        <w:spacing w:before="43" w:after="0" w:line="240" w:lineRule="auto"/>
        <w:ind w:left="736" w:right="0" w:hanging="319"/>
        <w:jc w:val="left"/>
        <w:rPr>
          <w:rFonts w:ascii="黑体"/>
          <w:sz w:val="21"/>
        </w:rPr>
      </w:pPr>
      <w:r>
        <w:rPr>
          <w:rFonts w:ascii="黑体"/>
          <w:sz w:val="21"/>
        </w:rPr>
        <w:t>3.5</w:t>
      </w:r>
    </w:p>
    <w:p>
      <w:pPr>
        <w:pStyle w:val="BodyText"/>
        <w:tabs>
          <w:tab w:val="left" w:pos="1889"/>
        </w:tabs>
        <w:spacing w:before="43"/>
        <w:ind w:left="838"/>
        <w:rPr>
          <w:rFonts w:ascii="黑体" w:eastAsia="黑体" w:hint="eastAsia"/>
        </w:rPr>
      </w:pPr>
      <w:r>
        <w:rPr>
          <w:rFonts w:ascii="黑体" w:eastAsia="黑体" w:hint="eastAsia"/>
        </w:rPr>
        <w:t>数据</w:t>
      </w:r>
      <w:r>
        <w:rPr>
          <w:rFonts w:ascii="黑体" w:eastAsia="黑体" w:hint="eastAsia"/>
          <w:spacing w:val="-3"/>
        </w:rPr>
        <w:t>安</w:t>
      </w:r>
      <w:r>
        <w:rPr>
          <w:rFonts w:ascii="黑体" w:eastAsia="黑体" w:hint="eastAsia"/>
        </w:rPr>
        <w:t>全</w:t>
        <w:tab/>
        <w:t>data</w:t>
      </w:r>
      <w:r>
        <w:rPr>
          <w:rFonts w:ascii="黑体" w:eastAsia="黑体" w:hint="eastAsia"/>
          <w:spacing w:val="-2"/>
        </w:rPr>
        <w:t xml:space="preserve"> </w:t>
      </w:r>
      <w:r>
        <w:rPr>
          <w:rFonts w:ascii="黑体" w:eastAsia="黑体" w:hint="eastAsia"/>
        </w:rPr>
        <w:t>security</w:t>
      </w:r>
    </w:p>
    <w:p>
      <w:pPr>
        <w:spacing w:after="0"/>
        <w:rPr>
          <w:rFonts w:ascii="黑体" w:eastAsia="黑体" w:hint="eastAsia"/>
        </w:rPr>
        <w:sectPr>
          <w:headerReference w:type="even" r:id="rId13"/>
          <w:headerReference w:type="default" r:id="rId14"/>
          <w:footerReference w:type="even" r:id="rId15"/>
          <w:footerReference w:type="default" r:id="rId16"/>
          <w:pgSz w:w="11910" w:h="16840"/>
          <w:pgMar w:top="1640" w:right="720" w:bottom="1340" w:left="1000" w:header="1448" w:footer="1141"/>
          <w:pgNumType w:start="1"/>
          <w:cols w:space="708"/>
        </w:sectPr>
      </w:pPr>
    </w:p>
    <w:p>
      <w:pPr>
        <w:pStyle w:val="BodyText"/>
        <w:spacing w:before="1"/>
        <w:rPr>
          <w:rFonts w:ascii="黑体"/>
          <w:sz w:val="17"/>
        </w:rPr>
      </w:pPr>
    </w:p>
    <w:p>
      <w:pPr>
        <w:pStyle w:val="BodyText"/>
        <w:spacing w:before="72" w:line="278" w:lineRule="auto"/>
        <w:ind w:left="132" w:right="586" w:firstLine="420"/>
      </w:pPr>
      <w:r>
        <w:rPr>
          <w:spacing w:val="-16"/>
        </w:rPr>
        <w:t xml:space="preserve">通过采取必要措施，保护数据处于有效保护和合法利用的状态，以及具备保障持续安全状态的能力， </w:t>
      </w:r>
      <w:r>
        <w:rPr>
          <w:spacing w:val="-7"/>
        </w:rPr>
        <w:t xml:space="preserve">确保数据的机密性、完整性和可用性。 </w:t>
      </w:r>
    </w:p>
    <w:p>
      <w:pPr>
        <w:pStyle w:val="BodyText"/>
        <w:spacing w:before="6"/>
        <w:rPr>
          <w:sz w:val="24"/>
        </w:rPr>
      </w:pPr>
    </w:p>
    <w:p>
      <w:pPr>
        <w:pStyle w:val="ListParagraph"/>
        <w:numPr>
          <w:ilvl w:val="0"/>
          <w:numId w:val="2"/>
        </w:numPr>
        <w:tabs>
          <w:tab w:val="left" w:pos="447"/>
          <w:tab w:val="left" w:pos="448"/>
        </w:tabs>
        <w:spacing w:before="1" w:after="0" w:line="240" w:lineRule="auto"/>
        <w:ind w:left="447" w:right="0" w:hanging="316"/>
        <w:jc w:val="left"/>
        <w:rPr>
          <w:rFonts w:ascii="黑体" w:eastAsia="黑体" w:hint="eastAsia"/>
          <w:sz w:val="21"/>
        </w:rPr>
      </w:pPr>
      <w:bookmarkStart w:id="4" w:name="_bookmark4"/>
      <w:bookmarkEnd w:id="4"/>
      <w:r>
        <w:rPr>
          <w:rFonts w:ascii="黑体" w:eastAsia="黑体" w:hint="eastAsia"/>
          <w:spacing w:val="-1"/>
          <w:sz w:val="21"/>
        </w:rPr>
        <w:t>数据组成</w:t>
      </w:r>
    </w:p>
    <w:p>
      <w:pPr>
        <w:pStyle w:val="BodyText"/>
        <w:spacing w:before="11"/>
        <w:rPr>
          <w:rFonts w:ascii="黑体"/>
        </w:rPr>
      </w:pPr>
    </w:p>
    <w:p>
      <w:pPr>
        <w:pStyle w:val="ListParagraph"/>
        <w:numPr>
          <w:ilvl w:val="1"/>
          <w:numId w:val="2"/>
        </w:numPr>
        <w:tabs>
          <w:tab w:val="left" w:pos="658"/>
          <w:tab w:val="left" w:pos="659"/>
        </w:tabs>
        <w:spacing w:before="72" w:after="0" w:line="240" w:lineRule="auto"/>
        <w:ind w:left="658" w:right="0" w:hanging="527"/>
        <w:jc w:val="left"/>
        <w:rPr>
          <w:rFonts w:ascii="黑体" w:eastAsia="黑体" w:hint="eastAsia"/>
          <w:sz w:val="21"/>
        </w:rPr>
      </w:pPr>
      <w:bookmarkStart w:id="5" w:name="_bookmark5"/>
      <w:bookmarkEnd w:id="5"/>
      <w:r>
        <w:rPr>
          <w:rFonts w:ascii="黑体" w:eastAsia="黑体" w:hint="eastAsia"/>
          <w:spacing w:val="-1"/>
          <w:sz w:val="21"/>
        </w:rPr>
        <w:t>一般要求</w:t>
      </w:r>
    </w:p>
    <w:p>
      <w:pPr>
        <w:pStyle w:val="BodyText"/>
        <w:spacing w:before="12"/>
        <w:rPr>
          <w:rFonts w:ascii="黑体"/>
          <w:sz w:val="9"/>
        </w:rPr>
      </w:pPr>
    </w:p>
    <w:p>
      <w:pPr>
        <w:pStyle w:val="ListParagraph"/>
        <w:numPr>
          <w:ilvl w:val="2"/>
          <w:numId w:val="2"/>
        </w:numPr>
        <w:tabs>
          <w:tab w:val="left" w:pos="867"/>
          <w:tab w:val="left" w:pos="868"/>
        </w:tabs>
        <w:spacing w:before="72" w:after="0" w:line="278" w:lineRule="auto"/>
        <w:ind w:left="132" w:right="692" w:firstLine="0"/>
        <w:jc w:val="left"/>
        <w:rPr>
          <w:sz w:val="21"/>
        </w:rPr>
      </w:pPr>
      <w:r>
        <w:rPr>
          <w:spacing w:val="-3"/>
          <w:sz w:val="21"/>
        </w:rPr>
        <w:t xml:space="preserve">集中控制系统数据包括基础数据、控制数据、运行数据和运维数据，各数据应在逻辑上一致， </w:t>
      </w:r>
      <w:r>
        <w:rPr>
          <w:spacing w:val="-8"/>
          <w:sz w:val="21"/>
        </w:rPr>
        <w:t xml:space="preserve">其逻辑拓扑应符合附录 </w:t>
      </w:r>
      <w:r>
        <w:rPr>
          <w:sz w:val="21"/>
        </w:rPr>
        <w:t>A</w:t>
      </w:r>
      <w:r>
        <w:rPr>
          <w:spacing w:val="-13"/>
          <w:sz w:val="21"/>
        </w:rPr>
        <w:t xml:space="preserve"> 的规定。</w:t>
      </w:r>
      <w:r>
        <w:rPr>
          <w:sz w:val="21"/>
        </w:rPr>
        <w:t xml:space="preserve">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 xml:space="preserve">基础数据应包括船闸、设备、角色权限等静态数据。 </w:t>
      </w:r>
    </w:p>
    <w:p>
      <w:pPr>
        <w:pStyle w:val="ListParagraph"/>
        <w:numPr>
          <w:ilvl w:val="2"/>
          <w:numId w:val="2"/>
        </w:numPr>
        <w:tabs>
          <w:tab w:val="left" w:pos="867"/>
          <w:tab w:val="left" w:pos="868"/>
        </w:tabs>
        <w:spacing w:before="43" w:after="0" w:line="240" w:lineRule="auto"/>
        <w:ind w:left="867" w:right="0" w:hanging="736"/>
        <w:jc w:val="left"/>
        <w:rPr>
          <w:sz w:val="21"/>
        </w:rPr>
      </w:pPr>
      <w:r>
        <w:rPr>
          <w:spacing w:val="-3"/>
          <w:sz w:val="21"/>
        </w:rPr>
        <w:t>控制数据应包括控制指令与动作等动态数据，且与控制的船闸、闸门、阀门编号相一致。</w:t>
      </w:r>
      <w:r>
        <w:rPr>
          <w:sz w:val="21"/>
        </w:rPr>
        <w:t xml:space="preserve"> </w:t>
      </w:r>
    </w:p>
    <w:p>
      <w:pPr>
        <w:pStyle w:val="ListParagraph"/>
        <w:numPr>
          <w:ilvl w:val="2"/>
          <w:numId w:val="2"/>
        </w:numPr>
        <w:tabs>
          <w:tab w:val="left" w:pos="867"/>
          <w:tab w:val="left" w:pos="868"/>
        </w:tabs>
        <w:spacing w:before="43" w:after="0" w:line="240" w:lineRule="auto"/>
        <w:ind w:left="867" w:right="0" w:hanging="736"/>
        <w:jc w:val="left"/>
        <w:rPr>
          <w:sz w:val="21"/>
        </w:rPr>
      </w:pPr>
      <w:r>
        <w:rPr>
          <w:spacing w:val="-3"/>
          <w:sz w:val="21"/>
        </w:rPr>
        <w:t>运行数据应包括：</w:t>
      </w:r>
      <w:r>
        <w:rPr>
          <w:sz w:val="21"/>
        </w:rPr>
        <w:t xml:space="preserve"> </w:t>
      </w:r>
    </w:p>
    <w:p>
      <w:pPr>
        <w:pStyle w:val="BodyText"/>
        <w:spacing w:before="43" w:line="278" w:lineRule="auto"/>
        <w:ind w:left="985" w:right="790" w:hanging="428"/>
      </w:pPr>
      <w:r>
        <w:rPr>
          <w:spacing w:val="-11"/>
        </w:rPr>
        <w:t>—— 设备运行状态数据：闸门、阀门、液压泵站及其回路、供配电等设备运行、报警与特殊情况</w:t>
      </w:r>
      <w:r>
        <w:rPr>
          <w:spacing w:val="-7"/>
        </w:rPr>
        <w:t>的状态数据；</w:t>
      </w:r>
      <w:r>
        <w:t xml:space="preserve"> </w:t>
      </w:r>
    </w:p>
    <w:p>
      <w:pPr>
        <w:pStyle w:val="BodyText"/>
        <w:spacing w:line="278" w:lineRule="auto"/>
        <w:ind w:left="985" w:right="790" w:hanging="428"/>
      </w:pPr>
      <w:r>
        <w:rPr>
          <w:spacing w:val="-11"/>
        </w:rPr>
        <w:t>—— 设备运行状态监测数据：闸门阀门的启闭过程、报警过程、供配电过程监测数据以及广播、</w:t>
      </w:r>
      <w:r>
        <w:rPr>
          <w:spacing w:val="-6"/>
        </w:rPr>
        <w:t>视频等数据，其数据格式应包括简要描述、时间戳等内容。</w:t>
      </w:r>
      <w:r>
        <w:t xml:space="preserve"> </w:t>
      </w:r>
    </w:p>
    <w:p>
      <w:pPr>
        <w:pStyle w:val="ListParagraph"/>
        <w:numPr>
          <w:ilvl w:val="2"/>
          <w:numId w:val="2"/>
        </w:numPr>
        <w:tabs>
          <w:tab w:val="left" w:pos="867"/>
          <w:tab w:val="left" w:pos="868"/>
        </w:tabs>
        <w:spacing w:before="0" w:after="0" w:line="278" w:lineRule="auto"/>
        <w:ind w:left="132" w:right="692" w:firstLine="0"/>
        <w:jc w:val="left"/>
        <w:rPr>
          <w:sz w:val="21"/>
        </w:rPr>
      </w:pPr>
      <w:r>
        <w:rPr>
          <w:spacing w:val="-3"/>
          <w:sz w:val="21"/>
        </w:rPr>
        <w:t>运维数据应包括实现船闸稳定运行的工作交接班、巡检、故障与排除、养护与修理、控制系统维护过程等数据。</w:t>
      </w:r>
      <w:r>
        <w:rPr>
          <w:sz w:val="21"/>
        </w:rPr>
        <w:t xml:space="preserve"> </w:t>
      </w:r>
    </w:p>
    <w:p>
      <w:pPr>
        <w:pStyle w:val="ListParagraph"/>
        <w:numPr>
          <w:ilvl w:val="1"/>
          <w:numId w:val="2"/>
        </w:numPr>
        <w:tabs>
          <w:tab w:val="left" w:pos="658"/>
          <w:tab w:val="left" w:pos="659"/>
        </w:tabs>
        <w:spacing w:before="155" w:after="0" w:line="240" w:lineRule="auto"/>
        <w:ind w:left="658" w:right="0" w:hanging="527"/>
        <w:jc w:val="left"/>
        <w:rPr>
          <w:rFonts w:ascii="黑体" w:eastAsia="黑体" w:hint="eastAsia"/>
          <w:sz w:val="21"/>
        </w:rPr>
      </w:pPr>
      <w:bookmarkStart w:id="6" w:name="_bookmark6"/>
      <w:bookmarkEnd w:id="6"/>
      <w:r>
        <w:rPr>
          <w:rFonts w:ascii="黑体" w:eastAsia="黑体" w:hint="eastAsia"/>
          <w:spacing w:val="-1"/>
          <w:sz w:val="21"/>
        </w:rPr>
        <w:t>基础数据</w:t>
      </w:r>
    </w:p>
    <w:p>
      <w:pPr>
        <w:pStyle w:val="BodyText"/>
        <w:rPr>
          <w:rFonts w:ascii="黑体"/>
          <w:sz w:val="10"/>
        </w:rPr>
      </w:pPr>
    </w:p>
    <w:p>
      <w:pPr>
        <w:pStyle w:val="ListParagraph"/>
        <w:numPr>
          <w:ilvl w:val="2"/>
          <w:numId w:val="2"/>
        </w:numPr>
        <w:tabs>
          <w:tab w:val="left" w:pos="867"/>
          <w:tab w:val="left" w:pos="868"/>
        </w:tabs>
        <w:spacing w:before="71" w:after="0" w:line="278" w:lineRule="auto"/>
        <w:ind w:left="132" w:right="692" w:firstLine="0"/>
        <w:jc w:val="left"/>
        <w:rPr>
          <w:sz w:val="21"/>
        </w:rPr>
      </w:pPr>
      <w:r>
        <w:rPr>
          <w:spacing w:val="-3"/>
          <w:sz w:val="21"/>
        </w:rPr>
        <w:t>船闸数据应包括船闸名称、代码、位置、编号、线数、船闸等级、闸门类型与编号、阀门类型与编号、尺寸、门槛水深、通航水位、通航流量、通航风级、通航限高等数据项。</w:t>
      </w:r>
      <w:r>
        <w:rPr>
          <w:sz w:val="21"/>
        </w:rPr>
        <w:t xml:space="preserve"> </w:t>
      </w:r>
    </w:p>
    <w:p>
      <w:pPr>
        <w:pStyle w:val="ListParagraph"/>
        <w:numPr>
          <w:ilvl w:val="2"/>
          <w:numId w:val="2"/>
        </w:numPr>
        <w:tabs>
          <w:tab w:val="left" w:pos="867"/>
          <w:tab w:val="left" w:pos="868"/>
        </w:tabs>
        <w:spacing w:before="0" w:after="0" w:line="278" w:lineRule="auto"/>
        <w:ind w:left="132" w:right="587" w:firstLine="0"/>
        <w:jc w:val="left"/>
        <w:rPr>
          <w:sz w:val="21"/>
        </w:rPr>
      </w:pPr>
      <w:r>
        <w:rPr>
          <w:spacing w:val="-3"/>
          <w:sz w:val="21"/>
        </w:rPr>
        <w:t>设备应包括闸阀门、启闭机械、电气控制设备和通讯、助导航、运行管理附属设施和船闸机房设备、集中控制中心机房设备等，对应的设备数据应包括启闭机行程、启闭力矩、启闭力等阈值数据、设备台账以及机电设备的品牌、型号等数据项。</w:t>
      </w:r>
      <w:r>
        <w:rPr>
          <w:sz w:val="21"/>
        </w:rPr>
        <w:t xml:space="preserve"> </w:t>
      </w:r>
    </w:p>
    <w:p>
      <w:pPr>
        <w:pStyle w:val="ListParagraph"/>
        <w:numPr>
          <w:ilvl w:val="2"/>
          <w:numId w:val="2"/>
        </w:numPr>
        <w:tabs>
          <w:tab w:val="left" w:pos="867"/>
          <w:tab w:val="left" w:pos="868"/>
        </w:tabs>
        <w:spacing w:before="0" w:after="0" w:line="278" w:lineRule="auto"/>
        <w:ind w:left="132" w:right="691" w:firstLine="0"/>
        <w:jc w:val="left"/>
        <w:rPr>
          <w:sz w:val="21"/>
        </w:rPr>
      </w:pPr>
      <w:r>
        <w:rPr>
          <w:spacing w:val="-13"/>
          <w:sz w:val="21"/>
        </w:rPr>
        <w:t>设备台账数据应包括设备名称、使用数量、生产厂家、规格、出厂日期、启用日期、质保期限、</w:t>
      </w:r>
      <w:r>
        <w:rPr>
          <w:spacing w:val="-6"/>
          <w:sz w:val="21"/>
        </w:rPr>
        <w:t>维护记录、备品备件数量、备件仓库等数据项。</w:t>
      </w:r>
      <w:r>
        <w:rPr>
          <w:sz w:val="21"/>
        </w:rPr>
        <w:t xml:space="preserve">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 xml:space="preserve">角色权限数据应包括角色名称、编号、岗位、所属部门、权限范围等数据项。 </w:t>
      </w:r>
    </w:p>
    <w:p>
      <w:pPr>
        <w:pStyle w:val="BodyText"/>
        <w:spacing w:before="12"/>
        <w:rPr>
          <w:sz w:val="9"/>
        </w:rPr>
      </w:pPr>
    </w:p>
    <w:p>
      <w:pPr>
        <w:pStyle w:val="ListParagraph"/>
        <w:numPr>
          <w:ilvl w:val="1"/>
          <w:numId w:val="2"/>
        </w:numPr>
        <w:tabs>
          <w:tab w:val="left" w:pos="658"/>
          <w:tab w:val="left" w:pos="659"/>
        </w:tabs>
        <w:spacing w:before="72" w:after="0" w:line="240" w:lineRule="auto"/>
        <w:ind w:left="658" w:right="0" w:hanging="527"/>
        <w:jc w:val="left"/>
        <w:rPr>
          <w:rFonts w:ascii="黑体" w:eastAsia="黑体" w:hint="eastAsia"/>
          <w:sz w:val="21"/>
        </w:rPr>
      </w:pPr>
      <w:bookmarkStart w:id="7" w:name="_bookmark7"/>
      <w:bookmarkEnd w:id="7"/>
      <w:r>
        <w:rPr>
          <w:rFonts w:ascii="黑体" w:eastAsia="黑体" w:hint="eastAsia"/>
          <w:spacing w:val="-1"/>
          <w:sz w:val="21"/>
        </w:rPr>
        <w:t>控制数据</w:t>
      </w:r>
    </w:p>
    <w:p>
      <w:pPr>
        <w:pStyle w:val="BodyText"/>
        <w:spacing w:before="12"/>
        <w:rPr>
          <w:rFonts w:ascii="黑体"/>
          <w:sz w:val="9"/>
        </w:rPr>
      </w:pPr>
    </w:p>
    <w:p>
      <w:pPr>
        <w:pStyle w:val="ListParagraph"/>
        <w:numPr>
          <w:ilvl w:val="2"/>
          <w:numId w:val="2"/>
        </w:numPr>
        <w:tabs>
          <w:tab w:val="left" w:pos="867"/>
          <w:tab w:val="left" w:pos="868"/>
        </w:tabs>
        <w:spacing w:before="71" w:after="0" w:line="278" w:lineRule="auto"/>
        <w:ind w:left="132" w:right="692" w:firstLine="0"/>
        <w:jc w:val="left"/>
        <w:rPr>
          <w:sz w:val="21"/>
        </w:rPr>
      </w:pPr>
      <w:r>
        <w:rPr>
          <w:spacing w:val="-3"/>
          <w:sz w:val="21"/>
        </w:rPr>
        <w:t xml:space="preserve">控制的指令、动作等动态数据应与船闸控制操作相一致，控制操作范围应包括电机选择、闸阀门启闭、交通信号灯颜色切换、信息发布与关闭、设备维修状态标记、暂停、急停和强落等。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电机选择指令数据应包括电机序号、电机数量、电机控制模式等数据项。</w:t>
      </w:r>
      <w:r>
        <w:rPr>
          <w:sz w:val="21"/>
        </w:rPr>
        <w:t xml:space="preserve"> </w:t>
      </w:r>
    </w:p>
    <w:p>
      <w:pPr>
        <w:pStyle w:val="ListParagraph"/>
        <w:numPr>
          <w:ilvl w:val="2"/>
          <w:numId w:val="2"/>
        </w:numPr>
        <w:tabs>
          <w:tab w:val="left" w:pos="867"/>
          <w:tab w:val="left" w:pos="868"/>
        </w:tabs>
        <w:spacing w:before="43" w:after="0" w:line="278" w:lineRule="auto"/>
        <w:ind w:left="132" w:right="692" w:firstLine="0"/>
        <w:jc w:val="left"/>
        <w:rPr>
          <w:sz w:val="21"/>
        </w:rPr>
      </w:pPr>
      <w:r>
        <w:rPr>
          <w:spacing w:val="-3"/>
          <w:sz w:val="21"/>
        </w:rPr>
        <w:t>控制动作的数据应与闸门启闭、阀门启闭、交通信号灯颜色切换、信息发布和设备维修状态标记等动作相一致。</w:t>
      </w:r>
      <w:r>
        <w:rPr>
          <w:sz w:val="21"/>
        </w:rPr>
        <w:t xml:space="preserve"> </w:t>
      </w:r>
    </w:p>
    <w:p>
      <w:pPr>
        <w:pStyle w:val="ListParagraph"/>
        <w:numPr>
          <w:ilvl w:val="2"/>
          <w:numId w:val="2"/>
        </w:numPr>
        <w:tabs>
          <w:tab w:val="left" w:pos="867"/>
          <w:tab w:val="left" w:pos="868"/>
        </w:tabs>
        <w:spacing w:before="1" w:after="0" w:line="240" w:lineRule="auto"/>
        <w:ind w:left="867" w:right="0" w:hanging="736"/>
        <w:jc w:val="left"/>
        <w:rPr>
          <w:sz w:val="21"/>
        </w:rPr>
      </w:pPr>
      <w:r>
        <w:rPr>
          <w:spacing w:val="-3"/>
          <w:sz w:val="21"/>
        </w:rPr>
        <w:t>暂停、急停或强落等指令数据应保持闸门和阀门开度数据的连续性。</w:t>
      </w:r>
      <w:r>
        <w:rPr>
          <w:sz w:val="21"/>
        </w:rPr>
        <w:t xml:space="preserve"> </w:t>
      </w:r>
    </w:p>
    <w:p>
      <w:pPr>
        <w:pStyle w:val="ListParagraph"/>
        <w:numPr>
          <w:ilvl w:val="2"/>
          <w:numId w:val="2"/>
        </w:numPr>
        <w:tabs>
          <w:tab w:val="left" w:pos="867"/>
          <w:tab w:val="left" w:pos="868"/>
        </w:tabs>
        <w:spacing w:before="43" w:after="0" w:line="240" w:lineRule="auto"/>
        <w:ind w:left="867" w:right="0" w:hanging="736"/>
        <w:jc w:val="left"/>
        <w:rPr>
          <w:sz w:val="21"/>
        </w:rPr>
      </w:pPr>
      <w:r>
        <w:rPr>
          <w:spacing w:val="-3"/>
          <w:sz w:val="21"/>
        </w:rPr>
        <w:t>船闸控制数据应包括现地控制的指令数据。</w:t>
      </w:r>
      <w:r>
        <w:rPr>
          <w:sz w:val="21"/>
        </w:rPr>
        <w:t xml:space="preserve"> </w:t>
      </w:r>
    </w:p>
    <w:p>
      <w:pPr>
        <w:pStyle w:val="ListParagraph"/>
        <w:numPr>
          <w:ilvl w:val="2"/>
          <w:numId w:val="2"/>
        </w:numPr>
        <w:tabs>
          <w:tab w:val="left" w:pos="867"/>
          <w:tab w:val="left" w:pos="868"/>
        </w:tabs>
        <w:spacing w:before="43" w:after="0" w:line="278" w:lineRule="auto"/>
        <w:ind w:left="132" w:right="691" w:firstLine="0"/>
        <w:jc w:val="left"/>
        <w:rPr>
          <w:sz w:val="21"/>
        </w:rPr>
      </w:pPr>
      <w:r>
        <w:rPr>
          <w:spacing w:val="-3"/>
          <w:sz w:val="21"/>
        </w:rPr>
        <w:t xml:space="preserve">集中控制中心的控制数据应包括不同梯级、不同类型、不同级数、不同船闸、闸阀门以及控制操作的指令和动作数据项。 </w:t>
      </w:r>
    </w:p>
    <w:p>
      <w:pPr>
        <w:pStyle w:val="ListParagraph"/>
        <w:numPr>
          <w:ilvl w:val="1"/>
          <w:numId w:val="2"/>
        </w:numPr>
        <w:tabs>
          <w:tab w:val="left" w:pos="658"/>
          <w:tab w:val="left" w:pos="659"/>
        </w:tabs>
        <w:spacing w:before="155" w:after="0" w:line="240" w:lineRule="auto"/>
        <w:ind w:left="658" w:right="0" w:hanging="527"/>
        <w:jc w:val="left"/>
        <w:rPr>
          <w:rFonts w:ascii="黑体" w:eastAsia="黑体" w:hint="eastAsia"/>
          <w:sz w:val="21"/>
        </w:rPr>
      </w:pPr>
      <w:bookmarkStart w:id="8" w:name="_bookmark8"/>
      <w:bookmarkEnd w:id="8"/>
      <w:r>
        <w:rPr>
          <w:rFonts w:ascii="黑体" w:eastAsia="黑体" w:hint="eastAsia"/>
          <w:spacing w:val="-1"/>
          <w:sz w:val="21"/>
        </w:rPr>
        <w:t>运行数据</w:t>
      </w:r>
    </w:p>
    <w:p>
      <w:pPr>
        <w:pStyle w:val="BodyText"/>
        <w:spacing w:before="12"/>
        <w:rPr>
          <w:rFonts w:ascii="黑体"/>
          <w:sz w:val="9"/>
        </w:rPr>
      </w:pPr>
    </w:p>
    <w:p>
      <w:pPr>
        <w:pStyle w:val="ListParagraph"/>
        <w:numPr>
          <w:ilvl w:val="2"/>
          <w:numId w:val="2"/>
        </w:numPr>
        <w:tabs>
          <w:tab w:val="left" w:pos="867"/>
          <w:tab w:val="left" w:pos="868"/>
        </w:tabs>
        <w:spacing w:before="72" w:after="0" w:line="240" w:lineRule="auto"/>
        <w:ind w:left="867" w:right="0" w:hanging="736"/>
        <w:jc w:val="left"/>
        <w:rPr>
          <w:sz w:val="21"/>
        </w:rPr>
      </w:pPr>
      <w:r>
        <w:rPr>
          <w:spacing w:val="-3"/>
          <w:sz w:val="21"/>
        </w:rPr>
        <w:t xml:space="preserve">闸门状态数据应包括开到位、关到位、等待位、合拢位或开启角度等数据项。 </w:t>
      </w:r>
    </w:p>
    <w:p>
      <w:pPr>
        <w:pStyle w:val="ListParagraph"/>
        <w:numPr>
          <w:ilvl w:val="2"/>
          <w:numId w:val="2"/>
        </w:numPr>
        <w:tabs>
          <w:tab w:val="left" w:pos="867"/>
          <w:tab w:val="left" w:pos="868"/>
        </w:tabs>
        <w:spacing w:before="43" w:after="0" w:line="240" w:lineRule="auto"/>
        <w:ind w:left="867" w:right="0" w:hanging="736"/>
        <w:jc w:val="left"/>
        <w:rPr>
          <w:sz w:val="21"/>
        </w:rPr>
      </w:pPr>
      <w:r>
        <w:rPr>
          <w:spacing w:val="-3"/>
          <w:sz w:val="21"/>
        </w:rPr>
        <w:t>阀门状态数据应包括开到位、关到位或开启角度等数据项。</w:t>
      </w:r>
      <w:r>
        <w:rPr>
          <w:sz w:val="21"/>
        </w:rPr>
        <w:t xml:space="preserve"> </w:t>
      </w:r>
    </w:p>
    <w:p>
      <w:pPr>
        <w:spacing w:after="0" w:line="240" w:lineRule="auto"/>
        <w:jc w:val="left"/>
        <w:rPr>
          <w:sz w:val="21"/>
        </w:rPr>
        <w:sectPr>
          <w:headerReference w:type="even" r:id="rId17"/>
          <w:headerReference w:type="default" r:id="rId18"/>
          <w:footerReference w:type="even" r:id="rId19"/>
          <w:footerReference w:type="default" r:id="rId20"/>
          <w:pgSz w:w="11910" w:h="16840"/>
          <w:pgMar w:top="1640" w:right="720" w:bottom="1340" w:left="1000" w:header="1448" w:footer="1141"/>
          <w:pgNumType w:start="2"/>
          <w:cols w:space="708"/>
        </w:sectPr>
      </w:pPr>
    </w:p>
    <w:p>
      <w:pPr>
        <w:pStyle w:val="BodyText"/>
        <w:spacing w:before="1"/>
        <w:rPr>
          <w:sz w:val="17"/>
        </w:rPr>
      </w:pPr>
    </w:p>
    <w:p>
      <w:pPr>
        <w:pStyle w:val="ListParagraph"/>
        <w:numPr>
          <w:ilvl w:val="2"/>
          <w:numId w:val="2"/>
        </w:numPr>
        <w:tabs>
          <w:tab w:val="left" w:pos="1154"/>
        </w:tabs>
        <w:spacing w:before="72" w:after="0" w:line="240" w:lineRule="auto"/>
        <w:ind w:left="1153" w:right="0" w:hanging="736"/>
        <w:jc w:val="both"/>
        <w:rPr>
          <w:sz w:val="21"/>
        </w:rPr>
      </w:pPr>
      <w:r>
        <w:rPr>
          <w:spacing w:val="-3"/>
          <w:sz w:val="21"/>
        </w:rPr>
        <w:t>电机及其回路数据应包括电机断路器、软启动器、变频器、接触器等相关设备的运行数据项。</w:t>
      </w:r>
      <w:r>
        <w:rPr>
          <w:sz w:val="21"/>
        </w:rPr>
        <w:t xml:space="preserve"> </w:t>
      </w:r>
    </w:p>
    <w:p>
      <w:pPr>
        <w:pStyle w:val="ListParagraph"/>
        <w:numPr>
          <w:ilvl w:val="2"/>
          <w:numId w:val="2"/>
        </w:numPr>
        <w:tabs>
          <w:tab w:val="left" w:pos="1154"/>
        </w:tabs>
        <w:spacing w:before="43" w:after="0" w:line="240" w:lineRule="auto"/>
        <w:ind w:left="1153" w:right="0" w:hanging="736"/>
        <w:jc w:val="both"/>
        <w:rPr>
          <w:sz w:val="21"/>
        </w:rPr>
      </w:pPr>
      <w:r>
        <w:rPr>
          <w:spacing w:val="-12"/>
          <w:sz w:val="21"/>
        </w:rPr>
        <w:t>液压泵站运行状态监测数据应包括液压泵站的压力、油位、油温、流量、电磁阀状态等数据项。</w:t>
      </w:r>
      <w:r>
        <w:rPr>
          <w:sz w:val="21"/>
        </w:rPr>
        <w:t xml:space="preserve"> </w:t>
      </w:r>
    </w:p>
    <w:p>
      <w:pPr>
        <w:pStyle w:val="ListParagraph"/>
        <w:numPr>
          <w:ilvl w:val="2"/>
          <w:numId w:val="2"/>
        </w:numPr>
        <w:tabs>
          <w:tab w:val="left" w:pos="1154"/>
        </w:tabs>
        <w:spacing w:before="43" w:after="0" w:line="278" w:lineRule="auto"/>
        <w:ind w:left="418" w:right="406" w:firstLine="0"/>
        <w:jc w:val="both"/>
        <w:rPr>
          <w:sz w:val="21"/>
        </w:rPr>
      </w:pPr>
      <w:r>
        <w:rPr>
          <w:spacing w:val="-12"/>
          <w:sz w:val="21"/>
        </w:rPr>
        <w:t>运行报警与特殊情况的状态应包括电气故障、停机报警、泵站故障、水位计故障和报警反馈等。泵站故障数据应包括系统、液压腔的超压和失压、油位超低、油位低、油位高、吸油管堵塞和回油堵塞</w:t>
      </w:r>
      <w:r>
        <w:rPr>
          <w:spacing w:val="-6"/>
          <w:sz w:val="21"/>
        </w:rPr>
        <w:t>等数据项。水位计故障数据应包括上游水位计故障、下游水位计故障、闸室水位计故障等数据项。</w:t>
      </w:r>
      <w:r>
        <w:rPr>
          <w:sz w:val="21"/>
        </w:rPr>
        <w:t xml:space="preserve"> </w:t>
      </w:r>
    </w:p>
    <w:p>
      <w:pPr>
        <w:pStyle w:val="ListParagraph"/>
        <w:numPr>
          <w:ilvl w:val="2"/>
          <w:numId w:val="2"/>
        </w:numPr>
        <w:tabs>
          <w:tab w:val="left" w:pos="1154"/>
        </w:tabs>
        <w:spacing w:before="0" w:after="0" w:line="269" w:lineRule="exact"/>
        <w:ind w:left="1153" w:right="0" w:hanging="736"/>
        <w:jc w:val="both"/>
        <w:rPr>
          <w:sz w:val="21"/>
        </w:rPr>
      </w:pPr>
      <w:r>
        <w:rPr>
          <w:spacing w:val="-3"/>
          <w:sz w:val="21"/>
        </w:rPr>
        <w:t>启闭过程监测数据应包括但不限于：</w:t>
      </w:r>
      <w:r>
        <w:rPr>
          <w:sz w:val="21"/>
        </w:rPr>
        <w:t xml:space="preserve"> </w:t>
      </w:r>
    </w:p>
    <w:p>
      <w:pPr>
        <w:pStyle w:val="BodyText"/>
        <w:spacing w:before="43"/>
        <w:ind w:left="843"/>
      </w:pPr>
      <w:r>
        <w:t xml:space="preserve">—— 水位监测数据应包括闸室内、闸室外水位等模拟量； </w:t>
      </w:r>
    </w:p>
    <w:p>
      <w:pPr>
        <w:pStyle w:val="BodyText"/>
        <w:spacing w:before="43"/>
        <w:ind w:left="843"/>
      </w:pPr>
      <w:r>
        <w:t xml:space="preserve">—— 闸门或阀门机电设备监测数据应包括线电机电流、电机温度等数据项； </w:t>
      </w:r>
    </w:p>
    <w:p>
      <w:pPr>
        <w:pStyle w:val="BodyText"/>
        <w:spacing w:before="43"/>
        <w:ind w:left="843"/>
      </w:pPr>
      <w:r>
        <w:t xml:space="preserve">—— 环境监测数据应包括闸室内外的水位、能见度、风速、风向、温度、湿度等数据项。 </w:t>
      </w:r>
    </w:p>
    <w:p>
      <w:pPr>
        <w:pStyle w:val="ListParagraph"/>
        <w:numPr>
          <w:ilvl w:val="2"/>
          <w:numId w:val="2"/>
        </w:numPr>
        <w:tabs>
          <w:tab w:val="left" w:pos="1153"/>
          <w:tab w:val="left" w:pos="1154"/>
        </w:tabs>
        <w:spacing w:before="43" w:after="0" w:line="240" w:lineRule="auto"/>
        <w:ind w:left="1153" w:right="0" w:hanging="736"/>
        <w:jc w:val="left"/>
        <w:rPr>
          <w:sz w:val="21"/>
        </w:rPr>
      </w:pPr>
      <w:r>
        <w:rPr>
          <w:spacing w:val="-3"/>
          <w:sz w:val="21"/>
        </w:rPr>
        <w:t>报警过程监测数据应包括但不限于：</w:t>
      </w:r>
      <w:r>
        <w:rPr>
          <w:sz w:val="21"/>
        </w:rPr>
        <w:t xml:space="preserve"> </w:t>
      </w:r>
    </w:p>
    <w:p>
      <w:pPr>
        <w:pStyle w:val="BodyText"/>
        <w:spacing w:before="43"/>
        <w:ind w:left="843"/>
      </w:pPr>
      <w:r>
        <w:t xml:space="preserve">—— 人工停机报警应包括现地控制和集中控制停机指令的数据项； </w:t>
      </w:r>
    </w:p>
    <w:p>
      <w:pPr>
        <w:pStyle w:val="BodyText"/>
        <w:spacing w:before="43"/>
        <w:ind w:left="843"/>
      </w:pPr>
      <w:r>
        <w:t xml:space="preserve">—— 设备故障报警应包括供配电系统或控制系统故障的数据项； </w:t>
      </w:r>
    </w:p>
    <w:p>
      <w:pPr>
        <w:pStyle w:val="BodyText"/>
        <w:spacing w:before="43"/>
        <w:ind w:left="843"/>
      </w:pPr>
      <w:r>
        <w:t xml:space="preserve">—— 传感器自动报警应包括超压报警、失压报警、堵塞报警、超限报警等数据项； </w:t>
      </w:r>
    </w:p>
    <w:p>
      <w:pPr>
        <w:pStyle w:val="BodyText"/>
        <w:spacing w:before="43"/>
        <w:ind w:left="843"/>
      </w:pPr>
      <w:r>
        <w:t xml:space="preserve">—— 安全监测报警应包括可能影响船闸安全的船舶超线报警、越界报警、冲撞闸门报警等数据项。 </w:t>
      </w:r>
    </w:p>
    <w:p>
      <w:pPr>
        <w:pStyle w:val="ListParagraph"/>
        <w:numPr>
          <w:ilvl w:val="2"/>
          <w:numId w:val="2"/>
        </w:numPr>
        <w:tabs>
          <w:tab w:val="left" w:pos="1153"/>
          <w:tab w:val="left" w:pos="1154"/>
        </w:tabs>
        <w:spacing w:before="43" w:after="0" w:line="240" w:lineRule="auto"/>
        <w:ind w:left="1153" w:right="0" w:hanging="736"/>
        <w:jc w:val="left"/>
        <w:rPr>
          <w:sz w:val="21"/>
        </w:rPr>
      </w:pPr>
      <w:r>
        <w:rPr>
          <w:spacing w:val="-3"/>
          <w:sz w:val="21"/>
        </w:rPr>
        <w:t>供配电过程监测数据应包括但不限于：</w:t>
      </w:r>
      <w:r>
        <w:rPr>
          <w:sz w:val="21"/>
        </w:rPr>
        <w:t xml:space="preserve"> </w:t>
      </w:r>
    </w:p>
    <w:p>
      <w:pPr>
        <w:pStyle w:val="BodyText"/>
        <w:spacing w:before="43" w:line="278" w:lineRule="auto"/>
        <w:ind w:left="1270" w:right="505" w:hanging="428"/>
      </w:pPr>
      <w:r>
        <w:rPr>
          <w:spacing w:val="-11"/>
        </w:rPr>
        <w:t>—— 高压配电数据包括高压进线柜的电压、电流、功率、频率、接地开关状态、断路器状态等数</w:t>
      </w:r>
      <w:r>
        <w:rPr>
          <w:spacing w:val="-9"/>
        </w:rPr>
        <w:t>据项；</w:t>
      </w:r>
      <w:r>
        <w:t xml:space="preserve"> </w:t>
      </w:r>
    </w:p>
    <w:p>
      <w:pPr>
        <w:pStyle w:val="BodyText"/>
        <w:spacing w:line="269" w:lineRule="exact"/>
        <w:ind w:left="843"/>
      </w:pPr>
      <w:r>
        <w:t xml:space="preserve">—— 低压配电数据包括低压进线柜的电压、电流、功率、频率、断路器状态等数据项； </w:t>
      </w:r>
    </w:p>
    <w:p>
      <w:pPr>
        <w:pStyle w:val="BodyText"/>
        <w:spacing w:before="43" w:line="278" w:lineRule="auto"/>
        <w:ind w:left="1270" w:right="504" w:hanging="428"/>
      </w:pPr>
      <w:r>
        <w:rPr>
          <w:spacing w:val="-11"/>
        </w:rPr>
        <w:t>—— 电源监测数据应包括供配电系统电压、电流、现地控制柜内总的交流电压、直流电压、直流</w:t>
      </w:r>
      <w:r>
        <w:rPr>
          <w:spacing w:val="-6"/>
        </w:rPr>
        <w:t>电流等数据项。</w:t>
      </w:r>
      <w: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3"/>
          <w:sz w:val="21"/>
        </w:rPr>
        <w:t>广播数据应包括进出闸提示、开关闸门提示、闸室充水泄水提示等预录制自动广播和人工广播</w:t>
      </w:r>
      <w:r>
        <w:rPr>
          <w:spacing w:val="-7"/>
          <w:sz w:val="21"/>
        </w:rPr>
        <w:t xml:space="preserve">的语音数据项，宜包括通过 </w:t>
      </w:r>
      <w:r>
        <w:rPr>
          <w:sz w:val="21"/>
        </w:rPr>
        <w:t>APP</w:t>
      </w:r>
      <w:r>
        <w:rPr>
          <w:spacing w:val="-9"/>
          <w:sz w:val="21"/>
        </w:rPr>
        <w:t xml:space="preserve"> 发布的语音和文字数据项。</w:t>
      </w:r>
      <w:r>
        <w:rPr>
          <w:sz w:val="21"/>
        </w:rPr>
        <w:t xml:space="preserve"> </w:t>
      </w:r>
    </w:p>
    <w:p>
      <w:pPr>
        <w:pStyle w:val="ListParagraph"/>
        <w:numPr>
          <w:ilvl w:val="2"/>
          <w:numId w:val="2"/>
        </w:numPr>
        <w:tabs>
          <w:tab w:val="left" w:pos="1258"/>
          <w:tab w:val="left" w:pos="1259"/>
        </w:tabs>
        <w:spacing w:before="0" w:after="0" w:line="240" w:lineRule="auto"/>
        <w:ind w:left="1258" w:right="0" w:hanging="841"/>
        <w:jc w:val="left"/>
        <w:rPr>
          <w:sz w:val="21"/>
        </w:rPr>
      </w:pPr>
      <w:r>
        <w:rPr>
          <w:spacing w:val="-3"/>
          <w:sz w:val="21"/>
        </w:rPr>
        <w:t>视频设备监测数据宜包括摄像机、视频服务器、硬盘录像机、交换机等状态的数据项。</w:t>
      </w:r>
      <w:r>
        <w:rPr>
          <w:sz w:val="21"/>
        </w:rPr>
        <w:t xml:space="preserve"> </w:t>
      </w:r>
    </w:p>
    <w:p>
      <w:pPr>
        <w:pStyle w:val="BodyText"/>
        <w:spacing w:before="12"/>
        <w:rPr>
          <w:sz w:val="9"/>
        </w:rPr>
      </w:pPr>
    </w:p>
    <w:p>
      <w:pPr>
        <w:pStyle w:val="ListParagraph"/>
        <w:numPr>
          <w:ilvl w:val="1"/>
          <w:numId w:val="2"/>
        </w:numPr>
        <w:tabs>
          <w:tab w:val="left" w:pos="944"/>
          <w:tab w:val="left" w:pos="945"/>
        </w:tabs>
        <w:spacing w:before="71" w:after="0" w:line="240" w:lineRule="auto"/>
        <w:ind w:left="944" w:right="0" w:hanging="527"/>
        <w:jc w:val="left"/>
        <w:rPr>
          <w:rFonts w:ascii="黑体" w:eastAsia="黑体" w:hint="eastAsia"/>
          <w:sz w:val="21"/>
        </w:rPr>
      </w:pPr>
      <w:bookmarkStart w:id="9" w:name="_bookmark9"/>
      <w:bookmarkEnd w:id="9"/>
      <w:r>
        <w:rPr>
          <w:rFonts w:ascii="黑体" w:eastAsia="黑体" w:hint="eastAsia"/>
          <w:spacing w:val="-1"/>
          <w:sz w:val="21"/>
        </w:rPr>
        <w:t>运维数据</w:t>
      </w:r>
    </w:p>
    <w:p>
      <w:pPr>
        <w:pStyle w:val="BodyText"/>
        <w:spacing w:before="12"/>
        <w:rPr>
          <w:rFonts w:ascii="黑体"/>
          <w:sz w:val="9"/>
        </w:rPr>
      </w:pPr>
    </w:p>
    <w:p>
      <w:pPr>
        <w:pStyle w:val="ListParagraph"/>
        <w:numPr>
          <w:ilvl w:val="2"/>
          <w:numId w:val="2"/>
        </w:numPr>
        <w:tabs>
          <w:tab w:val="left" w:pos="1153"/>
          <w:tab w:val="left" w:pos="1154"/>
        </w:tabs>
        <w:spacing w:before="72" w:after="0" w:line="278" w:lineRule="auto"/>
        <w:ind w:left="418" w:right="406" w:firstLine="0"/>
        <w:jc w:val="left"/>
        <w:rPr>
          <w:sz w:val="21"/>
        </w:rPr>
      </w:pPr>
      <w:r>
        <w:rPr>
          <w:spacing w:val="-3"/>
          <w:sz w:val="21"/>
        </w:rPr>
        <w:t>工作交接班数据应包括班组登录、检查位置、检查类别、设备状态、当天工作记录、班组补充说明等数据项。</w:t>
      </w:r>
      <w:r>
        <w:rPr>
          <w:sz w:val="21"/>
        </w:rP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3"/>
          <w:sz w:val="21"/>
        </w:rPr>
        <w:t>巡检数据宜包括闸阀门、导航和靠船建筑物、安全防护设备、船闸机电设施设备及助航设备的巡查、检视、检修等数据项。</w:t>
      </w:r>
      <w:r>
        <w:rPr>
          <w:sz w:val="21"/>
        </w:rP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3"/>
          <w:sz w:val="21"/>
        </w:rPr>
        <w:t>系统通信故障与排除数据宜包括设备运行故障发现、处理与过程的通信代码、操作代码、通信端口、设备类型、外部设备地址等数据项。</w:t>
      </w:r>
      <w:r>
        <w:rPr>
          <w:sz w:val="21"/>
        </w:rP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10"/>
          <w:sz w:val="21"/>
        </w:rPr>
        <w:t>养护与修理数据宜包括养护与修理的起始时间和完成时间以及养护类型、修理类型、养护内容、</w:t>
      </w:r>
      <w:r>
        <w:rPr>
          <w:spacing w:val="-5"/>
          <w:sz w:val="21"/>
        </w:rPr>
        <w:t>修理内容等数据项。</w:t>
      </w:r>
      <w:r>
        <w:rPr>
          <w:sz w:val="21"/>
        </w:rP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3"/>
          <w:sz w:val="21"/>
        </w:rPr>
        <w:t>系统维护过程数据应包括事故及故障报警记录、状态量变化记录、设备操作记录、系统自诊断与恢复信息、运行日志等记录数据项，宜包括维护过程中相关参数的运行曲线、极值等数据项。</w:t>
      </w:r>
      <w:r>
        <w:rPr>
          <w:sz w:val="21"/>
        </w:rPr>
        <w:t xml:space="preserve"> </w:t>
      </w:r>
    </w:p>
    <w:p>
      <w:pPr>
        <w:pStyle w:val="ListParagraph"/>
        <w:numPr>
          <w:ilvl w:val="1"/>
          <w:numId w:val="2"/>
        </w:numPr>
        <w:tabs>
          <w:tab w:val="left" w:pos="944"/>
          <w:tab w:val="left" w:pos="945"/>
        </w:tabs>
        <w:spacing w:before="155" w:after="0" w:line="240" w:lineRule="auto"/>
        <w:ind w:left="944" w:right="0" w:hanging="527"/>
        <w:jc w:val="left"/>
        <w:rPr>
          <w:rFonts w:ascii="黑体" w:eastAsia="黑体" w:hint="eastAsia"/>
          <w:sz w:val="21"/>
        </w:rPr>
      </w:pPr>
      <w:bookmarkStart w:id="10" w:name="_bookmark10"/>
      <w:bookmarkEnd w:id="10"/>
      <w:r>
        <w:rPr>
          <w:rFonts w:ascii="黑体" w:eastAsia="黑体" w:hint="eastAsia"/>
          <w:spacing w:val="-1"/>
          <w:sz w:val="21"/>
        </w:rPr>
        <w:t>数据逻辑</w:t>
      </w:r>
    </w:p>
    <w:p>
      <w:pPr>
        <w:pStyle w:val="BodyText"/>
        <w:rPr>
          <w:rFonts w:ascii="黑体"/>
          <w:sz w:val="10"/>
        </w:rPr>
      </w:pPr>
    </w:p>
    <w:p>
      <w:pPr>
        <w:pStyle w:val="ListParagraph"/>
        <w:numPr>
          <w:ilvl w:val="2"/>
          <w:numId w:val="2"/>
        </w:numPr>
        <w:tabs>
          <w:tab w:val="left" w:pos="1153"/>
          <w:tab w:val="left" w:pos="1154"/>
        </w:tabs>
        <w:spacing w:before="71" w:after="0" w:line="278" w:lineRule="auto"/>
        <w:ind w:left="418" w:right="406" w:firstLine="0"/>
        <w:jc w:val="left"/>
        <w:rPr>
          <w:sz w:val="21"/>
        </w:rPr>
      </w:pPr>
      <w:r>
        <w:rPr>
          <w:spacing w:val="-3"/>
          <w:sz w:val="21"/>
        </w:rPr>
        <w:t>集中控制系统对应其控制的一个船闸或多个船闸，且应汇聚多个船闸的现地控制数据，各类典</w:t>
      </w:r>
      <w:r>
        <w:rPr>
          <w:spacing w:val="-7"/>
          <w:sz w:val="21"/>
        </w:rPr>
        <w:t xml:space="preserve">型数据的格式示例参见附录 </w:t>
      </w:r>
      <w:r>
        <w:rPr>
          <w:sz w:val="21"/>
        </w:rPr>
        <w:t>B</w:t>
      </w:r>
      <w:r>
        <w:rPr>
          <w:spacing w:val="-3"/>
          <w:sz w:val="21"/>
        </w:rPr>
        <w:t>。</w:t>
      </w:r>
      <w:r>
        <w:rPr>
          <w:sz w:val="21"/>
        </w:rP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3"/>
          <w:sz w:val="21"/>
        </w:rPr>
        <w:t>每个船闸控制数据、运行数据、运维数据的格式应统一编号，基础数据应作为控制数据、运行数据和运维数据的基本分类、数据编号的前缀。</w:t>
      </w:r>
      <w:r>
        <w:rPr>
          <w:sz w:val="21"/>
        </w:rPr>
        <w:t xml:space="preserve"> </w:t>
      </w:r>
    </w:p>
    <w:p>
      <w:pPr>
        <w:pStyle w:val="ListParagraph"/>
        <w:numPr>
          <w:ilvl w:val="2"/>
          <w:numId w:val="2"/>
        </w:numPr>
        <w:tabs>
          <w:tab w:val="left" w:pos="1153"/>
          <w:tab w:val="left" w:pos="1154"/>
        </w:tabs>
        <w:spacing w:before="0" w:after="0" w:line="278" w:lineRule="auto"/>
        <w:ind w:left="418" w:right="406" w:firstLine="0"/>
        <w:jc w:val="left"/>
        <w:rPr>
          <w:sz w:val="21"/>
        </w:rPr>
      </w:pPr>
      <w:r>
        <w:rPr>
          <w:spacing w:val="-3"/>
          <w:sz w:val="21"/>
        </w:rPr>
        <w:t>工作交接班数据应与巡检、故障与排除、养护与修理、维护过程数据相关联，故障与排除、养护与修理数据应与巡检、维护过程数据相关联。</w:t>
      </w:r>
      <w:r>
        <w:rPr>
          <w:sz w:val="21"/>
        </w:rPr>
        <w:t xml:space="preserve"> </w:t>
      </w:r>
    </w:p>
    <w:p>
      <w:pPr>
        <w:spacing w:after="0" w:line="278" w:lineRule="auto"/>
        <w:jc w:val="left"/>
        <w:rPr>
          <w:sz w:val="21"/>
        </w:rPr>
        <w:sectPr>
          <w:headerReference w:type="even" r:id="rId21"/>
          <w:headerReference w:type="default" r:id="rId22"/>
          <w:footerReference w:type="even" r:id="rId23"/>
          <w:footerReference w:type="default" r:id="rId24"/>
          <w:pgSz w:w="11910" w:h="16840"/>
          <w:pgMar w:top="1640" w:right="720" w:bottom="1340" w:left="1000" w:header="1448" w:footer="1141"/>
          <w:pgNumType w:start="3"/>
          <w:cols w:space="708"/>
        </w:sectPr>
      </w:pPr>
    </w:p>
    <w:p>
      <w:pPr>
        <w:pStyle w:val="BodyText"/>
        <w:spacing w:before="1"/>
        <w:rPr>
          <w:sz w:val="17"/>
        </w:rPr>
      </w:pPr>
    </w:p>
    <w:p>
      <w:pPr>
        <w:pStyle w:val="ListParagraph"/>
        <w:numPr>
          <w:ilvl w:val="2"/>
          <w:numId w:val="2"/>
        </w:numPr>
        <w:tabs>
          <w:tab w:val="left" w:pos="868"/>
        </w:tabs>
        <w:spacing w:before="72" w:after="0" w:line="278" w:lineRule="auto"/>
        <w:ind w:left="132" w:right="692" w:firstLine="0"/>
        <w:jc w:val="both"/>
        <w:rPr>
          <w:sz w:val="21"/>
        </w:rPr>
      </w:pPr>
      <w:r>
        <w:rPr>
          <w:spacing w:val="-3"/>
          <w:sz w:val="21"/>
        </w:rPr>
        <w:t>控制指令和动作应与船闸的执行次数、限位开关状态、泵站工作记录、运行闸次记录、启闭时</w:t>
      </w:r>
      <w:r>
        <w:rPr>
          <w:spacing w:val="-21"/>
          <w:sz w:val="21"/>
        </w:rPr>
        <w:t>间记录、水位数据记录等数据相一致，集中控制中心的控制指令和动作数据应与设备标识符、设备状态、</w:t>
      </w:r>
      <w:r>
        <w:rPr>
          <w:spacing w:val="-8"/>
          <w:sz w:val="21"/>
        </w:rPr>
        <w:t>电源工作记录以及现地控制的指令和动作相一致。</w:t>
      </w:r>
      <w:r>
        <w:rPr>
          <w:sz w:val="21"/>
        </w:rPr>
        <w:t xml:space="preserve"> </w:t>
      </w:r>
    </w:p>
    <w:p>
      <w:pPr>
        <w:pStyle w:val="ListParagraph"/>
        <w:numPr>
          <w:ilvl w:val="2"/>
          <w:numId w:val="2"/>
        </w:numPr>
        <w:tabs>
          <w:tab w:val="left" w:pos="868"/>
        </w:tabs>
        <w:spacing w:before="0" w:after="0" w:line="269" w:lineRule="exact"/>
        <w:ind w:left="867" w:right="0" w:hanging="736"/>
        <w:jc w:val="both"/>
        <w:rPr>
          <w:sz w:val="21"/>
        </w:rPr>
      </w:pPr>
      <w:r>
        <w:rPr>
          <w:spacing w:val="-3"/>
          <w:sz w:val="21"/>
        </w:rPr>
        <w:t xml:space="preserve">集中控制中心的控制数据、运行数据、运维数据应区分集中控制和现地控制两类。 </w:t>
      </w:r>
    </w:p>
    <w:p>
      <w:pPr>
        <w:pStyle w:val="BodyText"/>
        <w:spacing w:before="11"/>
        <w:rPr>
          <w:sz w:val="27"/>
        </w:rPr>
      </w:pPr>
    </w:p>
    <w:p>
      <w:pPr>
        <w:pStyle w:val="ListParagraph"/>
        <w:numPr>
          <w:ilvl w:val="0"/>
          <w:numId w:val="2"/>
        </w:numPr>
        <w:tabs>
          <w:tab w:val="left" w:pos="448"/>
        </w:tabs>
        <w:spacing w:before="0" w:after="0" w:line="240" w:lineRule="auto"/>
        <w:ind w:left="447" w:right="0" w:hanging="316"/>
        <w:jc w:val="both"/>
        <w:rPr>
          <w:rFonts w:ascii="黑体" w:eastAsia="黑体" w:hint="eastAsia"/>
          <w:sz w:val="21"/>
        </w:rPr>
      </w:pPr>
      <w:bookmarkStart w:id="11" w:name="_bookmark11"/>
      <w:bookmarkEnd w:id="11"/>
      <w:r>
        <w:rPr>
          <w:rFonts w:ascii="黑体" w:eastAsia="黑体" w:hint="eastAsia"/>
          <w:spacing w:val="-1"/>
          <w:sz w:val="21"/>
        </w:rPr>
        <w:t>数据格式</w:t>
      </w:r>
    </w:p>
    <w:p>
      <w:pPr>
        <w:pStyle w:val="BodyText"/>
        <w:spacing w:before="12"/>
        <w:rPr>
          <w:rFonts w:ascii="黑体"/>
        </w:rPr>
      </w:pPr>
    </w:p>
    <w:p>
      <w:pPr>
        <w:pStyle w:val="ListParagraph"/>
        <w:numPr>
          <w:ilvl w:val="1"/>
          <w:numId w:val="2"/>
        </w:numPr>
        <w:tabs>
          <w:tab w:val="left" w:pos="658"/>
          <w:tab w:val="left" w:pos="659"/>
        </w:tabs>
        <w:spacing w:before="72" w:after="0" w:line="240" w:lineRule="auto"/>
        <w:ind w:left="658" w:right="0" w:hanging="527"/>
        <w:jc w:val="left"/>
        <w:rPr>
          <w:rFonts w:ascii="黑体" w:eastAsia="黑体" w:hint="eastAsia"/>
          <w:sz w:val="21"/>
        </w:rPr>
      </w:pPr>
      <w:bookmarkStart w:id="12" w:name="_bookmark12"/>
      <w:bookmarkEnd w:id="12"/>
      <w:r>
        <w:rPr>
          <w:rFonts w:ascii="黑体" w:eastAsia="黑体" w:hint="eastAsia"/>
          <w:spacing w:val="-1"/>
          <w:sz w:val="21"/>
        </w:rPr>
        <w:t>一般要求</w:t>
      </w:r>
    </w:p>
    <w:p>
      <w:pPr>
        <w:pStyle w:val="BodyText"/>
        <w:spacing w:before="12"/>
        <w:rPr>
          <w:rFonts w:ascii="黑体"/>
          <w:sz w:val="9"/>
        </w:rPr>
      </w:pPr>
    </w:p>
    <w:p>
      <w:pPr>
        <w:pStyle w:val="ListParagraph"/>
        <w:numPr>
          <w:ilvl w:val="2"/>
          <w:numId w:val="2"/>
        </w:numPr>
        <w:tabs>
          <w:tab w:val="left" w:pos="867"/>
          <w:tab w:val="left" w:pos="868"/>
        </w:tabs>
        <w:spacing w:before="71" w:after="0" w:line="240" w:lineRule="auto"/>
        <w:ind w:left="867" w:right="0" w:hanging="736"/>
        <w:jc w:val="left"/>
        <w:rPr>
          <w:sz w:val="21"/>
        </w:rPr>
      </w:pPr>
      <w:r>
        <w:rPr>
          <w:spacing w:val="-3"/>
          <w:sz w:val="21"/>
        </w:rPr>
        <w:t>集中控制中心应保持数据要素和数据交换格式的一致性、数据接口格式的统一性。</w:t>
      </w:r>
      <w:r>
        <w:rPr>
          <w:sz w:val="21"/>
        </w:rPr>
        <w:t xml:space="preserve"> </w:t>
      </w:r>
    </w:p>
    <w:p>
      <w:pPr>
        <w:pStyle w:val="ListParagraph"/>
        <w:numPr>
          <w:ilvl w:val="2"/>
          <w:numId w:val="2"/>
        </w:numPr>
        <w:tabs>
          <w:tab w:val="left" w:pos="867"/>
          <w:tab w:val="left" w:pos="868"/>
        </w:tabs>
        <w:spacing w:before="43" w:after="0" w:line="240" w:lineRule="auto"/>
        <w:ind w:left="867" w:right="0" w:hanging="736"/>
        <w:jc w:val="left"/>
        <w:rPr>
          <w:sz w:val="21"/>
        </w:rPr>
      </w:pPr>
      <w:r>
        <w:rPr>
          <w:spacing w:val="-5"/>
          <w:sz w:val="21"/>
        </w:rPr>
        <w:t xml:space="preserve">数据要素应包括数据的类别、编号、内容、接口和类型等，应符合 </w:t>
      </w:r>
      <w:r>
        <w:rPr>
          <w:sz w:val="21"/>
        </w:rPr>
        <w:t>JT/T</w:t>
      </w:r>
      <w:r>
        <w:rPr>
          <w:spacing w:val="3"/>
          <w:sz w:val="21"/>
        </w:rPr>
        <w:t xml:space="preserve"> </w:t>
      </w:r>
      <w:r>
        <w:rPr>
          <w:sz w:val="21"/>
        </w:rPr>
        <w:t>697.4</w:t>
      </w:r>
      <w:r>
        <w:rPr>
          <w:spacing w:val="-13"/>
          <w:sz w:val="21"/>
        </w:rPr>
        <w:t xml:space="preserve"> 的规定。</w:t>
      </w:r>
      <w:r>
        <w:rPr>
          <w:sz w:val="21"/>
        </w:rPr>
        <w:t xml:space="preserve"> </w:t>
      </w:r>
    </w:p>
    <w:p>
      <w:pPr>
        <w:pStyle w:val="ListParagraph"/>
        <w:numPr>
          <w:ilvl w:val="2"/>
          <w:numId w:val="2"/>
        </w:numPr>
        <w:tabs>
          <w:tab w:val="left" w:pos="867"/>
          <w:tab w:val="left" w:pos="868"/>
        </w:tabs>
        <w:spacing w:before="44" w:after="0" w:line="240" w:lineRule="auto"/>
        <w:ind w:left="867" w:right="0" w:hanging="736"/>
        <w:jc w:val="left"/>
        <w:rPr>
          <w:sz w:val="21"/>
        </w:rPr>
      </w:pPr>
      <w:r>
        <w:rPr>
          <w:spacing w:val="-3"/>
          <w:sz w:val="21"/>
        </w:rPr>
        <w:t>数据要素的形式应以字符、数字和文本为主，具体要素名称的简写、缩写应符合实际惯例。</w:t>
      </w:r>
      <w:r>
        <w:rPr>
          <w:sz w:val="21"/>
        </w:rPr>
        <w:t xml:space="preserve"> </w:t>
      </w:r>
    </w:p>
    <w:p>
      <w:pPr>
        <w:pStyle w:val="ListParagraph"/>
        <w:numPr>
          <w:ilvl w:val="2"/>
          <w:numId w:val="2"/>
        </w:numPr>
        <w:tabs>
          <w:tab w:val="left" w:pos="867"/>
          <w:tab w:val="left" w:pos="868"/>
        </w:tabs>
        <w:spacing w:before="43" w:after="0" w:line="240" w:lineRule="auto"/>
        <w:ind w:left="867" w:right="0" w:hanging="736"/>
        <w:jc w:val="left"/>
        <w:rPr>
          <w:sz w:val="21"/>
        </w:rPr>
      </w:pPr>
      <w:r>
        <w:rPr>
          <w:spacing w:val="-3"/>
          <w:sz w:val="21"/>
        </w:rPr>
        <w:t>集中控制中心宜统一集中控制系统数据的接口，包括与外部信息系统数据交换的接口。</w:t>
      </w:r>
      <w:r>
        <w:rPr>
          <w:sz w:val="21"/>
        </w:rPr>
        <w:t xml:space="preserve"> </w:t>
      </w:r>
    </w:p>
    <w:p>
      <w:pPr>
        <w:pStyle w:val="ListParagraph"/>
        <w:numPr>
          <w:ilvl w:val="2"/>
          <w:numId w:val="2"/>
        </w:numPr>
        <w:tabs>
          <w:tab w:val="left" w:pos="867"/>
          <w:tab w:val="left" w:pos="868"/>
        </w:tabs>
        <w:spacing w:before="43" w:after="0" w:line="278" w:lineRule="auto"/>
        <w:ind w:left="132" w:right="692" w:firstLine="0"/>
        <w:jc w:val="left"/>
        <w:rPr>
          <w:sz w:val="21"/>
        </w:rPr>
      </w:pPr>
      <w:r>
        <w:rPr>
          <w:spacing w:val="-11"/>
          <w:sz w:val="21"/>
        </w:rPr>
        <w:t xml:space="preserve">数据交换格式应包括数据变量的权限标记，数据变量应包括变量的名称、类型、地址和注释等， </w:t>
      </w:r>
      <w:r>
        <w:rPr>
          <w:spacing w:val="-6"/>
          <w:sz w:val="21"/>
        </w:rPr>
        <w:t>权限标记应符合数据控制权限和访问权限的管理要求。</w:t>
      </w:r>
      <w:r>
        <w:rPr>
          <w:sz w:val="21"/>
        </w:rPr>
        <w:t xml:space="preserve"> </w:t>
      </w:r>
    </w:p>
    <w:p>
      <w:pPr>
        <w:pStyle w:val="ListParagraph"/>
        <w:numPr>
          <w:ilvl w:val="1"/>
          <w:numId w:val="2"/>
        </w:numPr>
        <w:tabs>
          <w:tab w:val="left" w:pos="658"/>
          <w:tab w:val="left" w:pos="659"/>
        </w:tabs>
        <w:spacing w:before="156" w:after="0" w:line="240" w:lineRule="auto"/>
        <w:ind w:left="658" w:right="0" w:hanging="527"/>
        <w:jc w:val="left"/>
        <w:rPr>
          <w:rFonts w:ascii="黑体" w:eastAsia="黑体" w:hint="eastAsia"/>
          <w:sz w:val="21"/>
        </w:rPr>
      </w:pPr>
      <w:bookmarkStart w:id="13" w:name="_bookmark13"/>
      <w:bookmarkEnd w:id="13"/>
      <w:r>
        <w:rPr>
          <w:rFonts w:ascii="黑体" w:eastAsia="黑体" w:hint="eastAsia"/>
          <w:spacing w:val="-1"/>
          <w:sz w:val="21"/>
        </w:rPr>
        <w:t>数据接口</w:t>
      </w:r>
    </w:p>
    <w:p>
      <w:pPr>
        <w:pStyle w:val="BodyText"/>
        <w:spacing w:before="12"/>
        <w:rPr>
          <w:rFonts w:ascii="黑体"/>
          <w:sz w:val="9"/>
        </w:rPr>
      </w:pPr>
    </w:p>
    <w:p>
      <w:pPr>
        <w:pStyle w:val="ListParagraph"/>
        <w:numPr>
          <w:ilvl w:val="2"/>
          <w:numId w:val="2"/>
        </w:numPr>
        <w:tabs>
          <w:tab w:val="left" w:pos="867"/>
          <w:tab w:val="left" w:pos="868"/>
        </w:tabs>
        <w:spacing w:before="71" w:after="0" w:line="240" w:lineRule="auto"/>
        <w:ind w:left="867" w:right="0" w:hanging="736"/>
        <w:jc w:val="left"/>
        <w:rPr>
          <w:sz w:val="21"/>
        </w:rPr>
      </w:pPr>
      <w:r>
        <w:rPr>
          <w:spacing w:val="-3"/>
          <w:sz w:val="21"/>
        </w:rPr>
        <w:t>集中控制系统的数据接口应包括接口格式和接口封装。</w:t>
      </w:r>
      <w:r>
        <w:rPr>
          <w:sz w:val="21"/>
        </w:rPr>
        <w:t xml:space="preserve"> </w:t>
      </w:r>
    </w:p>
    <w:p>
      <w:pPr>
        <w:pStyle w:val="ListParagraph"/>
        <w:numPr>
          <w:ilvl w:val="2"/>
          <w:numId w:val="2"/>
        </w:numPr>
        <w:tabs>
          <w:tab w:val="left" w:pos="867"/>
          <w:tab w:val="left" w:pos="868"/>
        </w:tabs>
        <w:spacing w:before="43" w:after="0" w:line="278" w:lineRule="auto"/>
        <w:ind w:left="132" w:right="692" w:firstLine="0"/>
        <w:jc w:val="left"/>
        <w:rPr>
          <w:sz w:val="21"/>
        </w:rPr>
      </w:pPr>
      <w:r>
        <w:rPr>
          <w:spacing w:val="-3"/>
          <w:sz w:val="21"/>
        </w:rPr>
        <w:t>数据的接口格式应包括数据头、校验码、具体数据和数据尾，数据头应包括通信代码、操作代码、通信端口、设备类型、外部设备地址等。</w:t>
      </w:r>
      <w:r>
        <w:rPr>
          <w:sz w:val="21"/>
        </w:rPr>
        <w:t xml:space="preserve">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数据的接口封装应包括不同层次和不同部署位置之间信息传递的封装。</w:t>
      </w:r>
      <w:r>
        <w:rPr>
          <w:sz w:val="21"/>
        </w:rPr>
        <w:t xml:space="preserve"> </w:t>
      </w:r>
    </w:p>
    <w:p>
      <w:pPr>
        <w:pStyle w:val="BodyText"/>
        <w:spacing w:before="11"/>
        <w:rPr>
          <w:sz w:val="27"/>
        </w:rPr>
      </w:pPr>
    </w:p>
    <w:p>
      <w:pPr>
        <w:pStyle w:val="ListParagraph"/>
        <w:numPr>
          <w:ilvl w:val="0"/>
          <w:numId w:val="2"/>
        </w:numPr>
        <w:tabs>
          <w:tab w:val="left" w:pos="447"/>
          <w:tab w:val="left" w:pos="448"/>
        </w:tabs>
        <w:spacing w:before="1" w:after="0" w:line="240" w:lineRule="auto"/>
        <w:ind w:left="447" w:right="0" w:hanging="316"/>
        <w:jc w:val="left"/>
        <w:rPr>
          <w:rFonts w:ascii="黑体" w:eastAsia="黑体" w:hint="eastAsia"/>
          <w:sz w:val="21"/>
        </w:rPr>
      </w:pPr>
      <w:bookmarkStart w:id="14" w:name="_bookmark14"/>
      <w:bookmarkEnd w:id="14"/>
      <w:r>
        <w:rPr>
          <w:rFonts w:ascii="黑体" w:eastAsia="黑体" w:hint="eastAsia"/>
          <w:spacing w:val="-1"/>
          <w:sz w:val="21"/>
        </w:rPr>
        <w:t>数据存储</w:t>
      </w:r>
    </w:p>
    <w:p>
      <w:pPr>
        <w:pStyle w:val="BodyText"/>
        <w:spacing w:before="12"/>
        <w:rPr>
          <w:rFonts w:ascii="黑体"/>
        </w:rPr>
      </w:pPr>
    </w:p>
    <w:p>
      <w:pPr>
        <w:pStyle w:val="ListParagraph"/>
        <w:numPr>
          <w:ilvl w:val="1"/>
          <w:numId w:val="2"/>
        </w:numPr>
        <w:tabs>
          <w:tab w:val="left" w:pos="658"/>
          <w:tab w:val="left" w:pos="659"/>
        </w:tabs>
        <w:spacing w:before="71" w:after="0" w:line="240" w:lineRule="auto"/>
        <w:ind w:left="658" w:right="0" w:hanging="527"/>
        <w:jc w:val="left"/>
        <w:rPr>
          <w:rFonts w:ascii="黑体" w:eastAsia="黑体" w:hint="eastAsia"/>
          <w:sz w:val="21"/>
        </w:rPr>
      </w:pPr>
      <w:bookmarkStart w:id="15" w:name="_bookmark15"/>
      <w:bookmarkEnd w:id="15"/>
      <w:r>
        <w:rPr>
          <w:rFonts w:ascii="黑体" w:eastAsia="黑体" w:hint="eastAsia"/>
          <w:spacing w:val="-1"/>
          <w:sz w:val="21"/>
        </w:rPr>
        <w:t>一般要求</w:t>
      </w:r>
    </w:p>
    <w:p>
      <w:pPr>
        <w:pStyle w:val="BodyText"/>
        <w:rPr>
          <w:rFonts w:ascii="黑体"/>
          <w:sz w:val="10"/>
        </w:rPr>
      </w:pPr>
    </w:p>
    <w:p>
      <w:pPr>
        <w:pStyle w:val="ListParagraph"/>
        <w:numPr>
          <w:ilvl w:val="2"/>
          <w:numId w:val="2"/>
        </w:numPr>
        <w:tabs>
          <w:tab w:val="left" w:pos="867"/>
          <w:tab w:val="left" w:pos="868"/>
        </w:tabs>
        <w:spacing w:before="71" w:after="0" w:line="278" w:lineRule="auto"/>
        <w:ind w:left="132" w:right="692" w:firstLine="0"/>
        <w:jc w:val="left"/>
        <w:rPr>
          <w:sz w:val="21"/>
        </w:rPr>
      </w:pPr>
      <w:r>
        <w:rPr>
          <w:spacing w:val="-3"/>
          <w:sz w:val="21"/>
        </w:rPr>
        <w:t xml:space="preserve">系统应按时间、船闸名称、设备类型、传输通道号的顺序依次存储，数据逻辑应完备、正确和适用。 </w:t>
      </w:r>
    </w:p>
    <w:p>
      <w:pPr>
        <w:pStyle w:val="ListParagraph"/>
        <w:numPr>
          <w:ilvl w:val="2"/>
          <w:numId w:val="2"/>
        </w:numPr>
        <w:tabs>
          <w:tab w:val="left" w:pos="867"/>
          <w:tab w:val="left" w:pos="868"/>
        </w:tabs>
        <w:spacing w:before="0" w:after="0" w:line="278" w:lineRule="auto"/>
        <w:ind w:left="132" w:right="586" w:firstLine="0"/>
        <w:jc w:val="left"/>
        <w:rPr>
          <w:sz w:val="21"/>
        </w:rPr>
      </w:pPr>
      <w:r>
        <w:rPr>
          <w:spacing w:val="-7"/>
          <w:sz w:val="21"/>
        </w:rPr>
        <w:t xml:space="preserve">集中控制系统数据一般存储于船闸集中控制中心和船闸，现地控制数据一般存储于所在地船闸， </w:t>
      </w:r>
      <w:r>
        <w:rPr>
          <w:spacing w:val="-5"/>
          <w:sz w:val="21"/>
        </w:rPr>
        <w:t>集中控制数据一般存储于船闸集中控制中心。</w:t>
      </w:r>
      <w:r>
        <w:rPr>
          <w:sz w:val="21"/>
        </w:rPr>
        <w:t xml:space="preserve"> </w:t>
      </w:r>
    </w:p>
    <w:p>
      <w:pPr>
        <w:pStyle w:val="ListParagraph"/>
        <w:numPr>
          <w:ilvl w:val="2"/>
          <w:numId w:val="2"/>
        </w:numPr>
        <w:tabs>
          <w:tab w:val="left" w:pos="867"/>
          <w:tab w:val="left" w:pos="868"/>
        </w:tabs>
        <w:spacing w:before="0" w:after="0" w:line="278" w:lineRule="auto"/>
        <w:ind w:left="132" w:right="692" w:firstLine="0"/>
        <w:jc w:val="left"/>
        <w:rPr>
          <w:sz w:val="21"/>
        </w:rPr>
      </w:pPr>
      <w:r>
        <w:rPr>
          <w:spacing w:val="-3"/>
          <w:sz w:val="21"/>
        </w:rPr>
        <w:t xml:space="preserve">数据存储的容量应根据集中控制系统的部署地点、控制船闸的数量、控制与运行业务规程、未来的扩展数量等因素综合计算确定。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集中控制中心应统一存储的路径和用例。</w:t>
      </w:r>
      <w:r>
        <w:rPr>
          <w:sz w:val="21"/>
        </w:rPr>
        <w:t xml:space="preserve"> </w:t>
      </w:r>
    </w:p>
    <w:p>
      <w:pPr>
        <w:pStyle w:val="BodyText"/>
        <w:spacing w:before="12"/>
        <w:rPr>
          <w:sz w:val="9"/>
        </w:rPr>
      </w:pPr>
    </w:p>
    <w:p>
      <w:pPr>
        <w:pStyle w:val="ListParagraph"/>
        <w:numPr>
          <w:ilvl w:val="1"/>
          <w:numId w:val="2"/>
        </w:numPr>
        <w:tabs>
          <w:tab w:val="left" w:pos="658"/>
          <w:tab w:val="left" w:pos="659"/>
        </w:tabs>
        <w:spacing w:before="71" w:after="0" w:line="240" w:lineRule="auto"/>
        <w:ind w:left="658" w:right="0" w:hanging="527"/>
        <w:jc w:val="left"/>
        <w:rPr>
          <w:rFonts w:ascii="黑体" w:eastAsia="黑体" w:hint="eastAsia"/>
          <w:sz w:val="21"/>
        </w:rPr>
      </w:pPr>
      <w:bookmarkStart w:id="16" w:name="_bookmark16"/>
      <w:bookmarkEnd w:id="16"/>
      <w:r>
        <w:rPr>
          <w:rFonts w:ascii="黑体" w:eastAsia="黑体" w:hint="eastAsia"/>
          <w:spacing w:val="-2"/>
          <w:sz w:val="21"/>
        </w:rPr>
        <w:t>存储技术要求</w:t>
      </w:r>
    </w:p>
    <w:p>
      <w:pPr>
        <w:pStyle w:val="BodyText"/>
        <w:rPr>
          <w:rFonts w:ascii="黑体"/>
          <w:sz w:val="10"/>
        </w:rPr>
      </w:pPr>
    </w:p>
    <w:p>
      <w:pPr>
        <w:pStyle w:val="ListParagraph"/>
        <w:numPr>
          <w:ilvl w:val="2"/>
          <w:numId w:val="2"/>
        </w:numPr>
        <w:tabs>
          <w:tab w:val="left" w:pos="867"/>
          <w:tab w:val="left" w:pos="868"/>
        </w:tabs>
        <w:spacing w:before="72" w:after="0" w:line="278" w:lineRule="auto"/>
        <w:ind w:left="132" w:right="692" w:firstLine="0"/>
        <w:jc w:val="left"/>
        <w:rPr>
          <w:sz w:val="21"/>
        </w:rPr>
      </w:pPr>
      <w:r>
        <w:rPr>
          <w:spacing w:val="-3"/>
          <w:sz w:val="21"/>
        </w:rPr>
        <w:t xml:space="preserve">集中控制系统应对数据进行全生命周期管理，更新和删除操作应保持数据存储的一致性，更新和删除的数据要可溯源、可恢复。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系统数据应定期备份存储，宜建立容灾机制。</w:t>
      </w:r>
      <w:r>
        <w:rPr>
          <w:sz w:val="21"/>
        </w:rPr>
        <w:t xml:space="preserve"> </w:t>
      </w:r>
    </w:p>
    <w:p>
      <w:pPr>
        <w:pStyle w:val="ListParagraph"/>
        <w:numPr>
          <w:ilvl w:val="2"/>
          <w:numId w:val="2"/>
        </w:numPr>
        <w:tabs>
          <w:tab w:val="left" w:pos="867"/>
          <w:tab w:val="left" w:pos="868"/>
        </w:tabs>
        <w:spacing w:before="43" w:after="0" w:line="278" w:lineRule="auto"/>
        <w:ind w:left="132" w:right="692" w:firstLine="0"/>
        <w:jc w:val="left"/>
        <w:rPr>
          <w:sz w:val="21"/>
        </w:rPr>
      </w:pPr>
      <w:r>
        <w:rPr>
          <w:spacing w:val="-5"/>
          <w:sz w:val="21"/>
        </w:rPr>
        <w:t xml:space="preserve">基础数据、运维数据的存储时间不宜低于 </w:t>
      </w:r>
      <w:r>
        <w:rPr>
          <w:sz w:val="21"/>
        </w:rPr>
        <w:t>3</w:t>
      </w:r>
      <w:r>
        <w:rPr>
          <w:spacing w:val="-10"/>
          <w:sz w:val="21"/>
        </w:rPr>
        <w:t xml:space="preserve"> 年，控制数据、运行数据的存储时间不宜低于 </w:t>
      </w:r>
      <w:r>
        <w:rPr>
          <w:sz w:val="21"/>
        </w:rPr>
        <w:t>6</w:t>
      </w:r>
      <w:r>
        <w:rPr>
          <w:spacing w:val="-19"/>
          <w:sz w:val="21"/>
        </w:rPr>
        <w:t xml:space="preserve"> 个月。 </w:t>
      </w:r>
    </w:p>
    <w:p>
      <w:pPr>
        <w:pStyle w:val="ListParagraph"/>
        <w:numPr>
          <w:ilvl w:val="2"/>
          <w:numId w:val="2"/>
        </w:numPr>
        <w:tabs>
          <w:tab w:val="left" w:pos="867"/>
          <w:tab w:val="left" w:pos="868"/>
        </w:tabs>
        <w:spacing w:before="0" w:after="0" w:line="278" w:lineRule="auto"/>
        <w:ind w:left="132" w:right="692" w:firstLine="0"/>
        <w:jc w:val="left"/>
        <w:rPr>
          <w:sz w:val="21"/>
        </w:rPr>
      </w:pPr>
      <w:r>
        <w:rPr>
          <w:spacing w:val="-3"/>
          <w:sz w:val="21"/>
        </w:rPr>
        <w:t xml:space="preserve">系统应根据数据的要素构成提供对应数据表的创建索引、数据存储的参数和数据库存储对象空间使用参数等，宜充分利用存储空间提高存储效率、支持多数据库分布式事务处理功能。 </w:t>
      </w:r>
    </w:p>
    <w:p>
      <w:pPr>
        <w:pStyle w:val="ListParagraph"/>
        <w:numPr>
          <w:ilvl w:val="2"/>
          <w:numId w:val="2"/>
        </w:numPr>
        <w:tabs>
          <w:tab w:val="left" w:pos="867"/>
          <w:tab w:val="left" w:pos="868"/>
        </w:tabs>
        <w:spacing w:before="0" w:after="0" w:line="269" w:lineRule="exact"/>
        <w:ind w:left="867" w:right="0" w:hanging="736"/>
        <w:jc w:val="left"/>
        <w:rPr>
          <w:sz w:val="21"/>
        </w:rPr>
      </w:pPr>
      <w:r>
        <w:rPr>
          <w:spacing w:val="-3"/>
          <w:sz w:val="21"/>
        </w:rPr>
        <w:t>系统应核实数据存储后的准确度，宜实现数据存储准确度的自动校验。</w:t>
      </w:r>
      <w:r>
        <w:rPr>
          <w:sz w:val="21"/>
        </w:rPr>
        <w:t xml:space="preserve"> </w:t>
      </w:r>
    </w:p>
    <w:p>
      <w:pPr>
        <w:pStyle w:val="ListParagraph"/>
        <w:numPr>
          <w:ilvl w:val="2"/>
          <w:numId w:val="2"/>
        </w:numPr>
        <w:tabs>
          <w:tab w:val="left" w:pos="867"/>
          <w:tab w:val="left" w:pos="868"/>
        </w:tabs>
        <w:spacing w:before="42" w:after="0" w:line="240" w:lineRule="auto"/>
        <w:ind w:left="867" w:right="0" w:hanging="736"/>
        <w:jc w:val="left"/>
        <w:rPr>
          <w:sz w:val="21"/>
        </w:rPr>
      </w:pPr>
      <w:r>
        <w:rPr>
          <w:spacing w:val="-3"/>
          <w:sz w:val="21"/>
        </w:rPr>
        <w:t>系统应保证数据处理与交换格式相对固定，宜选择可伸缩、可扩展的数据存储与管理软件。</w:t>
      </w:r>
      <w:r>
        <w:rPr>
          <w:sz w:val="21"/>
        </w:rPr>
        <w:t xml:space="preserve"> </w:t>
      </w:r>
    </w:p>
    <w:p>
      <w:pPr>
        <w:spacing w:after="0" w:line="240" w:lineRule="auto"/>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5" w:history="1">
        <w:r>
          <w:rPr>
            <w:rFonts w:ascii="SimSun" w:eastAsia="SimSun" w:hAnsi="SimSun" w:cs="SimSun"/>
            <w:b/>
            <w:bCs/>
            <w:color w:val="0000EE"/>
            <w:sz w:val="30"/>
            <w:szCs w:val="30"/>
            <w:u w:val="single" w:color="0000EE"/>
          </w:rPr>
          <w:t>https://d.book118.com/697142043000006055</w:t>
        </w:r>
      </w:hyperlink>
    </w:p>
    <w:p>
      <w:pPr>
        <w:spacing w:after="0" w:line="240" w:lineRule="auto"/>
        <w:jc w:val="left"/>
        <w:rPr>
          <w:sz w:val="21"/>
        </w:rPr>
      </w:pPr>
    </w:p>
    <w:sectPr>
      <w:headerReference w:type="even" r:id="rId26"/>
      <w:headerReference w:type="default" r:id="rId27"/>
      <w:footerReference w:type="even" r:id="rId28"/>
      <w:footerReference w:type="default" r:id="rId29"/>
      <w:pgSz w:w="11910" w:h="16840"/>
      <w:pgMar w:top="1640" w:right="720" w:bottom="1340" w:left="1000" w:header="1448" w:footer="1141"/>
      <w:pgNumType w:start="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5.5pt;height:11pt;margin-top:773.88pt;margin-left:65.5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7.5pt;height:11pt;margin-top:773.88pt;margin-left:515.38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r>
                  <w:rPr>
                    <w:sz w:val="18"/>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7.5pt;height:11pt;margin-top:773.88pt;margin-left:63.5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r>
                  <w:rPr>
                    <w:sz w:val="18"/>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7.5pt;height:11pt;margin-top:773.88pt;margin-left:515.38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r>
                  <w:rPr>
                    <w:sz w:val="18"/>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1.1pt;height:11pt;margin-top:773.88pt;margin-left:521.82pt;mso-position-horizontal-relative:page;mso-position-vertical-relative:page;position:absolute;z-index:-251658240" filled="f" stroked="f">
          <v:textbox inset="0,0,0,0">
            <w:txbxContent>
              <w:p>
                <w:pPr>
                  <w:spacing w:before="0" w:line="220" w:lineRule="exact"/>
                  <w:ind w:left="20" w:right="0" w:firstLine="0"/>
                  <w:jc w:val="left"/>
                  <w:rPr>
                    <w:sz w:val="18"/>
                  </w:rPr>
                </w:pPr>
                <w:r>
                  <w:rPr>
                    <w:sz w:val="18"/>
                  </w:rPr>
                  <w:t xml:space="preserve">I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5pt;height:11pt;margin-top:773.88pt;margin-left:65.5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1.1pt;height:11pt;margin-top:773.88pt;margin-left:521.82pt;mso-position-horizontal-relative:page;mso-position-vertical-relative:page;position:absolute;z-index:-251656192" filled="f" stroked="f">
          <v:textbox inset="0,0,0,0">
            <w:txbxContent>
              <w:p>
                <w:pPr>
                  <w:spacing w:before="0" w:line="220" w:lineRule="exact"/>
                  <w:ind w:left="20" w:right="0" w:firstLine="0"/>
                  <w:jc w:val="left"/>
                  <w:rPr>
                    <w:sz w:val="18"/>
                  </w:rPr>
                </w:pPr>
                <w:r>
                  <w:rPr>
                    <w:sz w:val="18"/>
                  </w:rPr>
                  <w:t xml:space="preserve">I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7.5pt;height:11pt;margin-top:773.88pt;margin-left:63.5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7.5pt;height:11pt;margin-top:773.88pt;margin-left:515.38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r>
                  <w:rPr>
                    <w:sz w:val="18"/>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7.5pt;height:11pt;margin-top:773.88pt;margin-left:63.5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r>
                  <w:rPr>
                    <w:sz w:val="18"/>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7.5pt;height:11pt;margin-top:773.88pt;margin-left:515.38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17</w:t>
                </w:r>
                <w:r>
                  <w:fldChar w:fldCharType="end"/>
                </w:r>
                <w:r>
                  <w:rPr>
                    <w:sz w:val="18"/>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7.5pt;height:11pt;margin-top:773.88pt;margin-left:63.5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45pt;height:12.6pt;margin-top:71.4pt;margin-left:55.64pt;mso-position-horizontal-relative:page;mso-position-vertical-relative:page;position:absolute;z-index:-251657216"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45pt;height:12.6pt;margin-top:71.4pt;margin-left:448.38pt;mso-position-horizontal-relative:page;mso-position-vertical-relative:page;position:absolute;z-index:-251650048"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91.45pt;height:12.6pt;margin-top:71.4pt;margin-left:55.64pt;mso-position-horizontal-relative:page;mso-position-vertical-relative:page;position:absolute;z-index:-251646976"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1.45pt;height:12.6pt;margin-top:71.4pt;margin-left:448.38pt;mso-position-horizontal-relative:page;mso-position-vertical-relative:page;position:absolute;z-index:-251648000"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45pt;height:12.6pt;margin-top:71.4pt;margin-left:448.38pt;mso-position-horizontal-relative:page;mso-position-vertical-relative:page;position:absolute;z-index:-251658240"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45pt;height:12.6pt;margin-top:71.4pt;margin-left:55.64pt;mso-position-horizontal-relative:page;mso-position-vertical-relative:page;position:absolute;z-index:-251655168"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45pt;height:12.6pt;margin-top:71.4pt;margin-left:448.38pt;mso-position-horizontal-relative:page;mso-position-vertical-relative:page;position:absolute;z-index:-251656192"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45pt;height:12.6pt;margin-top:71.4pt;margin-left:55.64pt;mso-position-horizontal-relative:page;mso-position-vertical-relative:page;position:absolute;z-index:-251653120"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45pt;height:12.6pt;margin-top:71.4pt;margin-left:448.38pt;mso-position-horizontal-relative:page;mso-position-vertical-relative:page;position:absolute;z-index:-251654144"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45pt;height:12.6pt;margin-top:71.4pt;margin-left:55.64pt;mso-position-horizontal-relative:page;mso-position-vertical-relative:page;position:absolute;z-index:-251651072"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45pt;height:12.6pt;margin-top:71.4pt;margin-left:448.38pt;mso-position-horizontal-relative:page;mso-position-vertical-relative:page;position:absolute;z-index:-251652096"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1.45pt;height:12.6pt;margin-top:71.4pt;margin-left:55.64pt;mso-position-horizontal-relative:page;mso-position-vertical-relative:page;position:absolute;z-index:-251649024" filled="f" stroked="f">
          <v:textbox inset="0,0,0,0">
            <w:txbxContent>
              <w:p>
                <w:pPr>
                  <w:pStyle w:val="BodyText"/>
                  <w:spacing w:line="251" w:lineRule="exact"/>
                  <w:ind w:left="20"/>
                  <w:rPr>
                    <w:rFonts w:ascii="黑体" w:hAnsi="黑体"/>
                  </w:rPr>
                </w:pPr>
                <w:r>
                  <w:rPr>
                    <w:rFonts w:ascii="黑体" w:hAnsi="黑体"/>
                  </w:rPr>
                  <w:t>DB45/T 2665</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99803"/>
    <w:multiLevelType w:val="hybridMultilevel"/>
    <w:tmpl w:val="00000000"/>
    <w:lvl w:ilvl="0">
      <w:start w:val="2"/>
      <w:numFmt w:val="upperLetter"/>
      <w:lvlText w:val="%1"/>
      <w:lvlJc w:val="left"/>
      <w:pPr>
        <w:ind w:left="944" w:hanging="526"/>
        <w:jc w:val="left"/>
      </w:pPr>
      <w:rPr>
        <w:rFonts w:hint="default"/>
        <w:lang w:val="en-US" w:eastAsia="en-US" w:bidi="ar-SA"/>
      </w:rPr>
    </w:lvl>
    <w:lvl w:ilvl="1">
      <w:start w:val="1"/>
      <w:numFmt w:val="decimal"/>
      <w:lvlText w:val="%1.%2"/>
      <w:lvlJc w:val="left"/>
      <w:pPr>
        <w:ind w:left="944" w:hanging="526"/>
        <w:jc w:val="right"/>
      </w:pPr>
      <w:rPr>
        <w:rFonts w:ascii="黑体" w:eastAsia="黑体" w:hAnsi="黑体" w:cs="黑体" w:hint="default"/>
        <w:w w:val="100"/>
        <w:sz w:val="21"/>
        <w:szCs w:val="21"/>
        <w:lang w:val="en-US" w:eastAsia="en-US" w:bidi="ar-SA"/>
      </w:rPr>
    </w:lvl>
    <w:lvl w:ilvl="2">
      <w:start w:val="1"/>
      <w:numFmt w:val="decimal"/>
      <w:lvlText w:val="%1.%2.%3"/>
      <w:lvlJc w:val="left"/>
      <w:pPr>
        <w:ind w:left="1153"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1364" w:hanging="946"/>
        <w:jc w:val="right"/>
      </w:pPr>
      <w:rPr>
        <w:rFonts w:ascii="黑体" w:eastAsia="黑体" w:hAnsi="黑体" w:cs="黑体" w:hint="default"/>
        <w:spacing w:val="-3"/>
        <w:w w:val="100"/>
        <w:sz w:val="21"/>
        <w:szCs w:val="21"/>
        <w:lang w:val="en-US" w:eastAsia="en-US" w:bidi="ar-SA"/>
      </w:rPr>
    </w:lvl>
    <w:lvl w:ilvl="4">
      <w:start w:val="0"/>
      <w:numFmt w:val="bullet"/>
      <w:lvlText w:val="•"/>
      <w:lvlJc w:val="left"/>
      <w:pPr>
        <w:ind w:left="2620" w:hanging="946"/>
      </w:pPr>
      <w:rPr>
        <w:rFonts w:hint="default"/>
        <w:lang w:val="en-US" w:eastAsia="en-US" w:bidi="ar-SA"/>
      </w:rPr>
    </w:lvl>
    <w:lvl w:ilvl="5">
      <w:start w:val="0"/>
      <w:numFmt w:val="bullet"/>
      <w:lvlText w:val="•"/>
      <w:lvlJc w:val="left"/>
      <w:pPr>
        <w:ind w:left="3881" w:hanging="946"/>
      </w:pPr>
      <w:rPr>
        <w:rFonts w:hint="default"/>
        <w:lang w:val="en-US" w:eastAsia="en-US" w:bidi="ar-SA"/>
      </w:rPr>
    </w:lvl>
    <w:lvl w:ilvl="6">
      <w:start w:val="0"/>
      <w:numFmt w:val="bullet"/>
      <w:lvlText w:val="•"/>
      <w:lvlJc w:val="left"/>
      <w:pPr>
        <w:ind w:left="5142" w:hanging="946"/>
      </w:pPr>
      <w:rPr>
        <w:rFonts w:hint="default"/>
        <w:lang w:val="en-US" w:eastAsia="en-US" w:bidi="ar-SA"/>
      </w:rPr>
    </w:lvl>
    <w:lvl w:ilvl="7">
      <w:start w:val="0"/>
      <w:numFmt w:val="bullet"/>
      <w:lvlText w:val="•"/>
      <w:lvlJc w:val="left"/>
      <w:pPr>
        <w:ind w:left="6403" w:hanging="946"/>
      </w:pPr>
      <w:rPr>
        <w:rFonts w:hint="default"/>
        <w:lang w:val="en-US" w:eastAsia="en-US" w:bidi="ar-SA"/>
      </w:rPr>
    </w:lvl>
    <w:lvl w:ilvl="8">
      <w:start w:val="0"/>
      <w:numFmt w:val="bullet"/>
      <w:lvlText w:val="•"/>
      <w:lvlJc w:val="left"/>
      <w:pPr>
        <w:ind w:left="7664" w:hanging="946"/>
      </w:pPr>
      <w:rPr>
        <w:rFonts w:hint="default"/>
        <w:lang w:val="en-US" w:eastAsia="en-US" w:bidi="ar-SA"/>
      </w:rPr>
    </w:lvl>
  </w:abstractNum>
  <w:abstractNum w:abstractNumId="1">
    <w:nsid w:val="5D1E2AC0"/>
    <w:multiLevelType w:val="hybridMultilevel"/>
    <w:tmpl w:val="00000000"/>
    <w:lvl w:ilvl="0">
      <w:start w:val="1"/>
      <w:numFmt w:val="decimal"/>
      <w:lvlText w:val="%1"/>
      <w:lvlJc w:val="left"/>
      <w:pPr>
        <w:ind w:left="733" w:hanging="315"/>
        <w:jc w:val="right"/>
      </w:pPr>
      <w:rPr>
        <w:rFonts w:ascii="黑体" w:eastAsia="黑体" w:hAnsi="黑体" w:cs="黑体" w:hint="default"/>
        <w:w w:val="100"/>
        <w:sz w:val="21"/>
        <w:szCs w:val="21"/>
        <w:lang w:val="en-US" w:eastAsia="en-US" w:bidi="ar-SA"/>
      </w:rPr>
    </w:lvl>
    <w:lvl w:ilvl="1">
      <w:start w:val="1"/>
      <w:numFmt w:val="decimal"/>
      <w:lvlText w:val="%1.%2"/>
      <w:lvlJc w:val="left"/>
      <w:pPr>
        <w:ind w:left="736" w:hanging="318"/>
        <w:jc w:val="left"/>
      </w:pPr>
      <w:rPr>
        <w:rFonts w:ascii="黑体" w:eastAsia="黑体" w:hAnsi="黑体" w:cs="黑体" w:hint="default"/>
        <w:w w:val="100"/>
        <w:sz w:val="19"/>
        <w:szCs w:val="19"/>
        <w:lang w:val="en-US" w:eastAsia="en-US" w:bidi="ar-SA"/>
      </w:rPr>
    </w:lvl>
    <w:lvl w:ilvl="2">
      <w:start w:val="1"/>
      <w:numFmt w:val="decimal"/>
      <w:lvlText w:val="%1.%2.%3"/>
      <w:lvlJc w:val="left"/>
      <w:pPr>
        <w:ind w:left="132"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740" w:hanging="735"/>
      </w:pPr>
      <w:rPr>
        <w:rFonts w:hint="default"/>
        <w:lang w:val="en-US" w:eastAsia="en-US" w:bidi="ar-SA"/>
      </w:rPr>
    </w:lvl>
    <w:lvl w:ilvl="4">
      <w:start w:val="0"/>
      <w:numFmt w:val="bullet"/>
      <w:lvlText w:val="•"/>
      <w:lvlJc w:val="left"/>
      <w:pPr>
        <w:ind w:left="860" w:hanging="735"/>
      </w:pPr>
      <w:rPr>
        <w:rFonts w:hint="default"/>
        <w:lang w:val="en-US" w:eastAsia="en-US" w:bidi="ar-SA"/>
      </w:rPr>
    </w:lvl>
    <w:lvl w:ilvl="5">
      <w:start w:val="0"/>
      <w:numFmt w:val="bullet"/>
      <w:lvlText w:val="•"/>
      <w:lvlJc w:val="left"/>
      <w:pPr>
        <w:ind w:left="940" w:hanging="735"/>
      </w:pPr>
      <w:rPr>
        <w:rFonts w:hint="default"/>
        <w:lang w:val="en-US" w:eastAsia="en-US" w:bidi="ar-SA"/>
      </w:rPr>
    </w:lvl>
    <w:lvl w:ilvl="6">
      <w:start w:val="0"/>
      <w:numFmt w:val="bullet"/>
      <w:lvlText w:val="•"/>
      <w:lvlJc w:val="left"/>
      <w:pPr>
        <w:ind w:left="1160" w:hanging="735"/>
      </w:pPr>
      <w:rPr>
        <w:rFonts w:hint="default"/>
        <w:lang w:val="en-US" w:eastAsia="en-US" w:bidi="ar-SA"/>
      </w:rPr>
    </w:lvl>
    <w:lvl w:ilvl="7">
      <w:start w:val="0"/>
      <w:numFmt w:val="bullet"/>
      <w:lvlText w:val="•"/>
      <w:lvlJc w:val="left"/>
      <w:pPr>
        <w:ind w:left="3416" w:hanging="735"/>
      </w:pPr>
      <w:rPr>
        <w:rFonts w:hint="default"/>
        <w:lang w:val="en-US" w:eastAsia="en-US" w:bidi="ar-SA"/>
      </w:rPr>
    </w:lvl>
    <w:lvl w:ilvl="8">
      <w:start w:val="0"/>
      <w:numFmt w:val="bullet"/>
      <w:lvlText w:val="•"/>
      <w:lvlJc w:val="left"/>
      <w:pPr>
        <w:ind w:left="5673" w:hanging="735"/>
      </w:pPr>
      <w:rPr>
        <w:rFonts w:hint="default"/>
        <w:lang w:val="en-US" w:eastAsia="en-US" w:bidi="ar-SA"/>
      </w:rPr>
    </w:lvl>
  </w:abstractNum>
  <w:abstractNum w:abstractNumId="2">
    <w:nsid w:val="604BE13D"/>
    <w:multiLevelType w:val="hybridMultilevel"/>
    <w:tmpl w:val="00000000"/>
    <w:lvl w:ilvl="0">
      <w:start w:val="1"/>
      <w:numFmt w:val="decimal"/>
      <w:lvlText w:val="%1"/>
      <w:lvlJc w:val="left"/>
      <w:pPr>
        <w:ind w:left="733" w:hanging="315"/>
        <w:jc w:val="right"/>
      </w:pPr>
      <w:rPr>
        <w:rFonts w:ascii="黑体" w:eastAsia="黑体" w:hAnsi="黑体" w:cs="黑体" w:hint="default"/>
        <w:w w:val="100"/>
        <w:sz w:val="21"/>
        <w:szCs w:val="21"/>
        <w:lang w:val="en-US" w:eastAsia="en-US" w:bidi="ar-SA"/>
      </w:rPr>
    </w:lvl>
    <w:lvl w:ilvl="1">
      <w:start w:val="1"/>
      <w:numFmt w:val="decimal"/>
      <w:lvlText w:val="%1.%2"/>
      <w:lvlJc w:val="left"/>
      <w:pPr>
        <w:ind w:left="736" w:hanging="318"/>
        <w:jc w:val="left"/>
      </w:pPr>
      <w:rPr>
        <w:rFonts w:ascii="黑体" w:eastAsia="黑体" w:hAnsi="黑体" w:cs="黑体" w:hint="default"/>
        <w:w w:val="100"/>
        <w:sz w:val="19"/>
        <w:szCs w:val="19"/>
        <w:lang w:val="en-US" w:eastAsia="en-US" w:bidi="ar-SA"/>
      </w:rPr>
    </w:lvl>
    <w:lvl w:ilvl="2">
      <w:start w:val="1"/>
      <w:numFmt w:val="decimal"/>
      <w:lvlText w:val="%1.%2.%3"/>
      <w:lvlJc w:val="left"/>
      <w:pPr>
        <w:ind w:left="132" w:hanging="735"/>
        <w:jc w:val="left"/>
      </w:pPr>
      <w:rPr>
        <w:rFonts w:ascii="黑体" w:eastAsia="黑体" w:hAnsi="黑体" w:cs="黑体" w:hint="default"/>
        <w:w w:val="100"/>
        <w:sz w:val="21"/>
        <w:szCs w:val="21"/>
        <w:lang w:val="en-US" w:eastAsia="en-US" w:bidi="ar-SA"/>
      </w:rPr>
    </w:lvl>
    <w:lvl w:ilvl="3">
      <w:start w:val="0"/>
      <w:numFmt w:val="bullet"/>
      <w:lvlText w:val="•"/>
      <w:lvlJc w:val="left"/>
      <w:pPr>
        <w:ind w:left="740" w:hanging="735"/>
      </w:pPr>
      <w:rPr>
        <w:rFonts w:hint="default"/>
        <w:lang w:val="en-US" w:eastAsia="en-US" w:bidi="ar-SA"/>
      </w:rPr>
    </w:lvl>
    <w:lvl w:ilvl="4">
      <w:start w:val="0"/>
      <w:numFmt w:val="bullet"/>
      <w:lvlText w:val="•"/>
      <w:lvlJc w:val="left"/>
      <w:pPr>
        <w:ind w:left="860" w:hanging="735"/>
      </w:pPr>
      <w:rPr>
        <w:rFonts w:hint="default"/>
        <w:lang w:val="en-US" w:eastAsia="en-US" w:bidi="ar-SA"/>
      </w:rPr>
    </w:lvl>
    <w:lvl w:ilvl="5">
      <w:start w:val="0"/>
      <w:numFmt w:val="bullet"/>
      <w:lvlText w:val="•"/>
      <w:lvlJc w:val="left"/>
      <w:pPr>
        <w:ind w:left="940" w:hanging="735"/>
      </w:pPr>
      <w:rPr>
        <w:rFonts w:hint="default"/>
        <w:lang w:val="en-US" w:eastAsia="en-US" w:bidi="ar-SA"/>
      </w:rPr>
    </w:lvl>
    <w:lvl w:ilvl="6">
      <w:start w:val="0"/>
      <w:numFmt w:val="bullet"/>
      <w:lvlText w:val="•"/>
      <w:lvlJc w:val="left"/>
      <w:pPr>
        <w:ind w:left="1160" w:hanging="735"/>
      </w:pPr>
      <w:rPr>
        <w:rFonts w:hint="default"/>
        <w:lang w:val="en-US" w:eastAsia="en-US" w:bidi="ar-SA"/>
      </w:rPr>
    </w:lvl>
    <w:lvl w:ilvl="7">
      <w:start w:val="0"/>
      <w:numFmt w:val="bullet"/>
      <w:lvlText w:val="•"/>
      <w:lvlJc w:val="left"/>
      <w:pPr>
        <w:ind w:left="3416" w:hanging="735"/>
      </w:pPr>
      <w:rPr>
        <w:rFonts w:hint="default"/>
        <w:lang w:val="en-US" w:eastAsia="en-US" w:bidi="ar-SA"/>
      </w:rPr>
    </w:lvl>
    <w:lvl w:ilvl="8">
      <w:start w:val="0"/>
      <w:numFmt w:val="bullet"/>
      <w:lvlText w:val="•"/>
      <w:lvlJc w:val="left"/>
      <w:pPr>
        <w:ind w:left="5673" w:hanging="735"/>
      </w:pPr>
      <w:rPr>
        <w:rFonts w:hint="default"/>
        <w:lang w:val="en-US" w:eastAsia="en-US" w:bidi="ar-SA"/>
      </w:rPr>
    </w:lvl>
  </w:abstractNum>
  <w:abstractNum w:abstractNumId="3">
    <w:nsid w:val="6532C91E"/>
    <w:multiLevelType w:val="hybridMultilevel"/>
    <w:tmpl w:val="00000000"/>
    <w:lvl w:ilvl="0">
      <w:start w:val="7"/>
      <w:numFmt w:val="decimal"/>
      <w:lvlText w:val="%1"/>
      <w:lvlJc w:val="left"/>
      <w:pPr>
        <w:ind w:left="947" w:hanging="318"/>
        <w:jc w:val="left"/>
      </w:pPr>
      <w:rPr>
        <w:rFonts w:hint="default"/>
        <w:lang w:val="en-US" w:eastAsia="en-US" w:bidi="ar-SA"/>
      </w:rPr>
    </w:lvl>
    <w:lvl w:ilvl="1">
      <w:start w:val="2"/>
      <w:numFmt w:val="decimal"/>
      <w:lvlText w:val="%1.%2"/>
      <w:lvlJc w:val="left"/>
      <w:pPr>
        <w:ind w:left="947" w:hanging="318"/>
        <w:jc w:val="left"/>
      </w:pPr>
      <w:rPr>
        <w:rFonts w:ascii="宋体" w:eastAsia="宋体" w:hAnsi="宋体" w:cs="宋体" w:hint="default"/>
        <w:w w:val="100"/>
        <w:sz w:val="19"/>
        <w:szCs w:val="19"/>
        <w:lang w:val="en-US" w:eastAsia="en-US" w:bidi="ar-SA"/>
      </w:rPr>
    </w:lvl>
    <w:lvl w:ilvl="2">
      <w:start w:val="0"/>
      <w:numFmt w:val="bullet"/>
      <w:lvlText w:val="•"/>
      <w:lvlJc w:val="left"/>
      <w:pPr>
        <w:ind w:left="2789" w:hanging="318"/>
      </w:pPr>
      <w:rPr>
        <w:rFonts w:hint="default"/>
        <w:lang w:val="en-US" w:eastAsia="en-US" w:bidi="ar-SA"/>
      </w:rPr>
    </w:lvl>
    <w:lvl w:ilvl="3">
      <w:start w:val="0"/>
      <w:numFmt w:val="bullet"/>
      <w:lvlText w:val="•"/>
      <w:lvlJc w:val="left"/>
      <w:pPr>
        <w:ind w:left="3713" w:hanging="318"/>
      </w:pPr>
      <w:rPr>
        <w:rFonts w:hint="default"/>
        <w:lang w:val="en-US" w:eastAsia="en-US" w:bidi="ar-SA"/>
      </w:rPr>
    </w:lvl>
    <w:lvl w:ilvl="4">
      <w:start w:val="0"/>
      <w:numFmt w:val="bullet"/>
      <w:lvlText w:val="•"/>
      <w:lvlJc w:val="left"/>
      <w:pPr>
        <w:ind w:left="4638" w:hanging="318"/>
      </w:pPr>
      <w:rPr>
        <w:rFonts w:hint="default"/>
        <w:lang w:val="en-US" w:eastAsia="en-US" w:bidi="ar-SA"/>
      </w:rPr>
    </w:lvl>
    <w:lvl w:ilvl="5">
      <w:start w:val="0"/>
      <w:numFmt w:val="bullet"/>
      <w:lvlText w:val="•"/>
      <w:lvlJc w:val="left"/>
      <w:pPr>
        <w:ind w:left="5563" w:hanging="318"/>
      </w:pPr>
      <w:rPr>
        <w:rFonts w:hint="default"/>
        <w:lang w:val="en-US" w:eastAsia="en-US" w:bidi="ar-SA"/>
      </w:rPr>
    </w:lvl>
    <w:lvl w:ilvl="6">
      <w:start w:val="0"/>
      <w:numFmt w:val="bullet"/>
      <w:lvlText w:val="•"/>
      <w:lvlJc w:val="left"/>
      <w:pPr>
        <w:ind w:left="6487" w:hanging="318"/>
      </w:pPr>
      <w:rPr>
        <w:rFonts w:hint="default"/>
        <w:lang w:val="en-US" w:eastAsia="en-US" w:bidi="ar-SA"/>
      </w:rPr>
    </w:lvl>
    <w:lvl w:ilvl="7">
      <w:start w:val="0"/>
      <w:numFmt w:val="bullet"/>
      <w:lvlText w:val="•"/>
      <w:lvlJc w:val="left"/>
      <w:pPr>
        <w:ind w:left="7412" w:hanging="318"/>
      </w:pPr>
      <w:rPr>
        <w:rFonts w:hint="default"/>
        <w:lang w:val="en-US" w:eastAsia="en-US" w:bidi="ar-SA"/>
      </w:rPr>
    </w:lvl>
    <w:lvl w:ilvl="8">
      <w:start w:val="0"/>
      <w:numFmt w:val="bullet"/>
      <w:lvlText w:val="•"/>
      <w:lvlJc w:val="left"/>
      <w:pPr>
        <w:ind w:left="8337" w:hanging="318"/>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4"/>
      <w:jc w:val="center"/>
      <w:outlineLvl w:val="0"/>
    </w:pPr>
    <w:rPr>
      <w:rFonts w:ascii="黑体" w:eastAsia="黑体" w:hAnsi="黑体" w:cs="黑体"/>
      <w:sz w:val="32"/>
      <w:szCs w:val="32"/>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ind w:left="291"/>
      <w:jc w:val="center"/>
    </w:pPr>
    <w:rPr>
      <w:rFonts w:ascii="黑体" w:eastAsia="黑体" w:hAnsi="黑体" w:cs="黑体"/>
      <w:sz w:val="52"/>
      <w:szCs w:val="52"/>
      <w:lang w:val="en-US" w:eastAsia="en-US" w:bidi="ar-SA"/>
    </w:rPr>
  </w:style>
  <w:style w:type="paragraph" w:styleId="ListParagraph">
    <w:name w:val="List Paragraph"/>
    <w:basedOn w:val="Normal"/>
    <w:uiPriority w:val="1"/>
    <w:qFormat/>
    <w:pPr>
      <w:ind w:left="1153" w:hanging="736"/>
    </w:pPr>
    <w:rPr>
      <w:rFonts w:ascii="宋体" w:eastAsia="宋体" w:hAnsi="宋体" w:cs="宋体"/>
      <w:lang w:val="en-US" w:eastAsia="en-US" w:bidi="ar-SA"/>
    </w:rPr>
  </w:style>
  <w:style w:type="paragraph" w:customStyle="1" w:styleId="TableParagraph">
    <w:name w:val="Table Paragraph"/>
    <w:basedOn w:val="Normal"/>
    <w:uiPriority w:val="1"/>
    <w:qFormat/>
    <w:pPr>
      <w:spacing w:before="38"/>
      <w:ind w:left="236"/>
      <w:jc w:val="center"/>
    </w:pPr>
    <w:rPr>
      <w:rFonts w:ascii="宋体" w:eastAsia="宋体" w:hAnsi="宋体" w:cs="宋体"/>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yperlink" Target="https://d.book118.com/697142043000006055" TargetMode="Externa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footer" Target="footer11.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User</dc:creator>
  <cp:revision>0</cp:revision>
  <dcterms:created xsi:type="dcterms:W3CDTF">2024-03-21T11:37:33Z</dcterms:created>
  <dcterms:modified xsi:type="dcterms:W3CDTF">2024-03-21T11:37:33Z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Microsoft® Word 2010</vt:lpwstr>
  </property>
  <property fmtid="{D5CDD505-2E9C-101B-9397-08002B2CF9AE}" pid="4" name="LastSaved">
    <vt:filetime>2024-03-21T00:00:00Z</vt:filetime>
  </property>
</Properties>
</file>