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D57">
      <w:pPr>
        <w:pStyle w:val="Heading1"/>
        <w:spacing w:after="120"/>
        <w:jc w:val="center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b w:val="0"/>
          <w:bCs w:val="0"/>
          <w:sz w:val="32"/>
        </w:rPr>
        <w:t>施工方案</w:t>
      </w:r>
    </w:p>
    <w:p w:rsidR="00674D57">
      <w:pPr>
        <w:pStyle w:val="Heading2"/>
        <w:spacing w:before="120" w:after="120" w:line="560" w:lineRule="exact"/>
        <w:ind w:firstLine="640" w:firstLineChars="200"/>
        <w:rPr>
          <w:rFonts w:ascii="仿宋_GB2312" w:eastAsia="仿宋_GB2312" w:hint="eastAsia"/>
        </w:rPr>
      </w:pPr>
      <w:r>
        <w:rPr>
          <w:rFonts w:ascii="仿宋_GB2312" w:eastAsia="仿宋_GB2312" w:hint="eastAsia"/>
          <w:b w:val="0"/>
          <w:bCs w:val="0"/>
        </w:rPr>
        <w:t>1、工程概况</w:t>
      </w:r>
    </w:p>
    <w:p w:rsidR="00674D57">
      <w:pPr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1.1工程概述</w:t>
      </w:r>
    </w:p>
    <w:p w:rsidR="00674D57">
      <w:pPr>
        <w:pStyle w:val="a"/>
        <w:spacing w:line="560" w:lineRule="exact"/>
        <w:rPr>
          <w:rFonts w:hint="eastAsia"/>
        </w:rPr>
      </w:pPr>
      <w:r>
        <w:rPr>
          <w:rFonts w:hint="eastAsia"/>
        </w:rPr>
        <w:t>本工程为长沙宏程房地产开发有限公司投资兴建和西街花园A18#-A21#工程，由浙江南方建筑勘察设计有限公司设计，建设地点在长沙市芙蓉区人民东路以南，小高岭路以东。本工程高度为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"/>
          <w:attr w:name="TCSC" w:val="0"/>
          <w:attr w:name="UnitName" w:val="米"/>
        </w:smartTagPr>
        <w:r>
          <w:rPr>
            <w:rFonts w:hint="eastAsia"/>
          </w:rPr>
          <w:t>16米</w:t>
        </w:r>
      </w:smartTag>
      <w:r>
        <w:rPr>
          <w:rFonts w:hint="eastAsia"/>
        </w:rPr>
        <w:t>，由四栋五层住宅楼带一层地下室（A18、A19、A20、A21＃）和一层独立半地下车库组成。车库位于这四栋住宅楼地下围和之间。</w:t>
      </w:r>
    </w:p>
    <w:p w:rsidR="00674D57">
      <w:pPr>
        <w:pStyle w:val="a"/>
        <w:spacing w:line="560" w:lineRule="exact"/>
        <w:rPr>
          <w:rFonts w:hint="eastAsia"/>
        </w:rPr>
      </w:pPr>
      <w:r>
        <w:rPr>
          <w:rFonts w:hint="eastAsia"/>
        </w:rPr>
        <w:t>本工程总建筑面积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3852"/>
          <w:attr w:name="TCSC" w:val="0"/>
          <w:attr w:name="UnitName" w:val="平方米"/>
        </w:smartTagPr>
        <w:r>
          <w:t>13852</w:t>
        </w:r>
        <w:r>
          <w:rPr>
            <w:rFonts w:hint="eastAsia"/>
          </w:rPr>
          <w:t>平方米</w:t>
        </w:r>
      </w:smartTag>
      <w:r>
        <w:rPr>
          <w:rFonts w:hint="eastAsia"/>
        </w:rPr>
        <w:t>，其中,A18建筑面积为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135"/>
          <w:attr w:name="TCSC" w:val="0"/>
          <w:attr w:name="UnitName" w:val="平方米"/>
        </w:smartTagPr>
        <w:r>
          <w:rPr>
            <w:rFonts w:hint="eastAsia"/>
          </w:rPr>
          <w:t>3135平方米</w:t>
        </w:r>
      </w:smartTag>
      <w:r>
        <w:rPr>
          <w:rFonts w:hint="eastAsia"/>
        </w:rPr>
        <w:t>，A19建筑面积为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21"/>
          <w:attr w:name="TCSC" w:val="0"/>
          <w:attr w:name="UnitName" w:val="平方米"/>
        </w:smartTagPr>
        <w:r>
          <w:rPr>
            <w:rFonts w:hint="eastAsia"/>
          </w:rPr>
          <w:t>3021平方米</w:t>
        </w:r>
      </w:smartTag>
      <w:r>
        <w:rPr>
          <w:rFonts w:hint="eastAsia"/>
        </w:rPr>
        <w:t>，A20建筑面积为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132"/>
          <w:attr w:name="TCSC" w:val="0"/>
          <w:attr w:name="UnitName" w:val="平方米"/>
        </w:smartTagPr>
        <w:r>
          <w:rPr>
            <w:rFonts w:hint="eastAsia"/>
          </w:rPr>
          <w:t>3132平方米</w:t>
        </w:r>
      </w:smartTag>
      <w:r>
        <w:rPr>
          <w:rFonts w:hint="eastAsia"/>
        </w:rPr>
        <w:t>，A21建筑面积为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24"/>
          <w:attr w:name="TCSC" w:val="0"/>
          <w:attr w:name="UnitName" w:val="平方米"/>
        </w:smartTagPr>
        <w:r>
          <w:rPr>
            <w:rFonts w:hint="eastAsia"/>
          </w:rPr>
          <w:t>3024平方米</w:t>
        </w:r>
      </w:smartTag>
      <w:r>
        <w:rPr>
          <w:rFonts w:hint="eastAsia"/>
        </w:rPr>
        <w:t>，车库建筑面积为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40"/>
          <w:attr w:name="TCSC" w:val="0"/>
          <w:attr w:name="UnitName" w:val="平方米"/>
        </w:smartTagPr>
        <w:r>
          <w:rPr>
            <w:rFonts w:hint="eastAsia"/>
          </w:rPr>
          <w:t>1540平方米</w:t>
        </w:r>
      </w:smartTag>
      <w:r>
        <w:rPr>
          <w:rFonts w:hint="eastAsia"/>
        </w:rPr>
        <w:t>。四栋住宅楼均为建筑四类工程，车库为建筑二类工程。</w:t>
      </w:r>
    </w:p>
    <w:p w:rsidR="00674D57">
      <w:pPr>
        <w:pStyle w:val="a"/>
        <w:spacing w:line="560" w:lineRule="exact"/>
        <w:rPr>
          <w:rFonts w:hint="eastAsia"/>
        </w:rPr>
      </w:pPr>
      <w:r>
        <w:t>1.2</w:t>
      </w:r>
      <w:r>
        <w:rPr>
          <w:rFonts w:hint="eastAsia"/>
        </w:rPr>
        <w:t>建筑设计概况</w:t>
      </w:r>
    </w:p>
    <w:p w:rsidR="00674D57">
      <w:pPr>
        <w:pStyle w:val="a"/>
        <w:spacing w:line="560" w:lineRule="exact"/>
        <w:rPr>
          <w:rFonts w:hint="eastAsia"/>
        </w:rPr>
      </w:pPr>
      <w:r>
        <w:rPr>
          <w:rFonts w:hint="eastAsia"/>
        </w:rPr>
        <w:t>本工程四栋住宅平面布置均呈错位一字型，对称排列。带独立半地下车库，彻底实现人车分流；多层建筑楼层符合人体工程学要求；充满人性化的建筑设计，独特的造型；建筑容积率低，强调户户朝南、南北通透、大开间、短进深设计；是一个富有人文情怀的休闲地和充满人性关怀的居所设计。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/>
          <w:sz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32"/>
        </w:rPr>
        <w:t>屋面做法：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32"/>
        </w:rPr>
        <w:t>.1保温层屋面做法（自上而下）：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（1）40厚C20细石混凝土混凝土，内配</w:t>
      </w:r>
      <w:r>
        <w:rPr>
          <w:rFonts w:ascii="仿宋_GB2312" w:eastAsia="仿宋_GB2312" w:hint="eastAsia"/>
          <w:sz w:val="32"/>
        </w:rPr>
        <w:t>Φ</w:t>
      </w:r>
      <w:r>
        <w:rPr>
          <w:rFonts w:ascii="仿宋_GB2312" w:eastAsia="仿宋_GB2312" w:hint="eastAsia"/>
          <w:sz w:val="32"/>
        </w:rPr>
        <w:t>4</w:t>
      </w:r>
      <w:bookmarkStart w:id="0" w:name="_Hlt42835036"/>
      <w:bookmarkStart w:id="1" w:name="_Hlt42835037"/>
      <w:r>
        <w:rPr>
          <w:rFonts w:ascii="仿宋_GB2312" w:eastAsia="仿宋_GB2312" w:hint="eastAsia"/>
          <w:sz w:val="32"/>
        </w:rPr>
        <w:t>＠2</w:t>
      </w:r>
      <w:bookmarkEnd w:id="0"/>
      <w:bookmarkEnd w:id="1"/>
      <w:r>
        <w:rPr>
          <w:rFonts w:ascii="仿宋_GB2312" w:eastAsia="仿宋_GB2312" w:hint="eastAsia"/>
          <w:sz w:val="32"/>
        </w:rPr>
        <w:t>0</w:t>
      </w:r>
      <w:bookmarkStart w:id="2" w:name="_Hlt42835077"/>
      <w:r>
        <w:rPr>
          <w:rFonts w:ascii="仿宋_GB2312" w:eastAsia="仿宋_GB2312" w:hint="eastAsia"/>
          <w:sz w:val="32"/>
        </w:rPr>
        <w:t>0</w:t>
      </w:r>
      <w:bookmarkEnd w:id="2"/>
      <w:r>
        <w:rPr>
          <w:rFonts w:ascii="仿宋_GB2312" w:eastAsia="仿宋_GB2312" w:hint="eastAsia"/>
          <w:sz w:val="32"/>
        </w:rPr>
        <w:t>双向；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（2）10厚1:1:6混合砂浆隔离层；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  <w:sectPr>
          <w:headerReference w:type="even" r:id="rId4"/>
          <w:headerReference w:type="default" r:id="rId5"/>
          <w:footerReference w:type="default" r:id="rId6"/>
          <w:headerReference w:type="first" r:id="rId7"/>
          <w:pgSz w:w="11906" w:h="16838"/>
          <w:pgMar w:top="1588" w:right="1134" w:bottom="1134" w:left="1418" w:header="500" w:footer="992" w:gutter="0"/>
          <w:pgNumType w:start="1"/>
          <w:cols w:space="425"/>
          <w:titlePg w:val="0"/>
          <w:docGrid w:type="lines" w:linePitch="312"/>
        </w:sectPr>
      </w:pPr>
      <w:r>
        <w:rPr>
          <w:rFonts w:ascii="仿宋_GB2312" w:eastAsia="仿宋_GB2312" w:hint="eastAsia"/>
          <w:sz w:val="32"/>
        </w:rPr>
        <w:t>（3）2厚851防水涂料;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（4）10厚1:2.5水泥砂浆找平层；</w:t>
      </w:r>
    </w:p>
    <w:p w:rsidR="00674D57">
      <w:pPr>
        <w:tabs>
          <w:tab w:val="left" w:pos="3570"/>
        </w:tabs>
        <w:spacing w:line="560" w:lineRule="exact"/>
        <w:ind w:left="1278" w:hanging="640" w:leftChars="304" w:hanging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（5）憎水型膨胀珍珠岩砌块保温层（2%找坡，最薄处30厚）；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（6）20厚1:3水泥砂浆找坡；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（7）钢筋混凝土现浇板。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32"/>
        </w:rPr>
        <w:t>.2非保温层屋面做法（自上而下）：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（1）40厚C20细石混凝土混凝土，内配</w:t>
      </w:r>
      <w:r>
        <w:rPr>
          <w:rFonts w:ascii="仿宋_GB2312" w:eastAsia="仿宋_GB2312" w:hint="eastAsia"/>
          <w:sz w:val="32"/>
        </w:rPr>
        <w:t>Φ</w:t>
      </w:r>
      <w:r>
        <w:rPr>
          <w:rFonts w:ascii="仿宋_GB2312" w:eastAsia="仿宋_GB2312" w:hint="eastAsia"/>
          <w:sz w:val="32"/>
        </w:rPr>
        <w:t>4＠200双向；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（2）10厚1:1:6混合砂浆隔离层；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（3）2厚851防水涂料;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（4）20厚1:3水泥砂浆找坡；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（5）钢筋混凝土现浇板。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32"/>
        </w:rPr>
        <w:t>.3坡屋面做法（自上而下）：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（1）钢板瓦铺面；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（2）60厚矿棉填实；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（3）2厚851防水涂料;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（4）20厚1:3水泥砂浆找平层；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（5）钢筋混凝土现浇板。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32"/>
        </w:rPr>
        <w:t>.4檐构做法（自上而下）：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（1）2厚851防水涂料;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（2）最薄外10厚1:2水泥砂浆找平层，纵向找坡0.5%；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（3）钢筋混凝土现浇板。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32"/>
        </w:rPr>
        <w:t>楼地面工程（自上而下）：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仿宋_GB2312" w:eastAsia="仿宋_GB2312" w:hint="eastAsia"/>
          <w:sz w:val="32"/>
        </w:rPr>
        <w:t>.1回填土地面做法：</w:t>
      </w:r>
    </w:p>
    <w:p w:rsidR="00674D57">
      <w:pPr>
        <w:tabs>
          <w:tab w:val="left" w:pos="3570"/>
        </w:tabs>
        <w:spacing w:line="560" w:lineRule="exact"/>
        <w:ind w:left="64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（1）20厚1:2水泥砂浆面层；</w:t>
      </w:r>
    </w:p>
    <w:p w:rsidR="00674D57">
      <w:pPr>
        <w:tabs>
          <w:tab w:val="left" w:pos="3570"/>
        </w:tabs>
        <w:spacing w:line="560" w:lineRule="exact"/>
        <w:ind w:left="64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（2）70厚C10混凝土；</w:t>
      </w:r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（3）80厚碎石垫层；</w:t>
      </w:r>
      <w:r>
        <w:rPr>
          <w:rFonts w:ascii="仿宋_GB2312" w:eastAsia="仿宋_GB2312" w:hint="eastAsia"/>
          <w:sz w:val="32"/>
        </w:rPr>
        <w:br/>
      </w:r>
      <w:r>
        <w:rPr>
          <w:rFonts w:ascii="仿宋_GB2312" w:eastAsia="仿宋_GB2312" w:hint="eastAsia"/>
          <w:sz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https://d.book118.com/697143125146006031</w:t>
        </w:r>
      </w:hyperlink>
    </w:p>
    <w:p w:rsidR="00674D57">
      <w:pPr>
        <w:tabs>
          <w:tab w:val="left" w:pos="3570"/>
        </w:tabs>
        <w:spacing w:line="560" w:lineRule="exact"/>
        <w:ind w:firstLine="640" w:firstLineChars="200"/>
        <w:rPr>
          <w:rFonts w:ascii="仿宋_GB2312" w:eastAsia="仿宋_GB2312" w:hint="eastAsia"/>
          <w:sz w:val="32"/>
        </w:rPr>
      </w:pPr>
    </w:p>
    <w:sectPr>
      <w:headerReference w:type="even" r:id="rId9"/>
      <w:headerReference w:type="default" r:id="rId10"/>
      <w:footerReference w:type="default" r:id="rId11"/>
      <w:headerReference w:type="first" r:id="rId12"/>
      <w:type w:val="nextPage"/>
      <w:pgSz w:w="11906" w:h="16838"/>
      <w:pgMar w:top="1588" w:right="1134" w:bottom="1134" w:left="1418" w:header="500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5771"/>
    <w:multiLevelType w:val="hybridMultilevel"/>
    <w:tmpl w:val="78DCF82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01A6D7B"/>
    <w:multiLevelType w:val="hybridMultilevel"/>
    <w:tmpl w:val="0C7AF35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7F9E"/>
    <w:rsid w:val="001329F2"/>
    <w:rsid w:val="00186F27"/>
    <w:rsid w:val="001F49EF"/>
    <w:rsid w:val="00674D57"/>
    <w:rsid w:val="00FB1B8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customStyle="1" w:styleId="a">
    <w:name w:val="正文样式"/>
    <w:basedOn w:val="Normal"/>
    <w:autoRedefine/>
    <w:pPr>
      <w:tabs>
        <w:tab w:val="left" w:pos="3570"/>
      </w:tabs>
      <w:spacing w:line="500" w:lineRule="exact"/>
      <w:ind w:firstLine="640" w:firstLineChars="200"/>
    </w:pPr>
    <w:rPr>
      <w:rFonts w:ascii="仿宋_GB2312" w:eastAsia="仿宋_GB2312"/>
      <w:sz w:val="32"/>
      <w:szCs w:val="20"/>
    </w:rPr>
  </w:style>
  <w:style w:type="paragraph" w:styleId="Caption">
    <w:name w:val="caption"/>
    <w:basedOn w:val="Normal"/>
    <w:next w:val="Normal"/>
    <w:qFormat/>
    <w:pPr>
      <w:spacing w:before="152" w:after="160"/>
    </w:pPr>
    <w:rPr>
      <w:rFonts w:ascii="Arial" w:eastAsia="黑体" w:hAnsi="Arial"/>
      <w:sz w:val="20"/>
      <w:szCs w:val="20"/>
    </w:rPr>
  </w:style>
  <w:style w:type="paragraph" w:customStyle="1" w:styleId="11">
    <w:name w:val="1.1"/>
    <w:basedOn w:val="Normal"/>
    <w:pPr>
      <w:spacing w:line="320" w:lineRule="atLeast"/>
    </w:pPr>
    <w:rPr>
      <w:rFonts w:eastAsia="黑体"/>
      <w:sz w:val="28"/>
      <w:szCs w:val="20"/>
    </w:rPr>
  </w:style>
  <w:style w:type="paragraph" w:styleId="TOC1">
    <w:name w:val="toc 1"/>
    <w:basedOn w:val="Normal"/>
    <w:next w:val="Normal"/>
    <w:autoRedefine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Date">
    <w:name w:val="Date"/>
    <w:basedOn w:val="Normal"/>
    <w:next w:val="Normal"/>
    <w:rPr>
      <w:szCs w:val="20"/>
    </w:rPr>
  </w:style>
  <w:style w:type="paragraph" w:styleId="PlainText">
    <w:name w:val="Plain Text"/>
    <w:basedOn w:val="Normal"/>
    <w:rPr>
      <w:rFonts w:ascii="宋体" w:hAnsi="Courier New"/>
      <w:szCs w:val="20"/>
    </w:rPr>
  </w:style>
  <w:style w:type="paragraph" w:styleId="FootnoteText">
    <w:name w:val="footnote text"/>
    <w:basedOn w:val="Normal"/>
    <w:semiHidden/>
    <w:pPr>
      <w:snapToGrid w:val="0"/>
      <w:jc w:val="left"/>
    </w:pPr>
    <w:rPr>
      <w:sz w:val="18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BlockText">
    <w:name w:val="Block Text"/>
    <w:basedOn w:val="Normal"/>
    <w:pPr>
      <w:spacing w:line="480" w:lineRule="auto"/>
      <w:ind w:left="449" w:right="2184" w:firstLine="420" w:leftChars="214" w:rightChars="1040" w:firstLineChars="200"/>
    </w:pPr>
  </w:style>
  <w:style w:type="paragraph" w:styleId="BodyTextIndent">
    <w:name w:val="Body Text Indent"/>
    <w:basedOn w:val="Normal"/>
    <w:pPr>
      <w:spacing w:line="600" w:lineRule="exact"/>
      <w:ind w:firstLine="640" w:firstLineChars="200"/>
    </w:pPr>
    <w:rPr>
      <w:rFonts w:eastAsia="仿宋_GB2312"/>
      <w:sz w:val="32"/>
    </w:rPr>
  </w:style>
  <w:style w:type="paragraph" w:styleId="BodyText">
    <w:name w:val="Body Text"/>
    <w:basedOn w:val="Normal"/>
    <w:rPr>
      <w:rFonts w:ascii="仿宋_GB2312" w:eastAsia="仿宋_GB2312" w:hint="eastAsia"/>
      <w:sz w:val="32"/>
    </w:rPr>
  </w:style>
  <w:style w:type="paragraph" w:styleId="BodyTextIndent2">
    <w:name w:val="Body Text Indent 2"/>
    <w:basedOn w:val="Normal"/>
    <w:pPr>
      <w:spacing w:line="600" w:lineRule="atLeast"/>
      <w:ind w:left="640"/>
    </w:pPr>
    <w:rPr>
      <w:rFonts w:ascii="仿宋_GB2312" w:eastAsia="仿宋_GB2312" w:hint="eastAsia"/>
      <w:sz w:val="32"/>
    </w:rPr>
  </w:style>
  <w:style w:type="paragraph" w:styleId="BodyText2">
    <w:name w:val="Body Text 2"/>
    <w:basedOn w:val="Normal"/>
    <w:pPr>
      <w:jc w:val="center"/>
    </w:pPr>
    <w:rPr>
      <w:rFonts w:eastAsia="仿宋_GB2312"/>
    </w:rPr>
  </w:style>
  <w:style w:type="paragraph" w:customStyle="1" w:styleId="a0">
    <w:name w:val="："/>
    <w:basedOn w:val="Normal"/>
    <w:pPr>
      <w:ind w:firstLine="640" w:firstLineChars="200"/>
    </w:pPr>
    <w:rPr>
      <w:rFonts w:eastAsia="仿宋_GB2312"/>
      <w:noProof/>
      <w:sz w:val="32"/>
    </w:rPr>
  </w:style>
  <w:style w:type="paragraph" w:styleId="BodyTextIndent3">
    <w:name w:val="Body Text Indent 3"/>
    <w:basedOn w:val="Normal"/>
    <w:pPr>
      <w:spacing w:line="600" w:lineRule="exact"/>
      <w:ind w:firstLine="200"/>
    </w:pPr>
    <w:rPr>
      <w:rFonts w:eastAsia="仿宋_GB2312"/>
      <w:sz w:val="32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Normal0">
    <w:name w:val="Normal_0"/>
    <w:qFormat/>
    <w:rsid w:val="00D87071"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1" Type="http://schemas.openxmlformats.org/officeDocument/2006/relationships/footer" Target="footer2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eader" Target="header3.xml" /><Relationship Id="rId8" Type="http://schemas.openxmlformats.org/officeDocument/2006/relationships/hyperlink" Target="https://d.book118.com/697143125146006031" TargetMode="Externa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17922</Words>
  <Characters>19535</Characters>
  <Application>Microsoft Office Word</Application>
  <DocSecurity>0</DocSecurity>
  <Lines>1395</Lines>
  <Paragraphs>1170</Paragraphs>
  <ScaleCrop>false</ScaleCrop>
  <Company/>
  <LinksUpToDate>false</LinksUpToDate>
  <CharactersWithSpaces>36287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revision>0</cp:revision>
  <cp:lastPrinted>2003-06-12T07:08:00Z</cp:lastPrinted>
  <dcterms:created xsi:type="dcterms:W3CDTF">2003-06-12T05:24:00Z</dcterms:created>
  <dcterms:modified xsi:type="dcterms:W3CDTF">2022-02-16T10:42:00Z</dcterms:modified>
</cp:coreProperties>
</file>