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生化诊断产品行业相关公司筹备报告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_Toc26583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_Toc28512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" w:history="1">
        <w:r>
          <w:rPr>
            <w:rFonts w:ascii="仿宋" w:eastAsia="仿宋" w:hAnsi="仿宋" w:cs="仿宋" w:hint="eastAsia"/>
            <w:lang w:eastAsia="zh-CN"/>
          </w:rPr>
          <w:t>五、生化诊断产品筹建公司基本信息</w:t>
        </w:r>
        <w:r>
          <w:tab/>
        </w:r>
        <w:r>
          <w:fldChar w:fldCharType="begin"/>
        </w:r>
        <w:r>
          <w:instrText xml:space="preserve"> PAGEREF _Toc2245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_Toc16730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_Toc8178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(五)、生化诊断产品项目总投资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_Toc27478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_Toc13208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十、生化诊断产品项目经济效益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(三)、生化诊断产品项目盈利能力分析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_Toc22944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_Toc18961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_Toc28099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_Toc5075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6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3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https://d.book118.com/697144032166006034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生化诊断产品行业相关公司筹备报告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生化诊断产品行业相关公司筹备报告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生化诊断产品行业相关公司筹备报告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生化诊断产品行业相关公司筹备报告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生化诊断产品行业相关公司筹备报告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7144032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2024-01-18T17:33:00Z</dcterms:created>
  <dcterms:modified xsi:type="dcterms:W3CDTF">2024-01-18T17:33:35Z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F67FFCED911943CCBA72AED0A9720F39_11</vt:lpwstr>
  </property>
  <property fmtid="{D5CDD505-2E9C-101B-9397-08002B2CF9AE}" pid="3" name="KSOProductBuildVer">
    <vt:lpwstr>2052-12.1.0.16120</vt:lpwstr>
  </property>
</Properties>
</file>