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2024年杂技行业趋势报告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5254"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_Toc25254 \h </w:instrText>
        </w:r>
        <w:r>
          <w:fldChar w:fldCharType="separate"/>
        </w:r>
        <w:r>
          <w:t>4</w:t>
        </w:r>
        <w:r>
          <w:fldChar w:fldCharType="end"/>
        </w:r>
      </w:hyperlink>
    </w:p>
    <w:p>
      <w:pPr>
        <w:pStyle w:val="TOC1"/>
        <w:tabs>
          <w:tab w:val="right" w:leader="dot" w:pos="8306"/>
        </w:tabs>
      </w:pPr>
      <w:hyperlink w:anchor="_Toc13824" w:history="1">
        <w:r>
          <w:rPr>
            <w:rFonts w:ascii="微软雅黑" w:eastAsia="微软雅黑" w:hAnsi="微软雅黑" w:cs="微软雅黑" w:hint="eastAsia"/>
            <w:color w:val="001CAC" w:themeColor="hyperlink" w:themeShade="BF"/>
            <w:szCs w:val="32"/>
            <w:lang w:eastAsia="zh-CN"/>
          </w:rPr>
          <w:t>一、安全与劳动保护</w:t>
        </w:r>
        <w:r>
          <w:tab/>
        </w:r>
        <w:r>
          <w:fldChar w:fldCharType="begin"/>
        </w:r>
        <w:r>
          <w:instrText xml:space="preserve"> PAGEREF _Toc13824 \h </w:instrText>
        </w:r>
        <w:r>
          <w:fldChar w:fldCharType="separate"/>
        </w:r>
        <w:r>
          <w:t>4</w:t>
        </w:r>
        <w:r>
          <w:fldChar w:fldCharType="end"/>
        </w:r>
      </w:hyperlink>
    </w:p>
    <w:p>
      <w:pPr>
        <w:pStyle w:val="TOC2"/>
        <w:tabs>
          <w:tab w:val="right" w:leader="dot" w:pos="8306"/>
        </w:tabs>
      </w:pPr>
      <w:hyperlink w:anchor="_Toc8274" w:history="1">
        <w:r>
          <w:rPr>
            <w:rFonts w:ascii="宋体" w:eastAsia="宋体" w:hAnsi="宋体" w:cs="宋体" w:hint="eastAsia"/>
            <w:bCs w:val="0"/>
            <w:szCs w:val="28"/>
            <w:lang w:eastAsia="zh-CN"/>
          </w:rPr>
          <w:t>(一)、设计依据与法规合规</w:t>
        </w:r>
        <w:r>
          <w:tab/>
        </w:r>
        <w:r>
          <w:fldChar w:fldCharType="begin"/>
        </w:r>
        <w:r>
          <w:instrText xml:space="preserve"> PAGEREF _Toc8274 \h </w:instrText>
        </w:r>
        <w:r>
          <w:fldChar w:fldCharType="separate"/>
        </w:r>
        <w:r>
          <w:t>4</w:t>
        </w:r>
        <w:r>
          <w:fldChar w:fldCharType="end"/>
        </w:r>
      </w:hyperlink>
    </w:p>
    <w:p>
      <w:pPr>
        <w:pStyle w:val="TOC2"/>
        <w:tabs>
          <w:tab w:val="right" w:leader="dot" w:pos="8306"/>
        </w:tabs>
      </w:pPr>
      <w:hyperlink w:anchor="_Toc10727" w:history="1">
        <w:r>
          <w:rPr>
            <w:rFonts w:ascii="宋体" w:eastAsia="宋体" w:hAnsi="宋体" w:cs="宋体" w:hint="eastAsia"/>
            <w:bCs w:val="0"/>
            <w:szCs w:val="28"/>
            <w:lang w:eastAsia="zh-CN"/>
          </w:rPr>
          <w:t>(二)、劳动安全预期效果评价</w:t>
        </w:r>
        <w:r>
          <w:tab/>
        </w:r>
        <w:r>
          <w:fldChar w:fldCharType="begin"/>
        </w:r>
        <w:r>
          <w:instrText xml:space="preserve"> PAGEREF _Toc10727 \h </w:instrText>
        </w:r>
        <w:r>
          <w:fldChar w:fldCharType="separate"/>
        </w:r>
        <w:r>
          <w:t>4</w:t>
        </w:r>
        <w:r>
          <w:fldChar w:fldCharType="end"/>
        </w:r>
      </w:hyperlink>
    </w:p>
    <w:p>
      <w:pPr>
        <w:pStyle w:val="TOC2"/>
        <w:tabs>
          <w:tab w:val="right" w:leader="dot" w:pos="8306"/>
        </w:tabs>
      </w:pPr>
      <w:hyperlink w:anchor="_Toc4729" w:history="1">
        <w:r>
          <w:rPr>
            <w:rFonts w:ascii="宋体" w:eastAsia="宋体" w:hAnsi="宋体" w:cs="宋体" w:hint="eastAsia"/>
            <w:bCs w:val="0"/>
            <w:szCs w:val="28"/>
            <w:lang w:eastAsia="zh-CN"/>
          </w:rPr>
          <w:t>(三)、主要防范措施</w:t>
        </w:r>
        <w:r>
          <w:tab/>
        </w:r>
        <w:r>
          <w:fldChar w:fldCharType="begin"/>
        </w:r>
        <w:r>
          <w:instrText xml:space="preserve"> PAGEREF _Toc4729 \h </w:instrText>
        </w:r>
        <w:r>
          <w:fldChar w:fldCharType="separate"/>
        </w:r>
        <w:r>
          <w:t>5</w:t>
        </w:r>
        <w:r>
          <w:fldChar w:fldCharType="end"/>
        </w:r>
      </w:hyperlink>
    </w:p>
    <w:p>
      <w:pPr>
        <w:pStyle w:val="TOC1"/>
        <w:tabs>
          <w:tab w:val="right" w:leader="dot" w:pos="8306"/>
        </w:tabs>
      </w:pPr>
      <w:hyperlink w:anchor="_Toc27652" w:history="1">
        <w:r>
          <w:rPr>
            <w:rFonts w:ascii="微软雅黑" w:eastAsia="微软雅黑" w:hAnsi="微软雅黑" w:cs="微软雅黑" w:hint="eastAsia"/>
            <w:color w:val="001CAC" w:themeColor="hyperlink" w:themeShade="BF"/>
            <w:szCs w:val="32"/>
            <w:lang w:eastAsia="zh-CN"/>
          </w:rPr>
          <w:t>二、杂技行业公司治理与社会责任</w:t>
        </w:r>
        <w:r>
          <w:tab/>
        </w:r>
        <w:r>
          <w:fldChar w:fldCharType="begin"/>
        </w:r>
        <w:r>
          <w:instrText xml:space="preserve"> PAGEREF _Toc27652 \h </w:instrText>
        </w:r>
        <w:r>
          <w:fldChar w:fldCharType="separate"/>
        </w:r>
        <w:r>
          <w:t>6</w:t>
        </w:r>
        <w:r>
          <w:fldChar w:fldCharType="end"/>
        </w:r>
      </w:hyperlink>
    </w:p>
    <w:p>
      <w:pPr>
        <w:pStyle w:val="TOC2"/>
        <w:tabs>
          <w:tab w:val="right" w:leader="dot" w:pos="8306"/>
        </w:tabs>
      </w:pPr>
      <w:hyperlink w:anchor="_Toc31756" w:history="1">
        <w:r>
          <w:rPr>
            <w:rFonts w:ascii="宋体" w:eastAsia="宋体" w:hAnsi="宋体" w:cs="宋体" w:hint="eastAsia"/>
            <w:bCs w:val="0"/>
            <w:szCs w:val="28"/>
            <w:lang w:eastAsia="zh-CN"/>
          </w:rPr>
          <w:t>(一)、公司治理结构</w:t>
        </w:r>
        <w:r>
          <w:tab/>
        </w:r>
        <w:r>
          <w:fldChar w:fldCharType="begin"/>
        </w:r>
        <w:r>
          <w:instrText xml:space="preserve"> PAGEREF _Toc31756 \h </w:instrText>
        </w:r>
        <w:r>
          <w:fldChar w:fldCharType="separate"/>
        </w:r>
        <w:r>
          <w:t>6</w:t>
        </w:r>
        <w:r>
          <w:fldChar w:fldCharType="end"/>
        </w:r>
      </w:hyperlink>
    </w:p>
    <w:p>
      <w:pPr>
        <w:pStyle w:val="TOC2"/>
        <w:tabs>
          <w:tab w:val="right" w:leader="dot" w:pos="8306"/>
        </w:tabs>
      </w:pPr>
      <w:hyperlink w:anchor="_Toc12972" w:history="1">
        <w:r>
          <w:rPr>
            <w:rFonts w:ascii="宋体" w:eastAsia="宋体" w:hAnsi="宋体" w:cs="宋体" w:hint="eastAsia"/>
            <w:bCs w:val="0"/>
            <w:szCs w:val="28"/>
            <w:lang w:eastAsia="zh-CN"/>
          </w:rPr>
          <w:t>(二)、董事会运作与决策</w:t>
        </w:r>
        <w:r>
          <w:tab/>
        </w:r>
        <w:r>
          <w:fldChar w:fldCharType="begin"/>
        </w:r>
        <w:r>
          <w:instrText xml:space="preserve"> PAGEREF _Toc12972 \h </w:instrText>
        </w:r>
        <w:r>
          <w:fldChar w:fldCharType="separate"/>
        </w:r>
        <w:r>
          <w:t>6</w:t>
        </w:r>
        <w:r>
          <w:fldChar w:fldCharType="end"/>
        </w:r>
      </w:hyperlink>
    </w:p>
    <w:p>
      <w:pPr>
        <w:pStyle w:val="TOC2"/>
        <w:tabs>
          <w:tab w:val="right" w:leader="dot" w:pos="8306"/>
        </w:tabs>
      </w:pPr>
      <w:hyperlink w:anchor="_Toc25743" w:history="1">
        <w:r>
          <w:rPr>
            <w:rFonts w:ascii="宋体" w:eastAsia="宋体" w:hAnsi="宋体" w:cs="宋体" w:hint="eastAsia"/>
            <w:bCs w:val="0"/>
            <w:szCs w:val="28"/>
            <w:lang w:eastAsia="zh-CN"/>
          </w:rPr>
          <w:t>(三)、内部控制与审计</w:t>
        </w:r>
        <w:r>
          <w:tab/>
        </w:r>
        <w:r>
          <w:fldChar w:fldCharType="begin"/>
        </w:r>
        <w:r>
          <w:instrText xml:space="preserve"> PAGEREF _Toc25743 \h </w:instrText>
        </w:r>
        <w:r>
          <w:fldChar w:fldCharType="separate"/>
        </w:r>
        <w:r>
          <w:t>7</w:t>
        </w:r>
        <w:r>
          <w:fldChar w:fldCharType="end"/>
        </w:r>
      </w:hyperlink>
    </w:p>
    <w:p>
      <w:pPr>
        <w:pStyle w:val="TOC2"/>
        <w:tabs>
          <w:tab w:val="right" w:leader="dot" w:pos="8306"/>
        </w:tabs>
      </w:pPr>
      <w:hyperlink w:anchor="_Toc28623" w:history="1">
        <w:r>
          <w:rPr>
            <w:rFonts w:ascii="宋体" w:eastAsia="宋体" w:hAnsi="宋体" w:cs="宋体" w:hint="eastAsia"/>
            <w:bCs w:val="0"/>
            <w:szCs w:val="28"/>
            <w:lang w:eastAsia="zh-CN"/>
          </w:rPr>
          <w:t>(四)、法律法规合规体系</w:t>
        </w:r>
        <w:r>
          <w:tab/>
        </w:r>
        <w:r>
          <w:fldChar w:fldCharType="begin"/>
        </w:r>
        <w:r>
          <w:instrText xml:space="preserve"> PAGEREF _Toc28623 \h </w:instrText>
        </w:r>
        <w:r>
          <w:fldChar w:fldCharType="separate"/>
        </w:r>
        <w:r>
          <w:t>8</w:t>
        </w:r>
        <w:r>
          <w:fldChar w:fldCharType="end"/>
        </w:r>
      </w:hyperlink>
    </w:p>
    <w:p>
      <w:pPr>
        <w:pStyle w:val="TOC2"/>
        <w:tabs>
          <w:tab w:val="right" w:leader="dot" w:pos="8306"/>
        </w:tabs>
      </w:pPr>
      <w:hyperlink w:anchor="_Toc17608" w:history="1">
        <w:r>
          <w:rPr>
            <w:rFonts w:ascii="宋体" w:eastAsia="宋体" w:hAnsi="宋体" w:cs="宋体" w:hint="eastAsia"/>
            <w:bCs w:val="0"/>
            <w:szCs w:val="28"/>
            <w:lang w:eastAsia="zh-CN"/>
          </w:rPr>
          <w:t>(五)、企业社会责任与道德经营</w:t>
        </w:r>
        <w:r>
          <w:tab/>
        </w:r>
        <w:r>
          <w:fldChar w:fldCharType="begin"/>
        </w:r>
        <w:r>
          <w:instrText xml:space="preserve"> PAGEREF _Toc17608 \h </w:instrText>
        </w:r>
        <w:r>
          <w:fldChar w:fldCharType="separate"/>
        </w:r>
        <w:r>
          <w:t>8</w:t>
        </w:r>
        <w:r>
          <w:fldChar w:fldCharType="end"/>
        </w:r>
      </w:hyperlink>
    </w:p>
    <w:p>
      <w:pPr>
        <w:pStyle w:val="TOC1"/>
        <w:tabs>
          <w:tab w:val="right" w:leader="dot" w:pos="8306"/>
        </w:tabs>
      </w:pPr>
      <w:hyperlink w:anchor="_Toc5474" w:history="1">
        <w:r>
          <w:rPr>
            <w:rFonts w:ascii="微软雅黑" w:eastAsia="微软雅黑" w:hAnsi="微软雅黑" w:cs="微软雅黑" w:hint="eastAsia"/>
            <w:color w:val="001CAC" w:themeColor="hyperlink" w:themeShade="BF"/>
            <w:szCs w:val="32"/>
            <w:lang w:eastAsia="zh-CN"/>
          </w:rPr>
          <w:t>三、杂技行业投资管理策略</w:t>
        </w:r>
        <w:r>
          <w:tab/>
        </w:r>
        <w:r>
          <w:fldChar w:fldCharType="begin"/>
        </w:r>
        <w:r>
          <w:instrText xml:space="preserve"> PAGEREF _Toc5474 \h </w:instrText>
        </w:r>
        <w:r>
          <w:fldChar w:fldCharType="separate"/>
        </w:r>
        <w:r>
          <w:t>9</w:t>
        </w:r>
        <w:r>
          <w:fldChar w:fldCharType="end"/>
        </w:r>
      </w:hyperlink>
    </w:p>
    <w:p>
      <w:pPr>
        <w:pStyle w:val="TOC2"/>
        <w:tabs>
          <w:tab w:val="right" w:leader="dot" w:pos="8306"/>
        </w:tabs>
      </w:pPr>
      <w:hyperlink w:anchor="_Toc23030" w:history="1">
        <w:r>
          <w:rPr>
            <w:rFonts w:ascii="宋体" w:eastAsia="宋体" w:hAnsi="宋体" w:cs="宋体" w:hint="eastAsia"/>
            <w:bCs w:val="0"/>
            <w:szCs w:val="28"/>
            <w:lang w:eastAsia="zh-CN"/>
          </w:rPr>
          <w:t>(一)、杂技行业投资估算主要内容</w:t>
        </w:r>
        <w:r>
          <w:tab/>
        </w:r>
        <w:r>
          <w:fldChar w:fldCharType="begin"/>
        </w:r>
        <w:r>
          <w:instrText xml:space="preserve"> PAGEREF _Toc23030 \h </w:instrText>
        </w:r>
        <w:r>
          <w:fldChar w:fldCharType="separate"/>
        </w:r>
        <w:r>
          <w:t>9</w:t>
        </w:r>
        <w:r>
          <w:fldChar w:fldCharType="end"/>
        </w:r>
      </w:hyperlink>
    </w:p>
    <w:p>
      <w:pPr>
        <w:pStyle w:val="TOC2"/>
        <w:tabs>
          <w:tab w:val="right" w:leader="dot" w:pos="8306"/>
        </w:tabs>
      </w:pPr>
      <w:hyperlink w:anchor="_Toc14915" w:history="1">
        <w:r>
          <w:rPr>
            <w:rFonts w:ascii="宋体" w:eastAsia="宋体" w:hAnsi="宋体" w:cs="宋体" w:hint="eastAsia"/>
            <w:bCs w:val="0"/>
            <w:szCs w:val="28"/>
            <w:lang w:eastAsia="zh-CN"/>
          </w:rPr>
          <w:t>(二)、杂技行业设备购置投资费用管理</w:t>
        </w:r>
        <w:r>
          <w:tab/>
        </w:r>
        <w:r>
          <w:fldChar w:fldCharType="begin"/>
        </w:r>
        <w:r>
          <w:instrText xml:space="preserve"> PAGEREF _Toc14915 \h </w:instrText>
        </w:r>
        <w:r>
          <w:fldChar w:fldCharType="separate"/>
        </w:r>
        <w:r>
          <w:t>12</w:t>
        </w:r>
        <w:r>
          <w:fldChar w:fldCharType="end"/>
        </w:r>
      </w:hyperlink>
    </w:p>
    <w:p>
      <w:pPr>
        <w:pStyle w:val="TOC2"/>
        <w:tabs>
          <w:tab w:val="right" w:leader="dot" w:pos="8306"/>
        </w:tabs>
      </w:pPr>
      <w:hyperlink w:anchor="_Toc23475" w:history="1">
        <w:r>
          <w:rPr>
            <w:rFonts w:ascii="宋体" w:eastAsia="宋体" w:hAnsi="宋体" w:cs="宋体" w:hint="eastAsia"/>
            <w:bCs w:val="0"/>
            <w:szCs w:val="28"/>
            <w:lang w:eastAsia="zh-CN"/>
          </w:rPr>
          <w:t>(三)、杂技行业装修施工投资费用管理</w:t>
        </w:r>
        <w:r>
          <w:tab/>
        </w:r>
        <w:r>
          <w:fldChar w:fldCharType="begin"/>
        </w:r>
        <w:r>
          <w:instrText xml:space="preserve"> PAGEREF _Toc23475 \h </w:instrText>
        </w:r>
        <w:r>
          <w:fldChar w:fldCharType="separate"/>
        </w:r>
        <w:r>
          <w:t>16</w:t>
        </w:r>
        <w:r>
          <w:fldChar w:fldCharType="end"/>
        </w:r>
      </w:hyperlink>
    </w:p>
    <w:p>
      <w:pPr>
        <w:pStyle w:val="TOC2"/>
        <w:tabs>
          <w:tab w:val="right" w:leader="dot" w:pos="8306"/>
        </w:tabs>
      </w:pPr>
      <w:hyperlink w:anchor="_Toc2830" w:history="1">
        <w:r>
          <w:rPr>
            <w:rFonts w:ascii="宋体" w:eastAsia="宋体" w:hAnsi="宋体" w:cs="宋体" w:hint="eastAsia"/>
            <w:bCs w:val="0"/>
            <w:szCs w:val="28"/>
            <w:lang w:eastAsia="zh-CN"/>
          </w:rPr>
          <w:t>(四)、杂技行业流动资金管理</w:t>
        </w:r>
        <w:r>
          <w:tab/>
        </w:r>
        <w:r>
          <w:fldChar w:fldCharType="begin"/>
        </w:r>
        <w:r>
          <w:instrText xml:space="preserve"> PAGEREF _Toc2830 \h </w:instrText>
        </w:r>
        <w:r>
          <w:fldChar w:fldCharType="separate"/>
        </w:r>
        <w:r>
          <w:t>17</w:t>
        </w:r>
        <w:r>
          <w:fldChar w:fldCharType="end"/>
        </w:r>
      </w:hyperlink>
    </w:p>
    <w:p>
      <w:pPr>
        <w:pStyle w:val="TOC1"/>
        <w:tabs>
          <w:tab w:val="right" w:leader="dot" w:pos="8306"/>
        </w:tabs>
      </w:pPr>
      <w:hyperlink w:anchor="_Toc29163" w:history="1">
        <w:r>
          <w:rPr>
            <w:rFonts w:ascii="微软雅黑" w:eastAsia="微软雅黑" w:hAnsi="微软雅黑" w:cs="微软雅黑" w:hint="eastAsia"/>
            <w:color w:val="001CAC" w:themeColor="hyperlink" w:themeShade="BF"/>
            <w:szCs w:val="32"/>
            <w:lang w:eastAsia="zh-CN"/>
          </w:rPr>
          <w:t>四、项目管理与团队协作</w:t>
        </w:r>
        <w:r>
          <w:tab/>
        </w:r>
        <w:r>
          <w:fldChar w:fldCharType="begin"/>
        </w:r>
        <w:r>
          <w:instrText xml:space="preserve"> PAGEREF _Toc29163 \h </w:instrText>
        </w:r>
        <w:r>
          <w:fldChar w:fldCharType="separate"/>
        </w:r>
        <w:r>
          <w:t>20</w:t>
        </w:r>
        <w:r>
          <w:fldChar w:fldCharType="end"/>
        </w:r>
      </w:hyperlink>
    </w:p>
    <w:p>
      <w:pPr>
        <w:pStyle w:val="TOC2"/>
        <w:tabs>
          <w:tab w:val="right" w:leader="dot" w:pos="8306"/>
        </w:tabs>
      </w:pPr>
      <w:hyperlink w:anchor="_Toc3768" w:history="1">
        <w:r>
          <w:rPr>
            <w:rFonts w:ascii="宋体" w:eastAsia="宋体" w:hAnsi="宋体" w:cs="宋体" w:hint="eastAsia"/>
            <w:bCs w:val="0"/>
            <w:szCs w:val="28"/>
            <w:lang w:eastAsia="zh-CN"/>
          </w:rPr>
          <w:t>(一)、项目管理方法论</w:t>
        </w:r>
        <w:r>
          <w:tab/>
        </w:r>
        <w:r>
          <w:fldChar w:fldCharType="begin"/>
        </w:r>
        <w:r>
          <w:instrText xml:space="preserve"> PAGEREF _Toc3768 \h </w:instrText>
        </w:r>
        <w:r>
          <w:fldChar w:fldCharType="separate"/>
        </w:r>
        <w:r>
          <w:t>20</w:t>
        </w:r>
        <w:r>
          <w:fldChar w:fldCharType="end"/>
        </w:r>
      </w:hyperlink>
    </w:p>
    <w:p>
      <w:pPr>
        <w:pStyle w:val="TOC2"/>
        <w:tabs>
          <w:tab w:val="right" w:leader="dot" w:pos="8306"/>
        </w:tabs>
      </w:pPr>
      <w:hyperlink w:anchor="_Toc29587" w:history="1">
        <w:r>
          <w:rPr>
            <w:rFonts w:ascii="宋体" w:eastAsia="宋体" w:hAnsi="宋体" w:cs="宋体" w:hint="eastAsia"/>
            <w:bCs w:val="0"/>
            <w:szCs w:val="28"/>
            <w:lang w:eastAsia="zh-CN"/>
          </w:rPr>
          <w:t>(二)、团队组建与角色分工</w:t>
        </w:r>
        <w:r>
          <w:tab/>
        </w:r>
        <w:r>
          <w:fldChar w:fldCharType="begin"/>
        </w:r>
        <w:r>
          <w:instrText xml:space="preserve"> PAGEREF _Toc29587 \h </w:instrText>
        </w:r>
        <w:r>
          <w:fldChar w:fldCharType="separate"/>
        </w:r>
        <w:r>
          <w:t>20</w:t>
        </w:r>
        <w:r>
          <w:fldChar w:fldCharType="end"/>
        </w:r>
      </w:hyperlink>
    </w:p>
    <w:p>
      <w:pPr>
        <w:pStyle w:val="TOC2"/>
        <w:tabs>
          <w:tab w:val="right" w:leader="dot" w:pos="8306"/>
        </w:tabs>
      </w:pPr>
      <w:hyperlink w:anchor="_Toc17648" w:history="1">
        <w:r>
          <w:rPr>
            <w:rFonts w:ascii="宋体" w:eastAsia="宋体" w:hAnsi="宋体" w:cs="宋体" w:hint="eastAsia"/>
            <w:bCs w:val="0"/>
            <w:szCs w:val="28"/>
            <w:lang w:eastAsia="zh-CN"/>
          </w:rPr>
          <w:t>(三)、团队沟通与协作机制</w:t>
        </w:r>
        <w:r>
          <w:tab/>
        </w:r>
        <w:r>
          <w:fldChar w:fldCharType="begin"/>
        </w:r>
        <w:r>
          <w:instrText xml:space="preserve"> PAGEREF _Toc17648 \h </w:instrText>
        </w:r>
        <w:r>
          <w:fldChar w:fldCharType="separate"/>
        </w:r>
        <w:r>
          <w:t>21</w:t>
        </w:r>
        <w:r>
          <w:fldChar w:fldCharType="end"/>
        </w:r>
      </w:hyperlink>
    </w:p>
    <w:p>
      <w:pPr>
        <w:pStyle w:val="TOC2"/>
        <w:tabs>
          <w:tab w:val="right" w:leader="dot" w:pos="8306"/>
        </w:tabs>
      </w:pPr>
      <w:hyperlink w:anchor="_Toc31742" w:history="1">
        <w:r>
          <w:rPr>
            <w:rFonts w:ascii="宋体" w:eastAsia="宋体" w:hAnsi="宋体" w:cs="宋体" w:hint="eastAsia"/>
            <w:bCs w:val="0"/>
            <w:szCs w:val="28"/>
            <w:lang w:eastAsia="zh-CN"/>
          </w:rPr>
          <w:t>(四)、项目风险管理与应对</w:t>
        </w:r>
        <w:r>
          <w:tab/>
        </w:r>
        <w:r>
          <w:fldChar w:fldCharType="begin"/>
        </w:r>
        <w:r>
          <w:instrText xml:space="preserve"> PAGEREF _Toc31742 \h </w:instrText>
        </w:r>
        <w:r>
          <w:fldChar w:fldCharType="separate"/>
        </w:r>
        <w:r>
          <w:t>22</w:t>
        </w:r>
        <w:r>
          <w:fldChar w:fldCharType="end"/>
        </w:r>
      </w:hyperlink>
    </w:p>
    <w:p>
      <w:pPr>
        <w:pStyle w:val="TOC1"/>
        <w:tabs>
          <w:tab w:val="right" w:leader="dot" w:pos="8306"/>
        </w:tabs>
      </w:pPr>
      <w:hyperlink w:anchor="_Toc5268" w:history="1">
        <w:r>
          <w:rPr>
            <w:rFonts w:ascii="微软雅黑" w:eastAsia="微软雅黑" w:hAnsi="微软雅黑" w:cs="微软雅黑" w:hint="eastAsia"/>
            <w:color w:val="001CAC" w:themeColor="hyperlink" w:themeShade="BF"/>
            <w:szCs w:val="32"/>
            <w:lang w:eastAsia="zh-CN"/>
          </w:rPr>
          <w:t>五、市场营销与推广策略</w:t>
        </w:r>
        <w:r>
          <w:tab/>
        </w:r>
        <w:r>
          <w:fldChar w:fldCharType="begin"/>
        </w:r>
        <w:r>
          <w:instrText xml:space="preserve"> PAGEREF _Toc5268 \h </w:instrText>
        </w:r>
        <w:r>
          <w:fldChar w:fldCharType="separate"/>
        </w:r>
        <w:r>
          <w:t>23</w:t>
        </w:r>
        <w:r>
          <w:fldChar w:fldCharType="end"/>
        </w:r>
      </w:hyperlink>
    </w:p>
    <w:p>
      <w:pPr>
        <w:pStyle w:val="TOC2"/>
        <w:tabs>
          <w:tab w:val="right" w:leader="dot" w:pos="8306"/>
        </w:tabs>
      </w:pPr>
      <w:hyperlink w:anchor="_Toc5128" w:history="1">
        <w:r>
          <w:rPr>
            <w:rFonts w:ascii="宋体" w:eastAsia="宋体" w:hAnsi="宋体" w:cs="宋体" w:hint="eastAsia"/>
            <w:bCs w:val="0"/>
            <w:szCs w:val="28"/>
            <w:lang w:eastAsia="zh-CN"/>
          </w:rPr>
          <w:t>(一)、目标市场分析</w:t>
        </w:r>
        <w:r>
          <w:tab/>
        </w:r>
        <w:r>
          <w:fldChar w:fldCharType="begin"/>
        </w:r>
        <w:r>
          <w:instrText xml:space="preserve"> PAGEREF _Toc5128 \h </w:instrText>
        </w:r>
        <w:r>
          <w:fldChar w:fldCharType="separate"/>
        </w:r>
        <w:r>
          <w:t>23</w:t>
        </w:r>
        <w:r>
          <w:fldChar w:fldCharType="end"/>
        </w:r>
      </w:hyperlink>
    </w:p>
    <w:p>
      <w:pPr>
        <w:pStyle w:val="TOC2"/>
        <w:tabs>
          <w:tab w:val="right" w:leader="dot" w:pos="8306"/>
        </w:tabs>
      </w:pPr>
      <w:hyperlink w:anchor="_Toc29368" w:history="1">
        <w:r>
          <w:rPr>
            <w:rFonts w:ascii="宋体" w:eastAsia="宋体" w:hAnsi="宋体" w:cs="宋体" w:hint="eastAsia"/>
            <w:bCs w:val="0"/>
            <w:szCs w:val="28"/>
            <w:lang w:eastAsia="zh-CN"/>
          </w:rPr>
          <w:t>(二)、市场定位与竞争分析</w:t>
        </w:r>
        <w:r>
          <w:tab/>
        </w:r>
        <w:r>
          <w:fldChar w:fldCharType="begin"/>
        </w:r>
        <w:r>
          <w:instrText xml:space="preserve"> PAGEREF _Toc29368 \h </w:instrText>
        </w:r>
        <w:r>
          <w:fldChar w:fldCharType="separate"/>
        </w:r>
        <w:r>
          <w:t>24</w:t>
        </w:r>
        <w:r>
          <w:fldChar w:fldCharType="end"/>
        </w:r>
      </w:hyperlink>
    </w:p>
    <w:p>
      <w:pPr>
        <w:pStyle w:val="TOC2"/>
        <w:tabs>
          <w:tab w:val="right" w:leader="dot" w:pos="8306"/>
        </w:tabs>
      </w:pPr>
      <w:hyperlink w:anchor="_Toc21872" w:history="1">
        <w:r>
          <w:rPr>
            <w:rFonts w:ascii="宋体" w:eastAsia="宋体" w:hAnsi="宋体" w:cs="宋体" w:hint="eastAsia"/>
            <w:bCs w:val="0"/>
            <w:szCs w:val="28"/>
            <w:lang w:eastAsia="zh-CN"/>
          </w:rPr>
          <w:t>(三)、推广与宣传策略</w:t>
        </w:r>
        <w:r>
          <w:tab/>
        </w:r>
        <w:r>
          <w:fldChar w:fldCharType="begin"/>
        </w:r>
        <w:r>
          <w:instrText xml:space="preserve"> PAGEREF _Toc21872 \h </w:instrText>
        </w:r>
        <w:r>
          <w:fldChar w:fldCharType="separate"/>
        </w:r>
        <w:r>
          <w:t>24</w:t>
        </w:r>
        <w:r>
          <w:fldChar w:fldCharType="end"/>
        </w:r>
      </w:hyperlink>
    </w:p>
    <w:p>
      <w:pPr>
        <w:pStyle w:val="TOC1"/>
        <w:tabs>
          <w:tab w:val="right" w:leader="dot" w:pos="8306"/>
        </w:tabs>
      </w:pPr>
      <w:hyperlink w:anchor="_Toc12059" w:history="1">
        <w:r>
          <w:rPr>
            <w:rFonts w:ascii="微软雅黑" w:eastAsia="微软雅黑" w:hAnsi="微软雅黑" w:cs="微软雅黑" w:hint="eastAsia"/>
            <w:color w:val="001CAC" w:themeColor="hyperlink" w:themeShade="BF"/>
            <w:szCs w:val="32"/>
            <w:lang w:eastAsia="zh-CN"/>
          </w:rPr>
          <w:t>六、可持续发展与绿色经营</w:t>
        </w:r>
        <w:r>
          <w:tab/>
        </w:r>
        <w:r>
          <w:fldChar w:fldCharType="begin"/>
        </w:r>
        <w:r>
          <w:instrText xml:space="preserve"> PAGEREF _Toc12059 \h </w:instrText>
        </w:r>
        <w:r>
          <w:fldChar w:fldCharType="separate"/>
        </w:r>
        <w:r>
          <w:t>25</w:t>
        </w:r>
        <w:r>
          <w:fldChar w:fldCharType="end"/>
        </w:r>
      </w:hyperlink>
    </w:p>
    <w:p>
      <w:pPr>
        <w:pStyle w:val="TOC2"/>
        <w:tabs>
          <w:tab w:val="right" w:leader="dot" w:pos="8306"/>
        </w:tabs>
      </w:pPr>
      <w:hyperlink w:anchor="_Toc25105" w:history="1">
        <w:r>
          <w:rPr>
            <w:rFonts w:ascii="宋体" w:eastAsia="宋体" w:hAnsi="宋体" w:cs="宋体" w:hint="eastAsia"/>
            <w:bCs w:val="0"/>
            <w:szCs w:val="28"/>
            <w:lang w:eastAsia="zh-CN"/>
          </w:rPr>
          <w:t>(一)、可持续发展战略与目标</w:t>
        </w:r>
        <w:r>
          <w:tab/>
        </w:r>
        <w:r>
          <w:fldChar w:fldCharType="begin"/>
        </w:r>
        <w:r>
          <w:instrText xml:space="preserve"> PAGEREF _Toc25105 \h </w:instrText>
        </w:r>
        <w:r>
          <w:fldChar w:fldCharType="separate"/>
        </w:r>
        <w:r>
          <w:t>25</w:t>
        </w:r>
        <w:r>
          <w:fldChar w:fldCharType="end"/>
        </w:r>
      </w:hyperlink>
    </w:p>
    <w:p>
      <w:pPr>
        <w:pStyle w:val="TOC2"/>
        <w:tabs>
          <w:tab w:val="right" w:leader="dot" w:pos="8306"/>
        </w:tabs>
      </w:pPr>
      <w:hyperlink w:anchor="_Toc30967" w:history="1">
        <w:r>
          <w:rPr>
            <w:rFonts w:ascii="宋体" w:eastAsia="宋体" w:hAnsi="宋体" w:cs="宋体" w:hint="eastAsia"/>
            <w:bCs w:val="0"/>
            <w:szCs w:val="28"/>
            <w:lang w:eastAsia="zh-CN"/>
          </w:rPr>
          <w:t>(二)、环保政策与实践</w:t>
        </w:r>
        <w:r>
          <w:tab/>
        </w:r>
        <w:r>
          <w:fldChar w:fldCharType="begin"/>
        </w:r>
        <w:r>
          <w:instrText xml:space="preserve"> PAGEREF _Toc30967 \h </w:instrText>
        </w:r>
        <w:r>
          <w:fldChar w:fldCharType="separate"/>
        </w:r>
        <w:r>
          <w:t>27</w:t>
        </w:r>
        <w:r>
          <w:fldChar w:fldCharType="end"/>
        </w:r>
      </w:hyperlink>
    </w:p>
    <w:p>
      <w:pPr>
        <w:pStyle w:val="TOC2"/>
        <w:tabs>
          <w:tab w:val="right" w:leader="dot" w:pos="8306"/>
        </w:tabs>
      </w:pPr>
      <w:hyperlink w:anchor="_Toc5600" w:history="1">
        <w:r>
          <w:rPr>
            <w:rFonts w:ascii="宋体" w:eastAsia="宋体" w:hAnsi="宋体" w:cs="宋体" w:hint="eastAsia"/>
            <w:bCs w:val="0"/>
            <w:szCs w:val="28"/>
            <w:lang w:eastAsia="zh-CN"/>
          </w:rPr>
          <w:t>(三)、资源利用与循环经济</w:t>
        </w:r>
        <w:r>
          <w:tab/>
        </w:r>
        <w:r>
          <w:fldChar w:fldCharType="begin"/>
        </w:r>
        <w:r>
          <w:instrText xml:space="preserve"> PAGEREF _Toc5600 \h </w:instrText>
        </w:r>
        <w:r>
          <w:fldChar w:fldCharType="separate"/>
        </w:r>
        <w:r>
          <w:t>29</w:t>
        </w:r>
        <w:r>
          <w:fldChar w:fldCharType="end"/>
        </w:r>
      </w:hyperlink>
    </w:p>
    <w:p>
      <w:pPr>
        <w:pStyle w:val="TOC2"/>
        <w:tabs>
          <w:tab w:val="right" w:leader="dot" w:pos="8306"/>
        </w:tabs>
      </w:pPr>
      <w:hyperlink w:anchor="_Toc1929" w:history="1">
        <w:r>
          <w:rPr>
            <w:rFonts w:ascii="宋体" w:eastAsia="宋体" w:hAnsi="宋体" w:cs="宋体" w:hint="eastAsia"/>
            <w:bCs w:val="0"/>
            <w:szCs w:val="28"/>
            <w:lang w:eastAsia="zh-CN"/>
          </w:rPr>
          <w:t>(四)、碳中和与生态足迹</w:t>
        </w:r>
        <w:r>
          <w:tab/>
        </w:r>
        <w:r>
          <w:fldChar w:fldCharType="begin"/>
        </w:r>
        <w:r>
          <w:instrText xml:space="preserve"> PAGEREF _Toc1929 \h </w:instrText>
        </w:r>
        <w:r>
          <w:fldChar w:fldCharType="separate"/>
        </w:r>
        <w:r>
          <w:t>30</w:t>
        </w:r>
        <w:r>
          <w:fldChar w:fldCharType="end"/>
        </w:r>
      </w:hyperlink>
    </w:p>
    <w:p>
      <w:pPr>
        <w:pStyle w:val="TOC1"/>
        <w:tabs>
          <w:tab w:val="right" w:leader="dot" w:pos="8306"/>
        </w:tabs>
      </w:pPr>
      <w:hyperlink w:anchor="_Toc20947" w:history="1">
        <w:r>
          <w:rPr>
            <w:rFonts w:ascii="微软雅黑" w:eastAsia="微软雅黑" w:hAnsi="微软雅黑" w:cs="微软雅黑" w:hint="eastAsia"/>
            <w:color w:val="001CAC" w:themeColor="hyperlink" w:themeShade="BF"/>
            <w:szCs w:val="32"/>
            <w:lang w:eastAsia="zh-CN"/>
          </w:rPr>
          <w:t>七、质量与技术管理</w:t>
        </w:r>
        <w:r>
          <w:tab/>
        </w:r>
        <w:r>
          <w:fldChar w:fldCharType="begin"/>
        </w:r>
        <w:r>
          <w:instrText xml:space="preserve"> PAGEREF _Toc20947 \h </w:instrText>
        </w:r>
        <w:r>
          <w:fldChar w:fldCharType="separate"/>
        </w:r>
        <w:r>
          <w:t>32</w:t>
        </w:r>
        <w:r>
          <w:fldChar w:fldCharType="end"/>
        </w:r>
      </w:hyperlink>
    </w:p>
    <w:p>
      <w:pPr>
        <w:pStyle w:val="TOC2"/>
        <w:tabs>
          <w:tab w:val="right" w:leader="dot" w:pos="8306"/>
        </w:tabs>
      </w:pPr>
      <w:hyperlink w:anchor="_Toc27604" w:history="1">
        <w:r>
          <w:rPr>
            <w:rFonts w:ascii="宋体" w:eastAsia="宋体" w:hAnsi="宋体" w:cs="宋体" w:hint="eastAsia"/>
            <w:bCs w:val="0"/>
            <w:szCs w:val="28"/>
            <w:lang w:eastAsia="zh-CN"/>
          </w:rPr>
          <w:t>(一)、质量管理体系建设</w:t>
        </w:r>
        <w:r>
          <w:tab/>
        </w:r>
        <w:r>
          <w:fldChar w:fldCharType="begin"/>
        </w:r>
        <w:r>
          <w:instrText xml:space="preserve"> PAGEREF _Toc27604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54" w:history="1">
        <w:r>
          <w:rPr>
            <w:rFonts w:ascii="宋体" w:eastAsia="宋体" w:hAnsi="宋体" w:cs="宋体" w:hint="eastAsia"/>
            <w:bCs w:val="0"/>
            <w:szCs w:val="28"/>
            <w:lang w:eastAsia="zh-CN"/>
          </w:rPr>
          <w:t>(二)、技术标准与创新</w:t>
        </w:r>
        <w:r>
          <w:tab/>
        </w:r>
        <w:r>
          <w:fldChar w:fldCharType="begin"/>
        </w:r>
        <w:r>
          <w:instrText xml:space="preserve"> PAGEREF _Toc28454 \h </w:instrText>
        </w:r>
        <w:r>
          <w:fldChar w:fldCharType="separate"/>
        </w:r>
        <w:r>
          <w:t>33</w:t>
        </w:r>
        <w:r>
          <w:fldChar w:fldCharType="end"/>
        </w:r>
      </w:hyperlink>
    </w:p>
    <w:p>
      <w:pPr>
        <w:pStyle w:val="TOC1"/>
        <w:tabs>
          <w:tab w:val="right" w:leader="dot" w:pos="8306"/>
        </w:tabs>
      </w:pPr>
      <w:hyperlink w:anchor="_Toc32094" w:history="1">
        <w:r>
          <w:rPr>
            <w:rFonts w:ascii="微软雅黑" w:eastAsia="微软雅黑" w:hAnsi="微软雅黑" w:cs="微软雅黑" w:hint="eastAsia"/>
            <w:color w:val="001CAC" w:themeColor="hyperlink" w:themeShade="BF"/>
            <w:szCs w:val="32"/>
            <w:lang w:eastAsia="zh-CN"/>
          </w:rPr>
          <w:t>八、杂技行业人力资源管理策略</w:t>
        </w:r>
        <w:r>
          <w:tab/>
        </w:r>
        <w:r>
          <w:fldChar w:fldCharType="begin"/>
        </w:r>
        <w:r>
          <w:instrText xml:space="preserve"> PAGEREF _Toc32094 \h </w:instrText>
        </w:r>
        <w:r>
          <w:fldChar w:fldCharType="separate"/>
        </w:r>
        <w:r>
          <w:t>34</w:t>
        </w:r>
        <w:r>
          <w:fldChar w:fldCharType="end"/>
        </w:r>
      </w:hyperlink>
    </w:p>
    <w:p>
      <w:pPr>
        <w:pStyle w:val="TOC2"/>
        <w:tabs>
          <w:tab w:val="right" w:leader="dot" w:pos="8306"/>
        </w:tabs>
      </w:pPr>
      <w:hyperlink w:anchor="_Toc9622" w:history="1">
        <w:r>
          <w:rPr>
            <w:rFonts w:ascii="宋体" w:eastAsia="宋体" w:hAnsi="宋体" w:cs="宋体" w:hint="eastAsia"/>
            <w:bCs w:val="0"/>
            <w:szCs w:val="28"/>
            <w:lang w:eastAsia="zh-CN"/>
          </w:rPr>
          <w:t>(一)、杂技行业人力资源管理原则</w:t>
        </w:r>
        <w:r>
          <w:tab/>
        </w:r>
        <w:r>
          <w:fldChar w:fldCharType="begin"/>
        </w:r>
        <w:r>
          <w:instrText xml:space="preserve"> PAGEREF _Toc9622 \h </w:instrText>
        </w:r>
        <w:r>
          <w:fldChar w:fldCharType="separate"/>
        </w:r>
        <w:r>
          <w:t>34</w:t>
        </w:r>
        <w:r>
          <w:fldChar w:fldCharType="end"/>
        </w:r>
      </w:hyperlink>
    </w:p>
    <w:p>
      <w:pPr>
        <w:pStyle w:val="TOC2"/>
        <w:tabs>
          <w:tab w:val="right" w:leader="dot" w:pos="8306"/>
        </w:tabs>
      </w:pPr>
      <w:hyperlink w:anchor="_Toc8704" w:history="1">
        <w:r>
          <w:rPr>
            <w:rFonts w:ascii="宋体" w:eastAsia="宋体" w:hAnsi="宋体" w:cs="宋体" w:hint="eastAsia"/>
            <w:bCs w:val="0"/>
            <w:szCs w:val="28"/>
            <w:lang w:eastAsia="zh-CN"/>
          </w:rPr>
          <w:t>(二)、杂技行业劳动关系管理</w:t>
        </w:r>
        <w:r>
          <w:tab/>
        </w:r>
        <w:r>
          <w:fldChar w:fldCharType="begin"/>
        </w:r>
        <w:r>
          <w:instrText xml:space="preserve"> PAGEREF _Toc8704 \h </w:instrText>
        </w:r>
        <w:r>
          <w:fldChar w:fldCharType="separate"/>
        </w:r>
        <w:r>
          <w:t>37</w:t>
        </w:r>
        <w:r>
          <w:fldChar w:fldCharType="end"/>
        </w:r>
      </w:hyperlink>
    </w:p>
    <w:p>
      <w:pPr>
        <w:pStyle w:val="TOC2"/>
        <w:tabs>
          <w:tab w:val="right" w:leader="dot" w:pos="8306"/>
        </w:tabs>
      </w:pPr>
      <w:hyperlink w:anchor="_Toc17536" w:history="1">
        <w:r>
          <w:rPr>
            <w:rFonts w:ascii="宋体" w:eastAsia="宋体" w:hAnsi="宋体" w:cs="宋体" w:hint="eastAsia"/>
            <w:bCs w:val="0"/>
            <w:szCs w:val="28"/>
            <w:lang w:eastAsia="zh-CN"/>
          </w:rPr>
          <w:t>(三)、杂技行业人员配置方案</w:t>
        </w:r>
        <w:r>
          <w:tab/>
        </w:r>
        <w:r>
          <w:fldChar w:fldCharType="begin"/>
        </w:r>
        <w:r>
          <w:instrText xml:space="preserve"> PAGEREF _Toc17536 \h </w:instrText>
        </w:r>
        <w:r>
          <w:fldChar w:fldCharType="separate"/>
        </w:r>
        <w:r>
          <w:t>38</w:t>
        </w:r>
        <w:r>
          <w:fldChar w:fldCharType="end"/>
        </w:r>
      </w:hyperlink>
    </w:p>
    <w:p>
      <w:pPr>
        <w:pStyle w:val="TOC2"/>
        <w:tabs>
          <w:tab w:val="right" w:leader="dot" w:pos="8306"/>
        </w:tabs>
      </w:pPr>
      <w:hyperlink w:anchor="_Toc28922" w:history="1">
        <w:r>
          <w:rPr>
            <w:rFonts w:ascii="宋体" w:eastAsia="宋体" w:hAnsi="宋体" w:cs="宋体" w:hint="eastAsia"/>
            <w:bCs w:val="0"/>
            <w:szCs w:val="28"/>
            <w:lang w:eastAsia="zh-CN"/>
          </w:rPr>
          <w:t>(四)、杂技行业员工招聘方案</w:t>
        </w:r>
        <w:r>
          <w:tab/>
        </w:r>
        <w:r>
          <w:fldChar w:fldCharType="begin"/>
        </w:r>
        <w:r>
          <w:instrText xml:space="preserve"> PAGEREF _Toc28922 \h </w:instrText>
        </w:r>
        <w:r>
          <w:fldChar w:fldCharType="separate"/>
        </w:r>
        <w:r>
          <w:t>39</w:t>
        </w:r>
        <w:r>
          <w:fldChar w:fldCharType="end"/>
        </w:r>
      </w:hyperlink>
    </w:p>
    <w:p>
      <w:pPr>
        <w:pStyle w:val="TOC2"/>
        <w:tabs>
          <w:tab w:val="right" w:leader="dot" w:pos="8306"/>
        </w:tabs>
      </w:pPr>
      <w:hyperlink w:anchor="_Toc24081" w:history="1">
        <w:r>
          <w:rPr>
            <w:rFonts w:ascii="宋体" w:eastAsia="宋体" w:hAnsi="宋体" w:cs="宋体" w:hint="eastAsia"/>
            <w:bCs w:val="0"/>
            <w:szCs w:val="28"/>
            <w:lang w:eastAsia="zh-CN"/>
          </w:rPr>
          <w:t>(五)、杂技行业绩效和薪酬管理方案</w:t>
        </w:r>
        <w:r>
          <w:tab/>
        </w:r>
        <w:r>
          <w:fldChar w:fldCharType="begin"/>
        </w:r>
        <w:r>
          <w:instrText xml:space="preserve"> PAGEREF _Toc24081 \h </w:instrText>
        </w:r>
        <w:r>
          <w:fldChar w:fldCharType="separate"/>
        </w:r>
        <w:r>
          <w:t>41</w:t>
        </w:r>
        <w:r>
          <w:fldChar w:fldCharType="end"/>
        </w:r>
      </w:hyperlink>
    </w:p>
    <w:p>
      <w:pPr>
        <w:pStyle w:val="TOC2"/>
        <w:tabs>
          <w:tab w:val="right" w:leader="dot" w:pos="8306"/>
        </w:tabs>
      </w:pPr>
      <w:hyperlink w:anchor="_Toc29676" w:history="1">
        <w:r>
          <w:rPr>
            <w:rFonts w:ascii="宋体" w:eastAsia="宋体" w:hAnsi="宋体" w:cs="宋体" w:hint="eastAsia"/>
            <w:bCs w:val="0"/>
            <w:szCs w:val="28"/>
            <w:lang w:eastAsia="zh-CN"/>
          </w:rPr>
          <w:t>(六)、杂技行业员工福利管理方案</w:t>
        </w:r>
        <w:r>
          <w:tab/>
        </w:r>
        <w:r>
          <w:fldChar w:fldCharType="begin"/>
        </w:r>
        <w:r>
          <w:instrText xml:space="preserve"> PAGEREF _Toc29676 \h </w:instrText>
        </w:r>
        <w:r>
          <w:fldChar w:fldCharType="separate"/>
        </w:r>
        <w:r>
          <w:t>42</w:t>
        </w:r>
        <w:r>
          <w:fldChar w:fldCharType="end"/>
        </w:r>
      </w:hyperlink>
    </w:p>
    <w:p>
      <w:pPr>
        <w:pStyle w:val="TOC1"/>
        <w:tabs>
          <w:tab w:val="right" w:leader="dot" w:pos="8306"/>
        </w:tabs>
      </w:pPr>
      <w:hyperlink w:anchor="_Toc15596" w:history="1">
        <w:r>
          <w:rPr>
            <w:rFonts w:ascii="微软雅黑" w:eastAsia="微软雅黑" w:hAnsi="微软雅黑" w:cs="微软雅黑" w:hint="eastAsia"/>
            <w:color w:val="001CAC" w:themeColor="hyperlink" w:themeShade="BF"/>
            <w:szCs w:val="32"/>
            <w:lang w:eastAsia="zh-CN"/>
          </w:rPr>
          <w:t>九、杂技行业制度建设与执行</w:t>
        </w:r>
        <w:r>
          <w:tab/>
        </w:r>
        <w:r>
          <w:fldChar w:fldCharType="begin"/>
        </w:r>
        <w:r>
          <w:instrText xml:space="preserve"> PAGEREF _Toc15596 \h </w:instrText>
        </w:r>
        <w:r>
          <w:fldChar w:fldCharType="separate"/>
        </w:r>
        <w:r>
          <w:t>44</w:t>
        </w:r>
        <w:r>
          <w:fldChar w:fldCharType="end"/>
        </w:r>
      </w:hyperlink>
    </w:p>
    <w:p>
      <w:pPr>
        <w:pStyle w:val="TOC2"/>
        <w:tabs>
          <w:tab w:val="right" w:leader="dot" w:pos="8306"/>
        </w:tabs>
      </w:pPr>
      <w:hyperlink w:anchor="_Toc7273" w:history="1">
        <w:r>
          <w:rPr>
            <w:rFonts w:ascii="宋体" w:eastAsia="宋体" w:hAnsi="宋体" w:cs="宋体" w:hint="eastAsia"/>
            <w:bCs w:val="0"/>
            <w:szCs w:val="28"/>
            <w:lang w:eastAsia="zh-CN"/>
          </w:rPr>
          <w:t>(一)、公司制度体系规划</w:t>
        </w:r>
        <w:r>
          <w:tab/>
        </w:r>
        <w:r>
          <w:fldChar w:fldCharType="begin"/>
        </w:r>
        <w:r>
          <w:instrText xml:space="preserve"> PAGEREF _Toc7273 \h </w:instrText>
        </w:r>
        <w:r>
          <w:fldChar w:fldCharType="separate"/>
        </w:r>
        <w:r>
          <w:t>44</w:t>
        </w:r>
        <w:r>
          <w:fldChar w:fldCharType="end"/>
        </w:r>
      </w:hyperlink>
    </w:p>
    <w:p>
      <w:pPr>
        <w:pStyle w:val="TOC2"/>
        <w:tabs>
          <w:tab w:val="right" w:leader="dot" w:pos="8306"/>
        </w:tabs>
      </w:pPr>
      <w:hyperlink w:anchor="_Toc32743" w:history="1">
        <w:r>
          <w:rPr>
            <w:rFonts w:ascii="宋体" w:eastAsia="宋体" w:hAnsi="宋体" w:cs="宋体" w:hint="eastAsia"/>
            <w:bCs w:val="0"/>
            <w:szCs w:val="28"/>
            <w:lang w:eastAsia="zh-CN"/>
          </w:rPr>
          <w:t>(二)、员工手册编制与更新</w:t>
        </w:r>
        <w:r>
          <w:tab/>
        </w:r>
        <w:r>
          <w:fldChar w:fldCharType="begin"/>
        </w:r>
        <w:r>
          <w:instrText xml:space="preserve"> PAGEREF _Toc32743 \h </w:instrText>
        </w:r>
        <w:r>
          <w:fldChar w:fldCharType="separate"/>
        </w:r>
        <w:r>
          <w:t>46</w:t>
        </w:r>
        <w:r>
          <w:fldChar w:fldCharType="end"/>
        </w:r>
      </w:hyperlink>
    </w:p>
    <w:p>
      <w:pPr>
        <w:pStyle w:val="TOC2"/>
        <w:tabs>
          <w:tab w:val="right" w:leader="dot" w:pos="8306"/>
        </w:tabs>
      </w:pPr>
      <w:hyperlink w:anchor="_Toc31545" w:history="1">
        <w:r>
          <w:rPr>
            <w:rFonts w:ascii="宋体" w:eastAsia="宋体" w:hAnsi="宋体" w:cs="宋体" w:hint="eastAsia"/>
            <w:bCs w:val="0"/>
            <w:szCs w:val="28"/>
            <w:lang w:eastAsia="zh-CN"/>
          </w:rPr>
          <w:t>(三)、制度宣导与培训</w:t>
        </w:r>
        <w:r>
          <w:tab/>
        </w:r>
        <w:r>
          <w:fldChar w:fldCharType="begin"/>
        </w:r>
        <w:r>
          <w:instrText xml:space="preserve"> PAGEREF _Toc31545 \h </w:instrText>
        </w:r>
        <w:r>
          <w:fldChar w:fldCharType="separate"/>
        </w:r>
        <w:r>
          <w:t>47</w:t>
        </w:r>
        <w:r>
          <w:fldChar w:fldCharType="end"/>
        </w:r>
      </w:hyperlink>
    </w:p>
    <w:p>
      <w:pPr>
        <w:pStyle w:val="TOC2"/>
        <w:tabs>
          <w:tab w:val="right" w:leader="dot" w:pos="8306"/>
        </w:tabs>
      </w:pPr>
      <w:hyperlink w:anchor="_Toc21716" w:history="1">
        <w:r>
          <w:rPr>
            <w:rFonts w:ascii="宋体" w:eastAsia="宋体" w:hAnsi="宋体" w:cs="宋体" w:hint="eastAsia"/>
            <w:bCs w:val="0"/>
            <w:szCs w:val="28"/>
            <w:lang w:eastAsia="zh-CN"/>
          </w:rPr>
          <w:t>(四)、主要防范措施</w:t>
        </w:r>
        <w:r>
          <w:tab/>
        </w:r>
        <w:r>
          <w:fldChar w:fldCharType="begin"/>
        </w:r>
        <w:r>
          <w:instrText xml:space="preserve"> PAGEREF _Toc21716 \h </w:instrText>
        </w:r>
        <w:r>
          <w:fldChar w:fldCharType="separate"/>
        </w:r>
        <w:r>
          <w:t>48</w:t>
        </w:r>
        <w:r>
          <w:fldChar w:fldCharType="end"/>
        </w:r>
      </w:hyperlink>
    </w:p>
    <w:p>
      <w:pPr>
        <w:pStyle w:val="TOC2"/>
        <w:tabs>
          <w:tab w:val="right" w:leader="dot" w:pos="8306"/>
        </w:tabs>
      </w:pPr>
      <w:hyperlink w:anchor="_Toc28288" w:history="1">
        <w:r>
          <w:rPr>
            <w:rFonts w:ascii="宋体" w:eastAsia="宋体" w:hAnsi="宋体" w:cs="宋体" w:hint="eastAsia"/>
            <w:bCs w:val="0"/>
            <w:szCs w:val="28"/>
            <w:lang w:eastAsia="zh-CN"/>
          </w:rPr>
          <w:t>(五)、制度优化与更新</w:t>
        </w:r>
        <w:r>
          <w:tab/>
        </w:r>
        <w:r>
          <w:fldChar w:fldCharType="begin"/>
        </w:r>
        <w:r>
          <w:instrText xml:space="preserve"> PAGEREF _Toc28288 \h </w:instrText>
        </w:r>
        <w:r>
          <w:fldChar w:fldCharType="separate"/>
        </w:r>
        <w:r>
          <w:t>49</w:t>
        </w:r>
        <w:r>
          <w:fldChar w:fldCharType="end"/>
        </w:r>
      </w:hyperlink>
    </w:p>
    <w:p>
      <w:pPr>
        <w:pStyle w:val="TOC1"/>
        <w:tabs>
          <w:tab w:val="right" w:leader="dot" w:pos="8306"/>
        </w:tabs>
      </w:pPr>
      <w:hyperlink w:anchor="_Toc21105" w:history="1">
        <w:r>
          <w:rPr>
            <w:rFonts w:ascii="微软雅黑" w:eastAsia="微软雅黑" w:hAnsi="微软雅黑" w:cs="微软雅黑" w:hint="eastAsia"/>
            <w:color w:val="001CAC" w:themeColor="hyperlink" w:themeShade="BF"/>
            <w:szCs w:val="32"/>
            <w:lang w:eastAsia="zh-CN"/>
          </w:rPr>
          <w:t>十、制度运行与优化</w:t>
        </w:r>
        <w:r>
          <w:tab/>
        </w:r>
        <w:r>
          <w:fldChar w:fldCharType="begin"/>
        </w:r>
        <w:r>
          <w:instrText xml:space="preserve"> PAGEREF _Toc21105 \h </w:instrText>
        </w:r>
        <w:r>
          <w:fldChar w:fldCharType="separate"/>
        </w:r>
        <w:r>
          <w:t>50</w:t>
        </w:r>
        <w:r>
          <w:fldChar w:fldCharType="end"/>
        </w:r>
      </w:hyperlink>
    </w:p>
    <w:p>
      <w:pPr>
        <w:pStyle w:val="TOC2"/>
        <w:tabs>
          <w:tab w:val="right" w:leader="dot" w:pos="8306"/>
        </w:tabs>
      </w:pPr>
      <w:hyperlink w:anchor="_Toc26224" w:history="1">
        <w:r>
          <w:rPr>
            <w:rFonts w:ascii="宋体" w:eastAsia="宋体" w:hAnsi="宋体" w:cs="宋体" w:hint="eastAsia"/>
            <w:bCs w:val="0"/>
            <w:szCs w:val="28"/>
            <w:lang w:eastAsia="zh-CN"/>
          </w:rPr>
          <w:t>(一)、制度执行与监督</w:t>
        </w:r>
        <w:r>
          <w:tab/>
        </w:r>
        <w:r>
          <w:fldChar w:fldCharType="begin"/>
        </w:r>
        <w:r>
          <w:instrText xml:space="preserve"> PAGEREF _Toc26224 \h </w:instrText>
        </w:r>
        <w:r>
          <w:fldChar w:fldCharType="separate"/>
        </w:r>
        <w:r>
          <w:t>50</w:t>
        </w:r>
        <w:r>
          <w:fldChar w:fldCharType="end"/>
        </w:r>
      </w:hyperlink>
    </w:p>
    <w:p>
      <w:pPr>
        <w:pStyle w:val="TOC2"/>
        <w:tabs>
          <w:tab w:val="right" w:leader="dot" w:pos="8306"/>
        </w:tabs>
      </w:pPr>
      <w:hyperlink w:anchor="_Toc13040" w:history="1">
        <w:r>
          <w:rPr>
            <w:rFonts w:ascii="宋体" w:eastAsia="宋体" w:hAnsi="宋体" w:cs="宋体" w:hint="eastAsia"/>
            <w:bCs w:val="0"/>
            <w:szCs w:val="28"/>
            <w:lang w:eastAsia="zh-CN"/>
          </w:rPr>
          <w:t>(二)、制度优化与更新</w:t>
        </w:r>
        <w:r>
          <w:tab/>
        </w:r>
        <w:r>
          <w:fldChar w:fldCharType="begin"/>
        </w:r>
        <w:r>
          <w:instrText xml:space="preserve"> PAGEREF _Toc13040 \h </w:instrText>
        </w:r>
        <w:r>
          <w:fldChar w:fldCharType="separate"/>
        </w:r>
        <w:r>
          <w:t>50</w:t>
        </w:r>
        <w:r>
          <w:fldChar w:fldCharType="end"/>
        </w:r>
      </w:hyperlink>
    </w:p>
    <w:p>
      <w:pPr>
        <w:pStyle w:val="TOC1"/>
        <w:tabs>
          <w:tab w:val="right" w:leader="dot" w:pos="8306"/>
        </w:tabs>
      </w:pPr>
      <w:hyperlink w:anchor="_Toc7209" w:history="1">
        <w:r>
          <w:rPr>
            <w:rFonts w:ascii="微软雅黑" w:eastAsia="微软雅黑" w:hAnsi="微软雅黑" w:cs="微软雅黑" w:hint="eastAsia"/>
            <w:color w:val="001CAC" w:themeColor="hyperlink" w:themeShade="BF"/>
            <w:szCs w:val="32"/>
            <w:lang w:eastAsia="zh-CN"/>
          </w:rPr>
          <w:t>十一、杂技行业质量管理方案</w:t>
        </w:r>
        <w:r>
          <w:tab/>
        </w:r>
        <w:r>
          <w:fldChar w:fldCharType="begin"/>
        </w:r>
        <w:r>
          <w:instrText xml:space="preserve"> PAGEREF _Toc7209 \h </w:instrText>
        </w:r>
        <w:r>
          <w:fldChar w:fldCharType="separate"/>
        </w:r>
        <w:r>
          <w:t>51</w:t>
        </w:r>
        <w:r>
          <w:fldChar w:fldCharType="end"/>
        </w:r>
      </w:hyperlink>
    </w:p>
    <w:p>
      <w:pPr>
        <w:pStyle w:val="TOC2"/>
        <w:tabs>
          <w:tab w:val="right" w:leader="dot" w:pos="8306"/>
        </w:tabs>
      </w:pPr>
      <w:hyperlink w:anchor="_Toc31678" w:history="1">
        <w:r>
          <w:rPr>
            <w:rFonts w:ascii="宋体" w:eastAsia="宋体" w:hAnsi="宋体" w:cs="宋体" w:hint="eastAsia"/>
            <w:bCs w:val="0"/>
            <w:szCs w:val="28"/>
            <w:lang w:eastAsia="zh-CN"/>
          </w:rPr>
          <w:t>(一)、杂技行业质量管理要求</w:t>
        </w:r>
        <w:r>
          <w:tab/>
        </w:r>
        <w:r>
          <w:fldChar w:fldCharType="begin"/>
        </w:r>
        <w:r>
          <w:instrText xml:space="preserve"> PAGEREF _Toc31678 \h </w:instrText>
        </w:r>
        <w:r>
          <w:fldChar w:fldCharType="separate"/>
        </w:r>
        <w:r>
          <w:t>51</w:t>
        </w:r>
        <w:r>
          <w:fldChar w:fldCharType="end"/>
        </w:r>
      </w:hyperlink>
    </w:p>
    <w:p>
      <w:pPr>
        <w:pStyle w:val="TOC2"/>
        <w:tabs>
          <w:tab w:val="right" w:leader="dot" w:pos="8306"/>
        </w:tabs>
      </w:pPr>
      <w:hyperlink w:anchor="_Toc13555" w:history="1">
        <w:r>
          <w:rPr>
            <w:rFonts w:ascii="宋体" w:eastAsia="宋体" w:hAnsi="宋体" w:cs="宋体" w:hint="eastAsia"/>
            <w:bCs w:val="0"/>
            <w:szCs w:val="28"/>
            <w:lang w:eastAsia="zh-CN"/>
          </w:rPr>
          <w:t>(二)、杂技行业服务质量管理方案</w:t>
        </w:r>
        <w:r>
          <w:tab/>
        </w:r>
        <w:r>
          <w:fldChar w:fldCharType="begin"/>
        </w:r>
        <w:r>
          <w:instrText xml:space="preserve"> PAGEREF _Toc13555 \h </w:instrText>
        </w:r>
        <w:r>
          <w:fldChar w:fldCharType="separate"/>
        </w:r>
        <w:r>
          <w:t>52</w:t>
        </w:r>
        <w:r>
          <w:fldChar w:fldCharType="end"/>
        </w:r>
      </w:hyperlink>
    </w:p>
    <w:p>
      <w:pPr>
        <w:pStyle w:val="TOC2"/>
        <w:tabs>
          <w:tab w:val="right" w:leader="dot" w:pos="8306"/>
        </w:tabs>
      </w:pPr>
      <w:hyperlink w:anchor="_Toc17513" w:history="1">
        <w:r>
          <w:rPr>
            <w:rFonts w:ascii="宋体" w:eastAsia="宋体" w:hAnsi="宋体" w:cs="宋体" w:hint="eastAsia"/>
            <w:bCs w:val="0"/>
            <w:szCs w:val="28"/>
            <w:lang w:eastAsia="zh-CN"/>
          </w:rPr>
          <w:t>(三)、杂技行业质量成本管理方案</w:t>
        </w:r>
        <w:r>
          <w:tab/>
        </w:r>
        <w:r>
          <w:fldChar w:fldCharType="begin"/>
        </w:r>
        <w:r>
          <w:instrText xml:space="preserve"> PAGEREF _Toc17513 \h </w:instrText>
        </w:r>
        <w:r>
          <w:fldChar w:fldCharType="separate"/>
        </w:r>
        <w:r>
          <w:t>53</w:t>
        </w:r>
        <w:r>
          <w:fldChar w:fldCharType="end"/>
        </w:r>
      </w:hyperlink>
    </w:p>
    <w:p>
      <w:pPr>
        <w:pStyle w:val="TOC1"/>
        <w:tabs>
          <w:tab w:val="right" w:leader="dot" w:pos="8306"/>
        </w:tabs>
      </w:pPr>
      <w:hyperlink w:anchor="_Toc23547" w:history="1">
        <w:r>
          <w:rPr>
            <w:rFonts w:ascii="微软雅黑" w:eastAsia="微软雅黑" w:hAnsi="微软雅黑" w:cs="微软雅黑" w:hint="eastAsia"/>
            <w:color w:val="001CAC" w:themeColor="hyperlink" w:themeShade="BF"/>
            <w:szCs w:val="32"/>
            <w:lang w:eastAsia="zh-CN"/>
          </w:rPr>
          <w:t>十二、制度运行与优化</w:t>
        </w:r>
        <w:r>
          <w:tab/>
        </w:r>
        <w:r>
          <w:fldChar w:fldCharType="begin"/>
        </w:r>
        <w:r>
          <w:instrText xml:space="preserve"> PAGEREF _Toc23547 \h </w:instrText>
        </w:r>
        <w:r>
          <w:fldChar w:fldCharType="separate"/>
        </w:r>
        <w:r>
          <w:t>53</w:t>
        </w:r>
        <w:r>
          <w:fldChar w:fldCharType="end"/>
        </w:r>
      </w:hyperlink>
    </w:p>
    <w:p>
      <w:pPr>
        <w:pStyle w:val="TOC2"/>
        <w:tabs>
          <w:tab w:val="right" w:leader="dot" w:pos="8306"/>
        </w:tabs>
      </w:pPr>
      <w:hyperlink w:anchor="_Toc7640" w:history="1">
        <w:r>
          <w:rPr>
            <w:rFonts w:ascii="宋体" w:eastAsia="宋体" w:hAnsi="宋体" w:cs="宋体" w:hint="eastAsia"/>
            <w:bCs w:val="0"/>
            <w:szCs w:val="28"/>
            <w:lang w:eastAsia="zh-CN"/>
          </w:rPr>
          <w:t>(一)、制度执行与监督</w:t>
        </w:r>
        <w:r>
          <w:tab/>
        </w:r>
        <w:r>
          <w:fldChar w:fldCharType="begin"/>
        </w:r>
        <w:r>
          <w:instrText xml:space="preserve"> PAGEREF _Toc7640 \h </w:instrText>
        </w:r>
        <w:r>
          <w:fldChar w:fldCharType="separate"/>
        </w:r>
        <w:r>
          <w:t>53</w:t>
        </w:r>
        <w:r>
          <w:fldChar w:fldCharType="end"/>
        </w:r>
      </w:hyperlink>
    </w:p>
    <w:p>
      <w:pPr>
        <w:pStyle w:val="TOC2"/>
        <w:tabs>
          <w:tab w:val="right" w:leader="dot" w:pos="8306"/>
        </w:tabs>
      </w:pPr>
      <w:hyperlink w:anchor="_Toc28467" w:history="1">
        <w:r>
          <w:rPr>
            <w:rFonts w:ascii="宋体" w:eastAsia="宋体" w:hAnsi="宋体" w:cs="宋体" w:hint="eastAsia"/>
            <w:bCs w:val="0"/>
            <w:szCs w:val="28"/>
            <w:lang w:eastAsia="zh-CN"/>
          </w:rPr>
          <w:t>(二)、制度优化与更新</w:t>
        </w:r>
        <w:r>
          <w:tab/>
        </w:r>
        <w:r>
          <w:fldChar w:fldCharType="begin"/>
        </w:r>
        <w:r>
          <w:instrText xml:space="preserve"> PAGEREF _Toc28467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5254"/>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杂技行业研究报告是对杂技行业深入剖析的结果，旨在为杂技行业从业人员提供参考和借鉴。该报告所涉及的内容仅供学术研究和学习交流,不可用于商业用途。通过对杂技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3824"/>
      <w:r>
        <w:rPr>
          <w:rFonts w:ascii="微软雅黑" w:eastAsia="微软雅黑" w:hAnsi="微软雅黑" w:cs="微软雅黑" w:hint="eastAsia"/>
          <w:color w:val="2E54A1" w:themeColor="accent1" w:themeShade="BF"/>
          <w:sz w:val="32"/>
          <w:szCs w:val="32"/>
          <w:lang w:eastAsia="zh-CN"/>
        </w:rPr>
        <w:t>一、安全与劳动保护</w:t>
      </w:r>
      <w:bookmarkEnd w:id="2"/>
    </w:p>
    <w:p>
      <w:pPr>
        <w:pStyle w:val="Heading2"/>
        <w:spacing w:line="480" w:lineRule="auto"/>
        <w:rPr>
          <w:rFonts w:ascii="宋体" w:eastAsia="宋体" w:hAnsi="宋体" w:cs="宋体" w:hint="eastAsia"/>
          <w:bCs w:val="0"/>
          <w:sz w:val="28"/>
          <w:szCs w:val="28"/>
          <w:lang w:eastAsia="zh-CN"/>
        </w:rPr>
      </w:pPr>
      <w:bookmarkStart w:id="3" w:name="_Toc8274"/>
      <w:r>
        <w:rPr>
          <w:rFonts w:ascii="宋体" w:eastAsia="宋体" w:hAnsi="宋体" w:cs="宋体" w:hint="eastAsia"/>
          <w:b/>
          <w:bCs w:val="0"/>
          <w:sz w:val="28"/>
          <w:szCs w:val="28"/>
          <w:lang w:eastAsia="zh-CN"/>
        </w:rPr>
        <w:t>(一)、设计依据与法规合规</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过深入研究和全面了解相关的法规和标准，我们确保项目的设计与规划符合国家和地区的法规要求。这不仅有助于项目的合法合规运行，也为劳动保护提供了坚实的法律基础。我们注重对设计方案的审核，确保其符合各项法规的要求，以预防潜在的安全风险和劳动保护隐患。</w:t>
      </w:r>
    </w:p>
    <w:p>
      <w:pPr>
        <w:pStyle w:val="Heading2"/>
        <w:spacing w:line="480" w:lineRule="auto"/>
        <w:rPr>
          <w:rFonts w:ascii="宋体" w:eastAsia="宋体" w:hAnsi="宋体" w:cs="宋体" w:hint="eastAsia"/>
          <w:bCs w:val="0"/>
          <w:sz w:val="28"/>
          <w:szCs w:val="28"/>
          <w:lang w:eastAsia="zh-CN"/>
        </w:rPr>
      </w:pPr>
      <w:bookmarkStart w:id="4" w:name="_Toc10727"/>
      <w:r>
        <w:rPr>
          <w:rFonts w:ascii="宋体" w:eastAsia="宋体" w:hAnsi="宋体" w:cs="宋体" w:hint="eastAsia"/>
          <w:b/>
          <w:bCs w:val="0"/>
          <w:sz w:val="28"/>
          <w:szCs w:val="28"/>
          <w:lang w:eastAsia="zh-CN"/>
        </w:rPr>
        <w:t>(二)、劳动安全预期效果评价</w:t>
      </w:r>
      <w:bookmarkEnd w:id="4"/>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劳动安全预期效果评价是我们保障项目运营安全的重要手段之一。通过在项目运营前对潜在的风险和安全隐患进行充分评估，我们能够预见可能发生的问题，并制定相应的应对策略。这有助于提前排除潜在的安全隐患，保障项目运营的平稳进行。我们注重对每一项工作环节的风险评估，确保在项目的每个阶段都有科学可行的安全保障措施。</w:t>
      </w:r>
    </w:p>
    <w:p>
      <w:pPr>
        <w:pStyle w:val="Heading2"/>
        <w:spacing w:line="480" w:lineRule="auto"/>
        <w:rPr>
          <w:rFonts w:ascii="宋体" w:eastAsia="宋体" w:hAnsi="宋体" w:cs="宋体" w:hint="eastAsia"/>
          <w:bCs w:val="0"/>
          <w:sz w:val="28"/>
          <w:szCs w:val="28"/>
          <w:lang w:eastAsia="zh-CN"/>
        </w:rPr>
      </w:pPr>
      <w:bookmarkStart w:id="5" w:name="_Toc4729"/>
      <w:r>
        <w:rPr>
          <w:rFonts w:ascii="宋体" w:eastAsia="宋体" w:hAnsi="宋体" w:cs="宋体" w:hint="eastAsia"/>
          <w:b/>
          <w:bCs w:val="0"/>
          <w:sz w:val="28"/>
          <w:szCs w:val="28"/>
          <w:lang w:eastAsia="zh-CN"/>
        </w:rPr>
        <w:t>(三)、主要防范措施</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的过程中,我们对安全操作规程的执行持续严格把关，确保所有参与项目的人员都接受了相应的安全培训,掌握了必要的操作技能。我们认识到培训的重要性，因此通过定期的培训计划，不断提升团队成员的安全意识和紧急情况处理能力。这有助于在实际工作中做到心中有数，保障每位成员在项目中的工作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各类突发状况,我们在项目实施中设立了定期的安全检查与演练机制。通过模拟各类可能发生的安全问题，我们评估团队的应急响应能力，及时纠正不足之处，并优化应对方案。这种演练不仅提高了团队的整体素养，也使每位成员更加熟悉项目环境，为实际工作中的风险提前做好准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场安全管理方面，我们建立了一套科学的安全生产责任制度。每位项目参与者都有明确的安全责任,包括对自己和他人的安全负责。我们强调团队协作，鼓励成员间相互监督，形成了一个紧密的安全管理网络。同时，我们加强了现场的安全监控和隐患排查机制，确保安全隐患能够及时发现、迅速处理,从而将潜在风险控制在最小范围内。</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通过这些全面、有力的防范措施，我们不仅在项目实施中确保了高水平的安全管理，也向团队传递了对安全的高度重视。这种安全文化的建设不仅仅是符合法规要求,更是我们对团队成员生命安全的高度责任感的体现。在未来的项目中，我们将继续秉持着对安全的执着追求，为每个项目成员提供一个安全、稳定的工作环境。</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27652"/>
      <w:r>
        <w:rPr>
          <w:rFonts w:ascii="微软雅黑" w:eastAsia="微软雅黑" w:hAnsi="微软雅黑" w:cs="微软雅黑" w:hint="eastAsia"/>
          <w:color w:val="2E54A1" w:themeColor="accent1" w:themeShade="BF"/>
          <w:sz w:val="32"/>
          <w:szCs w:val="32"/>
          <w:lang w:eastAsia="zh-CN"/>
        </w:rPr>
        <w:t>二、杂技行业公司治理与社会责任</w:t>
      </w:r>
      <w:bookmarkEnd w:id="6"/>
    </w:p>
    <w:p>
      <w:pPr>
        <w:pStyle w:val="Heading2"/>
        <w:spacing w:line="480" w:lineRule="auto"/>
        <w:rPr>
          <w:rFonts w:ascii="宋体" w:eastAsia="宋体" w:hAnsi="宋体" w:cs="宋体" w:hint="eastAsia"/>
          <w:bCs w:val="0"/>
          <w:sz w:val="28"/>
          <w:szCs w:val="28"/>
          <w:lang w:eastAsia="zh-CN"/>
        </w:rPr>
      </w:pPr>
      <w:bookmarkStart w:id="7" w:name="_Toc31756"/>
      <w:r>
        <w:rPr>
          <w:rFonts w:ascii="宋体" w:eastAsia="宋体" w:hAnsi="宋体" w:cs="宋体" w:hint="eastAsia"/>
          <w:b/>
          <w:bCs w:val="0"/>
          <w:sz w:val="28"/>
          <w:szCs w:val="28"/>
          <w:lang w:eastAsia="zh-CN"/>
        </w:rPr>
        <w:t>(一)、公司治理结构</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我们积极致力于建立健全的公司治理结构，以确保公司各项业务能够在高效、透明的环境中运作。我们深知治理结构的关键性，因此明确了权责分工，并建立了包括董事会、监事会等在内的多个机构,以实现各方面利益的平衡。这一严密的治理结构不仅降低了公司运营的风险，还提高了决策的效率，为公司的长期健康发展翼定了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特别注重治理结构的灵活性,充分认识到公司发展阶段和市场环境的不断变化。因此，我们随时准备进行相应的结构调整，以确保公司的治理机制能够紧跟外部变化，灵活应对各种挑战，从而保持竞争力。这种动态而富有适应性的治理机制使我们能够更好地适应不断变化的商业环境，为公司的可持续成功提供坚实支持。</w:t>
      </w:r>
    </w:p>
    <w:p>
      <w:pPr>
        <w:pStyle w:val="Heading2"/>
        <w:spacing w:line="480" w:lineRule="auto"/>
        <w:rPr>
          <w:rFonts w:ascii="宋体" w:eastAsia="宋体" w:hAnsi="宋体" w:cs="宋体" w:hint="eastAsia"/>
          <w:bCs w:val="0"/>
          <w:sz w:val="28"/>
          <w:szCs w:val="28"/>
          <w:lang w:eastAsia="zh-CN"/>
        </w:rPr>
      </w:pPr>
      <w:bookmarkStart w:id="8" w:name="_Toc12972"/>
      <w:r>
        <w:rPr>
          <w:rFonts w:ascii="宋体" w:eastAsia="宋体" w:hAnsi="宋体" w:cs="宋体" w:hint="eastAsia"/>
          <w:b/>
          <w:bCs w:val="0"/>
          <w:sz w:val="28"/>
          <w:szCs w:val="28"/>
          <w:lang w:eastAsia="zh-CN"/>
        </w:rPr>
        <w:t>(二)、董事会运作与决策</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的董事会被视为公司治理的核心机构,对于公司战略的制定和执行具有至关重要的作用。为了确保董事会的高效运作和决策的迅速执行，我们建立了严密而高效的董事会运作机制。董事会会议被定期召开，以确保信息的及时传递和决策的高效执行。为了保证董事会成员能够对公司的全局有全面把握，他们不仅具备业务专业知识，还具备跨领域的经验。</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董事会决策的透明度是我们公司治理的一个重要原则。我们鼓励董事之间的积极互动，倡导充分的讨论和多元化的观点交流，以确保每个决策都是基于深思熟虑的。这种开放和透明的讨论氛围有助于挖掘问题的多个层面，为制定明智的战略提供了坚实的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同时，为了保持公司治理的公正性和透明度，我们注重建立信息公开制度。这包括向股东和其他利益相关者提供充分的决策信息，使他们能够深入了解董事会的决策过程和思考路径。通过这一公正透明的治理机制，我们旨在建立信任，促进公司的长期稳健发展。</w:t>
      </w:r>
    </w:p>
    <w:p>
      <w:pPr>
        <w:pStyle w:val="Heading2"/>
        <w:spacing w:line="480" w:lineRule="auto"/>
        <w:rPr>
          <w:rFonts w:ascii="宋体" w:eastAsia="宋体" w:hAnsi="宋体" w:cs="宋体" w:hint="eastAsia"/>
          <w:bCs w:val="0"/>
          <w:sz w:val="28"/>
          <w:szCs w:val="28"/>
          <w:lang w:eastAsia="zh-CN"/>
        </w:rPr>
      </w:pPr>
      <w:bookmarkStart w:id="9" w:name="_Toc25743"/>
      <w:r>
        <w:rPr>
          <w:rFonts w:ascii="宋体" w:eastAsia="宋体" w:hAnsi="宋体" w:cs="宋体" w:hint="eastAsia"/>
          <w:b/>
          <w:bCs w:val="0"/>
          <w:sz w:val="28"/>
          <w:szCs w:val="28"/>
          <w:lang w:eastAsia="zh-CN"/>
        </w:rPr>
        <w:t>(三)、内部控制与审计</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杂技行业公司运作的合法性和规范性，我们坚持实施严格的内部控制与审计制度，旨在覆盖公司各个方面，包括财务管理、风险管理、信息技术安全等。通过建立这一全面的内部控制体系，我们能够更有效地监督和管理公司的内部运作，降低潜在风险，提高公司治理的稳健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审计机制是我们确保内部控制有效性的关键环节。我们建立了专业的内部审计团队,负责对公司各个方面的运营进行定期和不定期的审计。通过审计过程，我们能够及时发现潜在问题和风险，并采取必要的纠正措施。这不仅有助于保障公司资产的安全，还能够为公司的战略决策提供全面、可靠的数据支持。</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内部审计不仅仅是对公司内部运作的监督,更是公司管理层了解公司经营状况、评估管理效果、提升管理水平的重要手段。我们鼓励内部审计团队与公司各部门保持紧密合作，共同制定审计计划，确保审计的全面性和深入性。通过这一协同工作，我们能够全面了解公司各个层面的运营情况，为公司的长远发展提供有力的支持。</w:t>
      </w:r>
    </w:p>
    <w:p>
      <w:pPr>
        <w:pStyle w:val="Heading2"/>
        <w:spacing w:line="480" w:lineRule="auto"/>
        <w:rPr>
          <w:rFonts w:ascii="宋体" w:eastAsia="宋体" w:hAnsi="宋体" w:cs="宋体" w:hint="eastAsia"/>
          <w:bCs w:val="0"/>
          <w:sz w:val="28"/>
          <w:szCs w:val="28"/>
          <w:lang w:eastAsia="zh-CN"/>
        </w:rPr>
      </w:pPr>
      <w:bookmarkStart w:id="10" w:name="_Toc28623"/>
      <w:r>
        <w:rPr>
          <w:rFonts w:ascii="宋体" w:eastAsia="宋体" w:hAnsi="宋体" w:cs="宋体" w:hint="eastAsia"/>
          <w:b/>
          <w:bCs w:val="0"/>
          <w:sz w:val="28"/>
          <w:szCs w:val="28"/>
          <w:lang w:eastAsia="zh-CN"/>
        </w:rPr>
        <w:t>(四)、法律法规合规体系</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治社会中，杂技行业视法律法规合规为企业运营的基本准则，建立了全面的法律法规合规体系以确保公司的经营活动合法、规范、透明。为此，我们聘请了专业的法务团队，负责进行法律咨询和合规审核，以及及时更新和维护公司合规手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员工对法规的认识水平，我们鼓励员工参与法律培训，使他们了解并遵守相关法规，充分认识到合规对企业和个人的重要性。这种法律教育不仅有助于降低法律风险,还有助于建立员工的法治意识，形成良好的企业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及时应对法律法规的变化和风险,我们定期进行法律合规风险评估，全面审查公司的经营活动，以确保公司在市场竞争中保持合法合规的竞争地位。在面对新的法规变化时，我们将迅速调整合规策略，以确保业务的持续性和健康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的法规合规文化中，我们强调零容忍的原则，坚决反对任何形式的腐败行为。我们鼓励员工通过举报渠道报告任何可能涉及违法违规行为的情况，以便及时采取纠正措施。通过这一法律法规合规体系，杂技行业致力于在法治框架下展开经营活动,保持公司的声誉，履行社会责任。</w:t>
      </w:r>
    </w:p>
    <w:p>
      <w:pPr>
        <w:pStyle w:val="Heading2"/>
        <w:spacing w:line="480" w:lineRule="auto"/>
        <w:rPr>
          <w:rFonts w:ascii="宋体" w:eastAsia="宋体" w:hAnsi="宋体" w:cs="宋体" w:hint="eastAsia"/>
          <w:bCs w:val="0"/>
          <w:sz w:val="28"/>
          <w:szCs w:val="28"/>
          <w:lang w:eastAsia="zh-CN"/>
        </w:rPr>
      </w:pPr>
      <w:bookmarkStart w:id="11" w:name="_Toc17608"/>
      <w:r>
        <w:rPr>
          <w:rFonts w:ascii="宋体" w:eastAsia="宋体" w:hAnsi="宋体" w:cs="宋体" w:hint="eastAsia"/>
          <w:b/>
          <w:bCs w:val="0"/>
          <w:sz w:val="28"/>
          <w:szCs w:val="28"/>
          <w:lang w:eastAsia="zh-CN"/>
        </w:rPr>
        <w:t>(五)、企业社会责任与道德经营</w:t>
      </w:r>
      <w:bookmarkEnd w:id="11"/>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sz w:val="24"/>
          <w:szCs w:val="24"/>
          <w:lang w:eastAsia="zh-CN"/>
        </w:rPr>
        <w:t>在秉持企业社会责任的核心价值下,杂技行业将社会责任视为不可或缺的经营理念。我们积极参与各项公益事业，致力于为社会创造积极的影响。通过与慈善组织和社区合作，我们推动教育、医疗、扶贫等领域的发展，致力于改善社会福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区建设是我们关注的重要方面。我们支持当地社区的基础设施建设、文化活动和青少年培训计划，努力提升社区居民的生活质量。通过与社区密切互动，我们建立了长期稳定的合作关系，实现了企业与社会的双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环保实践方面，杂技行业致力于减少对环境的负面影响。我们制定并执行环保政策，通过提升生产工艺、降低能源消耗和推广可再生能源的使用，努力降低碳足迹。此外，我们积极参与植树造林、废品回收等环保活动，践行绿色发展理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除了关注环境和社区，我们还强调在供应链中推动可持续发展。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与供应商建立合作伙伴关系，要求其遵守环保和社会责任标准，共同推动产业链的可持续性发展。我们鼓励供应商采取环保友好的生产方式，共同建立更加绿色、可持续的供应链体系。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在员工关系方面，我们致力于提供公平、公正的工作环境。我们严格遵循劳动法规，确保员工的权益得到尊重和保护。通过建立健全的员工培训和发展计划，我们鼓励员工实现个人职业目标，提升整体素质。</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2" w:name="_Toc5474"/>
      <w:r>
        <w:rPr>
          <w:rFonts w:ascii="微软雅黑" w:eastAsia="微软雅黑" w:hAnsi="微软雅黑" w:cs="微软雅黑" w:hint="eastAsia"/>
          <w:color w:val="2E54A1" w:themeColor="accent1" w:themeShade="BF"/>
          <w:sz w:val="32"/>
          <w:szCs w:val="32"/>
          <w:lang w:eastAsia="zh-CN"/>
        </w:rPr>
        <w:t>三、杂技行业投资管理策略</w:t>
      </w:r>
      <w:bookmarkEnd w:id="12"/>
    </w:p>
    <w:p>
      <w:pPr>
        <w:pStyle w:val="Heading2"/>
        <w:spacing w:line="480" w:lineRule="auto"/>
        <w:rPr>
          <w:rFonts w:ascii="宋体" w:eastAsia="宋体" w:hAnsi="宋体" w:cs="宋体" w:hint="eastAsia"/>
          <w:bCs w:val="0"/>
          <w:sz w:val="28"/>
          <w:szCs w:val="28"/>
          <w:lang w:eastAsia="zh-CN"/>
        </w:rPr>
      </w:pPr>
      <w:bookmarkStart w:id="13" w:name="_Toc23030"/>
      <w:r>
        <w:rPr>
          <w:rFonts w:ascii="宋体" w:eastAsia="宋体" w:hAnsi="宋体" w:cs="宋体" w:hint="eastAsia"/>
          <w:b/>
          <w:bCs w:val="0"/>
          <w:sz w:val="28"/>
          <w:szCs w:val="28"/>
          <w:lang w:eastAsia="zh-CN"/>
        </w:rPr>
        <w:t>(一)、杂技行业投资估算主要内容</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创办杂技行业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(二)装修施工费用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设杂技行业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(三)初期准备资金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迎接开业初期的各种开支，需要提前准备一笔资金，即预备费。这些支出可能包括开业庆典、广告宣传、库存采购、员工工资和租金等。预备费的设立旨在应对初期可能出现的资金紧张情况，确保杂技行业在初始经营阶段能够平稳运营。具体预备费用的确定应根据当地市场条件和实际经验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(四)库存采购开支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杂技行业的核心商品,库存采购费用是投资计划中不可忽视的一环。根据店铺大小和销售策略，需要提前购买一定数量的产品作为起步库存。库存采购费用取决于所选择的产品品牌、样式、数量和价格等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杂技行业的运营成本包括员工工资、水电费、物业管理费、广告宣传费用、税务等方面的支出。这些成本每月都会发生，需要在投资计划中进行详细预算和分析。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(六)租金与押金</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杂技行业的地理位置对业绩有着重要的影响,因此租金与押金是创办杂技行业时不可忽视的重要成本。具体租金和所需支付的押金金额将根据店铺面积、地段和租赁合同条款等因素确定。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(七)其他开支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除了以上主要开支,还有一些杂项费用需要纳入考虑,如保险费、专业咨询费用、法律事务费等。这些费用通常是一次性或定期性支出，需要在投资计划中列明并进行合理估算。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(八)营销与推广费用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经营杂技行业需要一定的营销与推广投入。这涵盖了广告宣传、促销活动、社交媒体推广等方面的费用。建立知名度和吸引顾客对于新开业的杂技行业至关重要，因此在投资计划中应充分考虑这一方面的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(九)技术与信息系统费用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不断发展,拥有高效的技术和信息系统对杂技行业的经营至关重要。这包括点-of-sale系统、库存管理软件、在线销售平台等。投资于这些技术和系统，有助于提高运营效率和顾客体验，但也需要在预算中予以充分考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(十)培训与人力资源开支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为确保团队的专业水平和服务质量,需要投资于员工培训与人力资源开支。这包括新员工的培训费用、培训材料费用以及可能的员工福利成本。高素质的团队有助于提升杂技行业的服务水平和整体运营效能。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(十一)紧急备用资金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商业运营中，难以预测的紧急情况可能会发生。因此，设立一笔紧急备用资金是为了在遇到突发状况时能够迅速应对,确保杂技行业的稳定运营。紧急备用资金的具体数额可根据杂技行业经验和风险评估进行适当设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(十二)持续改进与创新费用</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为保持竞争力，杂技行业需要不断进杂技行业务改进和创新。这可能涉及产品研发、服务创新以及市场调查等方面的费用。投资于持续改进与创新,有助于适应市场变化,满足顾客需求,提升品牌价值。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结语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考虑上述各项开支,杂技行业的投资计划不仅仅涉及设备购置、装修、预备费、库存采购和运营成本等基础开支，还需要考虑市场推广、技术与信息系统、员工培训、紧急备用资金以及持续创新等方面的投入。通过细致的预算和周密的规划，可为杂技行业的成功开业提供全面支持，并为未来的经营打下坚实基础。</w:t>
      </w:r>
    </w:p>
    <w:p>
      <w:pPr>
        <w:pStyle w:val="Heading2"/>
        <w:spacing w:line="480" w:lineRule="auto"/>
        <w:rPr>
          <w:rFonts w:ascii="宋体" w:eastAsia="宋体" w:hAnsi="宋体" w:cs="宋体" w:hint="eastAsia"/>
          <w:bCs w:val="0"/>
          <w:sz w:val="28"/>
          <w:szCs w:val="28"/>
          <w:lang w:eastAsia="zh-CN"/>
        </w:rPr>
      </w:pPr>
      <w:bookmarkStart w:id="14" w:name="_Toc14915"/>
      <w:r>
        <w:rPr>
          <w:rFonts w:ascii="宋体" w:eastAsia="宋体" w:hAnsi="宋体" w:cs="宋体" w:hint="eastAsia"/>
          <w:b/>
          <w:bCs w:val="0"/>
          <w:sz w:val="28"/>
          <w:szCs w:val="28"/>
          <w:lang w:eastAsia="zh-CN"/>
        </w:rPr>
        <w:t>(二)、杂技行业设备购置投资费用管理</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(一)制定投资计划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设备购置前，需要进行全面的投资计划。首先，确立所需设备的种类和数量，并进行市场价格的调查，以建立详尽的投资预算。此外，还需考虑到相关的配套设备、运输费用、以及设备安装等额外费用，确保投资计划的全面性和准确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(二)设备选择与采购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设备的选择与采购是影响成本和效益的核心环节。首先，根据杂技行业的规模、特点和需求，对每个设备进行详细的性能、功能和品质评估，以确保选用的设备能够满足业务需求，并具有良好的性价比。其次，需综合考虑供应商的信誉、售后服务以及设备的维修保养等因素，选择可信赖的供应商进行采购，确保设备的质量和及时供货。</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sz w:val="24"/>
          <w:szCs w:val="24"/>
          <w:lang w:eastAsia="zh-CN"/>
        </w:rPr>
        <w:t>(三)设备使用与维护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后，杂技行业需要建立完善的设备使用与维护管理制度。首先，组织相关人员进行设备正确使用的培训，确保操作规范和安全可靠。其次，制定设备的维护保养计划，定期检查设备的运行状态，及时处理故障，以延长设备的使用寿命。同时，进行设备保险投保，以应对可能的意外损失和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(四)费用控制与效益评估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设备购置后，需要进行费用控制与效益评估。建立科学的成本核算体系，详细记录设备购置、使用和维护等相关费用，并定期进行比较分析，找出费用支出的优化空间。同时，定期评估设备的使用效果和经营效益，通过各项指标的分析，及时调整经营策略，提高设备的利用率和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(五)投资预算的动态调整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设备购置投资费用管理的关键在于实施动态的投资预算调整。由于市场环境和业务需求的不断变化，投资预算需要及时进行调整。定期进行市场调研，了解设备价格的波动和新技术的推出，以便灵活地调整预算计划，确保投资金额与市场变化相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(六)设备选型的创新与升级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升设备的性能和效能,杂技行业应不断进行设备选型的创新与升级。密切关注杂技行业的最新技术趋势，选择符合未来发展方向的先进设备。通过采用更智能、高效的设备，可以提高工作效率，降低运营成本，从而提升整体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(七)灵活运用设备共享模式</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购置投资中,考虑采用设备共享模式也是一种有效的管理手段。与其他业务实体共享设备资源，不仅能够降低单一设备的购置成本，还能提高设备利用率。通过合理制定共享规则和管理流程，确保设备的合理分配和维护，以实现共赢的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(八)环保与能源管理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设备购置后，要注重环保和能源管理,以降低运营成本并提高社会责任感。采用节能设备、优化能源利用，不仅有助于降低能源开支，还能在市场中树立环保形象。通过实施绿色设备管理，不仅符合社会潮流，也有助于获取相关环保政策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(九)建立设备数据监控系统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现代科技手段,建立设备数据监控系统是提高设备管理效能的关键。通过实时监测设备的运行状态、维护记录等数据，及时发现潜在问题，预防设备故障。这样的系统有助于提高设备的可靠性和稳定性，减少维修成本，提升设备利用寿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(十)制定灵活的维护计划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使用与维护是设备管理的一个重要方面。制定灵活的维护计划，根据设备的工作强度和使用情况，科学安排维护时间，保障设备的长期稳定运行。在维护计划中可以包括定期检查、预防性维护和紧急维修等环节，以确保设备随时保持良好状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通过以上的管理策略，杂技行业设备购置投资费用可以更加全面、灵活地得到管理。这样的管理手段不仅有助于提高设备的效益和经济效益，还能够适应市场变化，使杂技行业在设备管理方面更具竞争力。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(十一)实施供应链协同</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不仅仅是对单一设备的投资，也牵涉到整个供应链的协同。与供应商建立紧密的合作关系，共同制定采购计划，优化物流流程，降低采购和运输成本。通过供应链协同，杂技行业能够更有效地获取设备，并在全流程中实现成本的最小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(十二)引入设备定期更新策略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飞速发展，设备更新换代的速度也在不断加快。为了保持竞争力，杂技行业应引入设备定期更新策略。制定合理的设备更新计划，确保设备始终处于技术先进性的状态。通过定期更新，不仅提高了工作效率，也减少了因老旧设备导致的故障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(十三)制定设备回收与再利用政策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降低环境影响，杂技行业可以制定设备回收与再利用政策。在设备报废或更新时，采取合法的设备回收措施，对可再利用的部件进行拆解和再利用。这不仅有助于环保，还能在一定程度上降低新设备的采购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(十四)定期进行设备绩效评估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定期的设备绩效评估机制是设备购置投资管理的重要一环。通过定期的绩效评估，可以深入了解设备的使用情况、效能表现以及维修记录等。根据评估结果，及时调整设备管理策略，提高设备的整体性能和可靠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(十五)加强团队培训与技能提升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管理设备，杂技行业需要加强团队培训与技能提升。确保操作人员熟练掌握设备的使用方法，提高设备操作效率，减少人为因素对设备的影响。同时，培养一支专业的设备维护团队，提高对设备故障的及时排查和处理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(十六)面向未来的科技投资</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设备能够适应未来的商业发展,杂技行业应该进行面向未来的科技投资。关注新兴技术，如物联网、人工智能等，考虑将这些技术应用于设备管理中，以提高智能化和自动化水平，进一步提升设备的效能和运行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杂技行业能够更全面、科学地进行设备购置投资费用管理。这不仅有助于提高设备的使用效益，降低运营成本,还能够适应市场的变化，保持竞争力，确保杂技行业在设备管理方面持续取得成功。</w:t>
      </w:r>
    </w:p>
    <w:p>
      <w:pPr>
        <w:pStyle w:val="Heading2"/>
        <w:spacing w:line="480" w:lineRule="auto"/>
        <w:rPr>
          <w:rFonts w:ascii="宋体" w:eastAsia="宋体" w:hAnsi="宋体" w:cs="宋体" w:hint="eastAsia"/>
          <w:bCs w:val="0"/>
          <w:sz w:val="28"/>
          <w:szCs w:val="28"/>
          <w:lang w:eastAsia="zh-CN"/>
        </w:rPr>
      </w:pPr>
      <w:bookmarkStart w:id="15" w:name="_Toc23475"/>
      <w:r>
        <w:rPr>
          <w:rFonts w:ascii="宋体" w:eastAsia="宋体" w:hAnsi="宋体" w:cs="宋体" w:hint="eastAsia"/>
          <w:b/>
          <w:bCs w:val="0"/>
          <w:sz w:val="28"/>
          <w:szCs w:val="28"/>
          <w:lang w:eastAsia="zh-CN"/>
        </w:rPr>
        <w:t>(三)、杂技行业装修施工投资费用管理</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(一)预算策策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装修施工投资费用管理的过程中,预算制定显得尤为至关紧要。首先，对装修项目展开全面深入的分析和周密规划，明晰所需的材料、人力、设备等资源。根据市场行情和竞争对手情势，确定一个理性的预算金额。预算制定时需全方位考虑各类费用，包含但不仅限于建筑材料费、施工人员工资、工程设备租赁费等，同时设定相应的预算控制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(二)供应链伙伴选择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装修施工进程中，选择适宜的供应链伙伴显得非常关键。变压器的装修项目涉及大量材料和设备的采购，因此必须找到价格公道、质量有保障的供应链伙伴。可通过市场调查、询价比较、实地勘查等方式评估和筛选供应链伙伴,展开谈判以争取到最优惠的价格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(三)支出监控</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支出监控是对实际开支进行全方位监测和记录的一个重要步骤。在杂技行业装修施工中，需建立一个系统完备的支出监控体系，对每一项开支进行分类、档案和监测。这包括原材料采购、运输开支、施工人员的工资及社保、设备租赁费、差旅费等各个方面。透过精确的支出监控和深入分析，能够及时了解项目的财务状况，并采取相应的调整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(四)成本把控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杂技行业装修施工投资费用管理的至关紧要环节之一。通过多方面的途径进行成本把控：首先，要有序安排施工进度，精准掌控工期，减少人力资源浪费；其次，优化材料采购策略，争取更低的价格和折扣；同时，强化项目管理，提高施工效率，减少误工和返工，以期降低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(五)风险对策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装修施工投资费用管理的过程中,风险对策是一个不可忽视的环节。装修工程可能会面临一些突发情况，如施工延期、工程质量问题、材料供应商破产等风险。因此，需要建立一个完善的风险对策计划，及时识别、评估和应对各类风险，采取相应的措施来减轻风险对投资费用的不良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杂技行业装修施工投资费用管理需要全面考虑预算制定、供应链伙伴选择、支出监控、成本把控和风险对策等多个方面。通过科学合理的费用管理，不仅能够有效控制装修投资的费用，还能确保项目按照计划有序进行，对杂技行业的经营和发展具有重要意义。</w:t>
      </w:r>
    </w:p>
    <w:p>
      <w:pPr>
        <w:pStyle w:val="Heading2"/>
        <w:spacing w:line="480" w:lineRule="auto"/>
        <w:rPr>
          <w:rFonts w:ascii="宋体" w:eastAsia="宋体" w:hAnsi="宋体" w:cs="宋体" w:hint="eastAsia"/>
          <w:bCs w:val="0"/>
          <w:sz w:val="28"/>
          <w:szCs w:val="28"/>
          <w:lang w:eastAsia="zh-CN"/>
        </w:rPr>
      </w:pPr>
      <w:bookmarkStart w:id="16" w:name="_Toc2830"/>
      <w:r>
        <w:rPr>
          <w:rFonts w:ascii="宋体" w:eastAsia="宋体" w:hAnsi="宋体" w:cs="宋体" w:hint="eastAsia"/>
          <w:b/>
          <w:bCs w:val="0"/>
          <w:sz w:val="28"/>
          <w:szCs w:val="28"/>
          <w:lang w:eastAsia="zh-CN"/>
        </w:rPr>
        <w:t>(四)、杂技行业流动资金管理</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(一)现金管理</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现金管理是确保杂技行业正常运营的基本环节之一。首先，需要合理规划现金流，确保有足够的现金储备来应对日常运营所需。其次，通过建立紧密的财务监控系统，及时了解现金流动的情况，以便灵活调整资金的使用和投资确保企业在面临紧急情况时能够迅速做出反应。此外，优化支付体系，采用高效的支付工具，提高企业的支付效率，降低现金管理的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(二)库存管理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库存管理是在确保供应链畅通的同时,避免资金过度囤积的关键。通过建立科学的库存管理系统，实现库存水平的最优化。这包括定期进行库存盘点，清理滞销品，确保库存与销售需求相匹配。与供应商建立紧密的合作关系，优化供应链，降低库存周转周期，以减少资金在库存中的占用，提高资金的利用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(三)应收账款管理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应收账款管理旨在确保企业及时收回销售所产生的应收账款,以保持资金的流动性。建立严格的信用政策，对客户进行信用评估，以降低坏账风险。通过采用灵活的收款方式，促进客户及时付款，并及时催收逾期账款。同时，建立完善的应收账款监控系统，确保对逾期账款的及时发现和处理，以维护企业的资金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(四)流动资金周转率分析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流动资金周转率是衡量企业资金运作效率的关键指标。通过定期对流动资金周转率进行分析，可以了解企业的资金运作状况。高效的流动资金周转率意味着企业能够迅速将投入的资金转化为营业收入提高资金的周转速度。通过分析周转率的波动情况，企业可以调整经营策略，优化资金运作，确保流动资金在业务中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(五)利用财务工具优化流动资金</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杂技行业的流动资金管理中,利用各类财务工具可以进一步优化企业的流动资金。这包括合理利用短期融资工具，如短期贷款和商业票据，以满足企业短期资金需求。此外，可以考虑采用供应链融资等创新性财务工具，以提高企业的融资效率和降低融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(六)制定灵活的资金预测计划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灵活的资金预测计划对于流动资金管理至关重要。通过对市场、杂技行业和经济状况的准确分析，可以预测未来资金的流动情况。在不同的经济环境下,调整资金预测计划,灵活应对市场的变化，确保企业能够在不同情况下保持流动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(七)加强内部沟通和协同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沟通和协同是流动资金管理成功的关键。确保财务、销售、采购和生产等部门之间有良好的沟通渠道,以便及时了解业务活动和资金需求。通过建立协同机制，可以更好地调配资源，优化供应链，提高现金回收速度，从而加强企业的资金管理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(八)定期进行绩效评估和优化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流动资金管理是一个动态过程,因此需要定期进行绩效评估和优化。通过设立明确的评估指标，如现金回收周期、库存周转率等，对流动资金管理的效果进行监测。根据评估结果，及时调整流动资金管理策略，以适应不断变化的市场环境，保持流动资金管理的高效性和灵活性。</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杂技行业能够更全面、灵活地进行流动资金管理。这有助于确保企业在面对市场波动和经济变化时能够灵活应对,维持稳健的财务状况，为企业的可持续发展提供坚实的基础。</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7" w:name="_Toc29163"/>
      <w:r>
        <w:rPr>
          <w:rFonts w:ascii="微软雅黑" w:eastAsia="微软雅黑" w:hAnsi="微软雅黑" w:cs="微软雅黑" w:hint="eastAsia"/>
          <w:color w:val="2E54A1" w:themeColor="accent1" w:themeShade="BF"/>
          <w:sz w:val="32"/>
          <w:szCs w:val="32"/>
          <w:lang w:eastAsia="zh-CN"/>
        </w:rPr>
        <w:t>四、项目管理与团队协作</w:t>
      </w:r>
      <w:bookmarkEnd w:id="17"/>
    </w:p>
    <w:p>
      <w:pPr>
        <w:pStyle w:val="Heading2"/>
        <w:spacing w:line="480" w:lineRule="auto"/>
        <w:rPr>
          <w:rFonts w:ascii="宋体" w:eastAsia="宋体" w:hAnsi="宋体" w:cs="宋体" w:hint="eastAsia"/>
          <w:bCs w:val="0"/>
          <w:sz w:val="28"/>
          <w:szCs w:val="28"/>
          <w:lang w:eastAsia="zh-CN"/>
        </w:rPr>
      </w:pPr>
      <w:bookmarkStart w:id="18" w:name="_Toc3768"/>
      <w:r>
        <w:rPr>
          <w:rFonts w:ascii="宋体" w:eastAsia="宋体" w:hAnsi="宋体" w:cs="宋体" w:hint="eastAsia"/>
          <w:b/>
          <w:bCs w:val="0"/>
          <w:sz w:val="28"/>
          <w:szCs w:val="28"/>
          <w:lang w:eastAsia="zh-CN"/>
        </w:rPr>
        <w:t>(一)、项目管理方法论</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1.项目规划阶段：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启动时,首先进行项目规划。这包括明确项目的目标、范围、时间表、预算以及相关的利益相关者。在这个阶段，可以采用传统的项目管理方法，如XXX框架，确定项目的基本参数，并建立项目团队和沟通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2.敏捷方法：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执行过程中，特别是对于需求变化频繁或者需要快速交付的项目，可以采用敏捷方法。XX和XXX是两种广泛使用的敏捷方法，它们强调小团队的协作、快速迭代、灵活应对变化，并通过短周期的迭代实现产品或服务的逐步交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3.融合式方法：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有时候，项目可能需要结合多种方法，形成一种融合式的管理方式，以更好地适应项目的复杂性和特殊性。这种方法要求项目管理者具备跨足多个方法的知识和技能,根据实际情况选择和调整管理方法。</w:t>
      </w:r>
    </w:p>
    <w:p>
      <w:pPr>
        <w:pStyle w:val="Heading2"/>
        <w:spacing w:line="480" w:lineRule="auto"/>
        <w:rPr>
          <w:rFonts w:ascii="宋体" w:eastAsia="宋体" w:hAnsi="宋体" w:cs="宋体" w:hint="eastAsia"/>
          <w:bCs w:val="0"/>
          <w:sz w:val="28"/>
          <w:szCs w:val="28"/>
          <w:lang w:eastAsia="zh-CN"/>
        </w:rPr>
      </w:pPr>
      <w:bookmarkStart w:id="19" w:name="_Toc29587"/>
      <w:r>
        <w:rPr>
          <w:rFonts w:ascii="宋体" w:eastAsia="宋体" w:hAnsi="宋体" w:cs="宋体" w:hint="eastAsia"/>
          <w:b/>
          <w:bCs w:val="0"/>
          <w:sz w:val="28"/>
          <w:szCs w:val="28"/>
          <w:lang w:eastAsia="zh-CN"/>
        </w:rPr>
        <w:t>(二)、团队组建与角色分工</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启动的初期，我们进行了精心的团队组建，以确保项目的成功实施。首先，我们进行了团队成员的招募与选拔。通过仔细分析项目所需的技能和专业背景,我们选拔了一支具有多样化技能和经验的团队，以满足项目各个方面的需求。</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项目经理是整个团队的领导者，负责项目的整体规划、协调和控制。项目经理具有丰富的项目管理经验，能够有效地领导团队，推动项目朝着既定的目标前进。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在团队中，我们还设立了项目协调员的角色。协调员负责协调团队内外的沟通，确保信息畅通，协助项目经理推动项目进展。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技术专家是项目的中流砥柱,负责项目中的技术难题的解决和指导。他们在相关领域拥有丰富的经验和专业知识，为项目提供了坚实的技术支持。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此外，我们组建了执行团队，包括各个职能领域的专业人员。这些人员在项目中扮演着具体执行任务的角色，他们的工作涉及到项目的具体实施、测试、优化等方面。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保证项目的顺利推进,我们明确了每个团队成员的角色分工。通过清晰的责任划分，每个成员都知道自己的任务和职责，从而提高了团队的协同效率。团队成员通过密切协作，充分发挥各自的专业优势，确保项目各个方面的工作都得到充分的关注和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总体而言，我们致力于构建一个高效协同的团队，每个成员都能在自己的领域发挥最大的潜力，共同为项目的成功实施贡献力量。通过明确的组织结构和角色分工，我们打造了一个团结合作、目标一致的项目团队。</w:t>
      </w:r>
    </w:p>
    <w:p>
      <w:pPr>
        <w:pStyle w:val="Heading2"/>
        <w:spacing w:line="480" w:lineRule="auto"/>
        <w:rPr>
          <w:rFonts w:ascii="宋体" w:eastAsia="宋体" w:hAnsi="宋体" w:cs="宋体" w:hint="eastAsia"/>
          <w:bCs w:val="0"/>
          <w:sz w:val="28"/>
          <w:szCs w:val="28"/>
          <w:lang w:eastAsia="zh-CN"/>
        </w:rPr>
      </w:pPr>
      <w:bookmarkStart w:id="20" w:name="_Toc17648"/>
      <w:r>
        <w:rPr>
          <w:rFonts w:ascii="宋体" w:eastAsia="宋体" w:hAnsi="宋体" w:cs="宋体" w:hint="eastAsia"/>
          <w:b/>
          <w:bCs w:val="0"/>
          <w:sz w:val="28"/>
          <w:szCs w:val="28"/>
          <w:lang w:eastAsia="zh-CN"/>
        </w:rPr>
        <w:t>(三)、团队沟通与协作机制</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在项目管理中，有效的团队沟通与协作是确保项目成功的关键。我们采用了一系列科学合理的机制来促进团队成员之间的沟通与协作，确保信息的畅通和工作的高效进行。</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建立了定期团队会议的机制。这些会议定期召开，旨在让团队成员分享各自的进展、遇到的问题以及对项目的看法。通过会议,团队成员可以深入了解项目的整体情况,及时发现和解决问题，同时也促进了成员之间的交流与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方便跨部门协作，我们采用了在线协作平台。这个平台可以让团队成员随时随地共享文件、进行讨论，并实时更新项目的进展情况。通过在线协作平台,不同团队之间可以更加迅速地进行信息交流，减少沟通的时间成本，提高工作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在团队内部,我们建立了沟通渠道,包括即时通讯、电子邮件等。这些渠道确保了团队成员可以方便地进行一对一或小组之间的沟通，及时解决问题，保持信息的及时传递。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此之外，我们还注重团队文化的建设。鼓励开放、坦诚的沟通氛围，使每个团队成员都能够毫不保留地分享意见和建议。团队文化的融洽有助于建立更强大的协作机制，让团队成员在积极、向上的氛围中共同努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通过这些团队沟通与协作机制的建立,我们确保了项目各个方面的信息流畅、协同高效。这不仅提升了团队的整体执行力，也为项目的成功实施翼定了坚实的基础。</w:t>
      </w:r>
    </w:p>
    <w:p>
      <w:pPr>
        <w:pStyle w:val="Heading2"/>
        <w:spacing w:line="480" w:lineRule="auto"/>
        <w:rPr>
          <w:rFonts w:ascii="宋体" w:eastAsia="宋体" w:hAnsi="宋体" w:cs="宋体" w:hint="eastAsia"/>
          <w:bCs w:val="0"/>
          <w:sz w:val="28"/>
          <w:szCs w:val="28"/>
          <w:lang w:eastAsia="zh-CN"/>
        </w:rPr>
      </w:pPr>
      <w:bookmarkStart w:id="21" w:name="_Toc31742"/>
      <w:r>
        <w:rPr>
          <w:rFonts w:ascii="宋体" w:eastAsia="宋体" w:hAnsi="宋体" w:cs="宋体" w:hint="eastAsia"/>
          <w:b/>
          <w:bCs w:val="0"/>
          <w:sz w:val="28"/>
          <w:szCs w:val="28"/>
          <w:lang w:eastAsia="zh-CN"/>
        </w:rPr>
        <w:t>(四)、项目风险管理与应对</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在项目管理中，风险是无法避免的不确定性因素，因此，有效的风险管理和应对措施对项目的成功至关重要。我们采用了一系列系统的方法来识别、评估和应对潜在的风险。</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识别：我们首先进行全面的风险识别工作。通过与团队成员、利益相关方和专业领域专家的充分沟通，我们确保覆盖项目各个方面的可能风险。这包括技术、市场、财务、人力资源等方面的潜在风险。我们注重从不同角度、多维度进行全面而系统的风险识别。</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评估：一且识别出潜在风险，我们采用科学的方法进行风险评估。这包括确定风险的可能性、影响程度，并综合考虑其在项目中的重要性。通过定量和定性的手段，我们对各项风险进行排序和分类，以便更好地分配资源和应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风险规避：针对已经识别的高风险，我们制定规避策略。这可能涉及到调整项目计划、改变实施策略、寻找替代方案等。规避的目的是在风险出现之前采取措施，降低风险的发生概率或减轻其影响。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风险缓解：针对难以规避的风险，我们制定缓解策略。这包括实施控制措施、建立备用计划、加强团队培训等。缓解策略的目的是降低风险的影响，尽可能减少潜在损失。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风险转移：有些风险可能难以在项目内部解决，我们会考虑采用风险转移策略，如购买保险或与外部合作伙伴达成合作协议。这样可以将一部分风险转嫁给外部力量，降低项目自身的承担风险。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风险监控与应对调整：风险管理是一个持续的过程。我们建立了定期的风险监控机制，随时关注项目中的各项风险。一旦风险发生概率或影响程度发生变化，我们迅速调整应对策略，确保项目始终处于可控状态。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2" w:name="_Toc5268"/>
      <w:r>
        <w:rPr>
          <w:rFonts w:ascii="微软雅黑" w:eastAsia="微软雅黑" w:hAnsi="微软雅黑" w:cs="微软雅黑" w:hint="eastAsia"/>
          <w:color w:val="2E54A1" w:themeColor="accent1" w:themeShade="BF"/>
          <w:sz w:val="32"/>
          <w:szCs w:val="32"/>
          <w:lang w:eastAsia="zh-CN"/>
        </w:rPr>
        <w:t>五、市场营销与推广策略</w:t>
      </w:r>
      <w:bookmarkEnd w:id="22"/>
    </w:p>
    <w:p>
      <w:pPr>
        <w:pStyle w:val="Heading2"/>
        <w:spacing w:line="480" w:lineRule="auto"/>
        <w:rPr>
          <w:rFonts w:ascii="宋体" w:eastAsia="宋体" w:hAnsi="宋体" w:cs="宋体" w:hint="eastAsia"/>
          <w:bCs w:val="0"/>
          <w:sz w:val="28"/>
          <w:szCs w:val="28"/>
          <w:lang w:eastAsia="zh-CN"/>
        </w:rPr>
      </w:pPr>
      <w:bookmarkStart w:id="23" w:name="_Toc5128"/>
      <w:r>
        <w:rPr>
          <w:rFonts w:ascii="宋体" w:eastAsia="宋体" w:hAnsi="宋体" w:cs="宋体" w:hint="eastAsia"/>
          <w:b/>
          <w:bCs w:val="0"/>
          <w:sz w:val="28"/>
          <w:szCs w:val="28"/>
          <w:lang w:eastAsia="zh-CN"/>
        </w:rPr>
        <w:t>(一)、目标市场分析</w:t>
      </w:r>
      <w:bookmarkEnd w:id="23"/>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24" w:name="_Toc29368"/>
      <w:r>
        <w:rPr>
          <w:rFonts w:ascii="宋体" w:eastAsia="宋体" w:hAnsi="宋体" w:cs="宋体" w:hint="eastAsia"/>
          <w:b/>
          <w:bCs w:val="0"/>
          <w:sz w:val="28"/>
          <w:szCs w:val="28"/>
          <w:lang w:eastAsia="zh-CN"/>
        </w:rPr>
        <w:t>(二)、市场定位与竞争分析</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的成功与否在很大程度上取决于对目标市场的准确认知。深入了解潜在客户的需求和市场趋势是市场分析的核心。通过细致入微的市场调查，我们聚焦于客户的需求和行为模式,精准锁定目标市场。此外，我们通过数据分析和市场调研，识别了不同市场细分的需求，为项目提供了更具针对性的定位。</w:t>
      </w:r>
    </w:p>
    <w:p>
      <w:pPr>
        <w:pStyle w:val="Heading2"/>
        <w:spacing w:line="480" w:lineRule="auto"/>
        <w:rPr>
          <w:rFonts w:ascii="宋体" w:eastAsia="宋体" w:hAnsi="宋体" w:cs="宋体" w:hint="eastAsia"/>
          <w:bCs w:val="0"/>
          <w:sz w:val="28"/>
          <w:szCs w:val="28"/>
          <w:lang w:eastAsia="zh-CN"/>
        </w:rPr>
      </w:pPr>
      <w:bookmarkStart w:id="25" w:name="_Toc21872"/>
      <w:r>
        <w:rPr>
          <w:rFonts w:ascii="宋体" w:eastAsia="宋体" w:hAnsi="宋体" w:cs="宋体" w:hint="eastAsia"/>
          <w:b/>
          <w:bCs w:val="0"/>
          <w:sz w:val="28"/>
          <w:szCs w:val="28"/>
          <w:lang w:eastAsia="zh-CN"/>
        </w:rPr>
        <w:t>(三)、推广与宣传策略</w:t>
      </w:r>
      <w:bookmarkEnd w:id="2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项目在市场中的知名度,我们实施了多渠道的推广和宣传策略。通过社交媒体、搜索引擎优化和线下活动等多种手段，我们全面覆盖了目标受众，增加了项目在各渠道上的曝光度。同时，我们注重内容营销，通过高质量的文章、视频和漫画等形式，吸引用户的关注和互动，提升了项目的专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此外，我们致力于口碑营销和建立紧密的合作伙伴关系。通过客户满意度调查和用户评价，我们努力创造正面的口碑，提高用户对项目的信任感。与相关杂技行业的合作伙伴建立紧密的关系，通过互惠互利的方式共同推广，进一步扩大了项目的影响力。</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https://d.book118.com/697153065010006031</w:t>
        </w:r>
      </w:hyperlink>
    </w:p>
    <w:p>
      <w:pPr>
        <w:spacing w:line="480" w:lineRule="auto"/>
        <w:ind w:firstLine="420" w:firstLineChars="0"/>
        <w:rPr>
          <w:rFonts w:ascii="宋体" w:eastAsia="宋体" w:hAnsi="宋体" w:cs="宋体" w:hint="eastAsia"/>
          <w:sz w:val="24"/>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4BE2CC5"/>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69715306501000603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