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等离子体沉积和刻蚀设备项目规划设计蓝图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05" w:history="1">
        <w:r>
          <w:rPr>
            <w:rFonts w:ascii="仿宋" w:eastAsia="仿宋" w:hAnsi="仿宋" w:cs="仿宋" w:hint="eastAsia"/>
            <w:lang w:eastAsia="zh-CN"/>
          </w:rPr>
          <w:t>概论</w:t>
        </w:r>
        <w:r>
          <w:tab/>
        </w:r>
        <w:r>
          <w:fldChar w:fldCharType="begin"/>
        </w:r>
        <w:r>
          <w:instrText xml:space="preserve"> PAGEREF _Toc25105 \h </w:instrText>
        </w:r>
        <w:r>
          <w:fldChar w:fldCharType="separate"/>
        </w:r>
        <w:r>
          <w:t>3</w:t>
        </w:r>
        <w:r>
          <w:fldChar w:fldCharType="end"/>
        </w:r>
      </w:hyperlink>
    </w:p>
    <w:p>
      <w:pPr>
        <w:pStyle w:val="TOC1"/>
        <w:tabs>
          <w:tab w:val="right" w:leader="dot" w:pos="8306"/>
        </w:tabs>
      </w:pPr>
      <w:hyperlink w:anchor="_Toc237" w:history="1">
        <w:r>
          <w:rPr>
            <w:rFonts w:ascii="仿宋" w:eastAsia="仿宋" w:hAnsi="仿宋" w:cs="仿宋" w:hint="eastAsia"/>
            <w:lang w:eastAsia="zh-CN"/>
          </w:rPr>
          <w:t>一、产品规划分析</w:t>
        </w:r>
        <w:r>
          <w:tab/>
        </w:r>
        <w:r>
          <w:fldChar w:fldCharType="begin"/>
        </w:r>
        <w:r>
          <w:instrText xml:space="preserve"> PAGEREF _Toc237 \h </w:instrText>
        </w:r>
        <w:r>
          <w:fldChar w:fldCharType="separate"/>
        </w:r>
        <w:r>
          <w:t>3</w:t>
        </w:r>
        <w:r>
          <w:fldChar w:fldCharType="end"/>
        </w:r>
      </w:hyperlink>
    </w:p>
    <w:p>
      <w:pPr>
        <w:pStyle w:val="TOC2"/>
        <w:tabs>
          <w:tab w:val="right" w:leader="dot" w:pos="8306"/>
        </w:tabs>
      </w:pPr>
      <w:hyperlink w:anchor="_Toc19888" w:history="1">
        <w:r>
          <w:rPr>
            <w:rFonts w:ascii="仿宋" w:eastAsia="仿宋" w:hAnsi="仿宋" w:cs="仿宋" w:hint="eastAsia"/>
            <w:lang w:eastAsia="zh-CN"/>
          </w:rPr>
          <w:t>(一)、产品规划</w:t>
        </w:r>
        <w:r>
          <w:tab/>
        </w:r>
        <w:r>
          <w:fldChar w:fldCharType="begin"/>
        </w:r>
        <w:r>
          <w:instrText xml:space="preserve"> PAGEREF _Toc19888 \h </w:instrText>
        </w:r>
        <w:r>
          <w:fldChar w:fldCharType="separate"/>
        </w:r>
        <w:r>
          <w:t>3</w:t>
        </w:r>
        <w:r>
          <w:fldChar w:fldCharType="end"/>
        </w:r>
      </w:hyperlink>
    </w:p>
    <w:p>
      <w:pPr>
        <w:pStyle w:val="TOC2"/>
        <w:tabs>
          <w:tab w:val="right" w:leader="dot" w:pos="8306"/>
        </w:tabs>
      </w:pPr>
      <w:hyperlink w:anchor="_Toc31315" w:history="1">
        <w:r>
          <w:rPr>
            <w:rFonts w:ascii="仿宋" w:eastAsia="仿宋" w:hAnsi="仿宋" w:cs="仿宋" w:hint="eastAsia"/>
            <w:lang w:eastAsia="zh-CN"/>
          </w:rPr>
          <w:t>(二)、建设规模</w:t>
        </w:r>
        <w:r>
          <w:tab/>
        </w:r>
        <w:r>
          <w:fldChar w:fldCharType="begin"/>
        </w:r>
        <w:r>
          <w:instrText xml:space="preserve"> PAGEREF _Toc31315 \h </w:instrText>
        </w:r>
        <w:r>
          <w:fldChar w:fldCharType="separate"/>
        </w:r>
        <w:r>
          <w:t>4</w:t>
        </w:r>
        <w:r>
          <w:fldChar w:fldCharType="end"/>
        </w:r>
      </w:hyperlink>
    </w:p>
    <w:p>
      <w:pPr>
        <w:pStyle w:val="TOC1"/>
        <w:tabs>
          <w:tab w:val="right" w:leader="dot" w:pos="8306"/>
        </w:tabs>
      </w:pPr>
      <w:hyperlink w:anchor="_Toc20185" w:history="1">
        <w:r>
          <w:rPr>
            <w:rFonts w:ascii="仿宋" w:eastAsia="仿宋" w:hAnsi="仿宋" w:cs="仿宋" w:hint="eastAsia"/>
            <w:lang w:eastAsia="zh-CN"/>
          </w:rPr>
          <w:t>二、等离子体沉积和刻蚀设备项目概论</w:t>
        </w:r>
        <w:r>
          <w:tab/>
        </w:r>
        <w:r>
          <w:fldChar w:fldCharType="begin"/>
        </w:r>
        <w:r>
          <w:instrText xml:space="preserve"> PAGEREF _Toc20185 \h </w:instrText>
        </w:r>
        <w:r>
          <w:fldChar w:fldCharType="separate"/>
        </w:r>
        <w:r>
          <w:t>5</w:t>
        </w:r>
        <w:r>
          <w:fldChar w:fldCharType="end"/>
        </w:r>
      </w:hyperlink>
    </w:p>
    <w:p>
      <w:pPr>
        <w:pStyle w:val="TOC2"/>
        <w:tabs>
          <w:tab w:val="right" w:leader="dot" w:pos="8306"/>
        </w:tabs>
      </w:pPr>
      <w:hyperlink w:anchor="_Toc18537" w:history="1">
        <w:r>
          <w:rPr>
            <w:rFonts w:ascii="仿宋" w:eastAsia="仿宋" w:hAnsi="仿宋" w:cs="仿宋" w:hint="eastAsia"/>
            <w:lang w:eastAsia="zh-CN"/>
          </w:rPr>
          <w:t>(一)、等离子体沉积和刻蚀设备项目概况</w:t>
        </w:r>
        <w:r>
          <w:tab/>
        </w:r>
        <w:r>
          <w:fldChar w:fldCharType="begin"/>
        </w:r>
        <w:r>
          <w:instrText xml:space="preserve"> PAGEREF _Toc18537 \h </w:instrText>
        </w:r>
        <w:r>
          <w:fldChar w:fldCharType="separate"/>
        </w:r>
        <w:r>
          <w:t>5</w:t>
        </w:r>
        <w:r>
          <w:fldChar w:fldCharType="end"/>
        </w:r>
      </w:hyperlink>
    </w:p>
    <w:p>
      <w:pPr>
        <w:pStyle w:val="TOC2"/>
        <w:tabs>
          <w:tab w:val="right" w:leader="dot" w:pos="8306"/>
        </w:tabs>
      </w:pPr>
      <w:hyperlink w:anchor="_Toc8961" w:history="1">
        <w:r>
          <w:rPr>
            <w:rFonts w:ascii="仿宋" w:eastAsia="仿宋" w:hAnsi="仿宋" w:cs="仿宋" w:hint="eastAsia"/>
            <w:lang w:eastAsia="zh-CN"/>
          </w:rPr>
          <w:t>(二)、等离子体沉积和刻蚀设备项目目标</w:t>
        </w:r>
        <w:r>
          <w:tab/>
        </w:r>
        <w:r>
          <w:fldChar w:fldCharType="begin"/>
        </w:r>
        <w:r>
          <w:instrText xml:space="preserve"> PAGEREF _Toc8961 \h </w:instrText>
        </w:r>
        <w:r>
          <w:fldChar w:fldCharType="separate"/>
        </w:r>
        <w:r>
          <w:t>8</w:t>
        </w:r>
        <w:r>
          <w:fldChar w:fldCharType="end"/>
        </w:r>
      </w:hyperlink>
    </w:p>
    <w:p>
      <w:pPr>
        <w:pStyle w:val="TOC2"/>
        <w:tabs>
          <w:tab w:val="right" w:leader="dot" w:pos="8306"/>
        </w:tabs>
      </w:pPr>
      <w:hyperlink w:anchor="_Toc30551" w:history="1">
        <w:r>
          <w:rPr>
            <w:rFonts w:ascii="仿宋" w:eastAsia="仿宋" w:hAnsi="仿宋" w:cs="仿宋" w:hint="eastAsia"/>
            <w:lang w:eastAsia="zh-CN"/>
          </w:rPr>
          <w:t>(三)、等离子体沉积和刻蚀设备项目提出的理由</w:t>
        </w:r>
        <w:r>
          <w:tab/>
        </w:r>
        <w:r>
          <w:fldChar w:fldCharType="begin"/>
        </w:r>
        <w:r>
          <w:instrText xml:space="preserve"> PAGEREF _Toc30551 \h </w:instrText>
        </w:r>
        <w:r>
          <w:fldChar w:fldCharType="separate"/>
        </w:r>
        <w:r>
          <w:t>9</w:t>
        </w:r>
        <w:r>
          <w:fldChar w:fldCharType="end"/>
        </w:r>
      </w:hyperlink>
    </w:p>
    <w:p>
      <w:pPr>
        <w:pStyle w:val="TOC2"/>
        <w:tabs>
          <w:tab w:val="right" w:leader="dot" w:pos="8306"/>
        </w:tabs>
      </w:pPr>
      <w:hyperlink w:anchor="_Toc24615" w:history="1">
        <w:r>
          <w:rPr>
            <w:rFonts w:ascii="仿宋" w:eastAsia="仿宋" w:hAnsi="仿宋" w:cs="仿宋" w:hint="eastAsia"/>
            <w:lang w:eastAsia="zh-CN"/>
          </w:rPr>
          <w:t>(四)、等离子体沉积和刻蚀设备项目意义</w:t>
        </w:r>
        <w:r>
          <w:tab/>
        </w:r>
        <w:r>
          <w:fldChar w:fldCharType="begin"/>
        </w:r>
        <w:r>
          <w:instrText xml:space="preserve"> PAGEREF _Toc24615 \h </w:instrText>
        </w:r>
        <w:r>
          <w:fldChar w:fldCharType="separate"/>
        </w:r>
        <w:r>
          <w:t>10</w:t>
        </w:r>
        <w:r>
          <w:fldChar w:fldCharType="end"/>
        </w:r>
      </w:hyperlink>
    </w:p>
    <w:p>
      <w:pPr>
        <w:pStyle w:val="TOC2"/>
        <w:tabs>
          <w:tab w:val="right" w:leader="dot" w:pos="8306"/>
        </w:tabs>
      </w:pPr>
      <w:hyperlink w:anchor="_Toc32174" w:history="1">
        <w:r>
          <w:rPr>
            <w:rFonts w:ascii="仿宋" w:eastAsia="仿宋" w:hAnsi="仿宋" w:cs="仿宋" w:hint="eastAsia"/>
            <w:lang w:eastAsia="zh-CN"/>
          </w:rPr>
          <w:t>(五)、等离子体沉积和刻蚀设备项目背景</w:t>
        </w:r>
        <w:r>
          <w:tab/>
        </w:r>
        <w:r>
          <w:fldChar w:fldCharType="begin"/>
        </w:r>
        <w:r>
          <w:instrText xml:space="preserve"> PAGEREF _Toc32174 \h </w:instrText>
        </w:r>
        <w:r>
          <w:fldChar w:fldCharType="separate"/>
        </w:r>
        <w:r>
          <w:t>11</w:t>
        </w:r>
        <w:r>
          <w:fldChar w:fldCharType="end"/>
        </w:r>
      </w:hyperlink>
    </w:p>
    <w:p>
      <w:pPr>
        <w:pStyle w:val="TOC1"/>
        <w:tabs>
          <w:tab w:val="right" w:leader="dot" w:pos="8306"/>
        </w:tabs>
      </w:pPr>
      <w:hyperlink w:anchor="_Toc16616" w:history="1">
        <w:r>
          <w:rPr>
            <w:rFonts w:ascii="仿宋" w:eastAsia="仿宋" w:hAnsi="仿宋" w:cs="仿宋" w:hint="eastAsia"/>
            <w:lang w:eastAsia="zh-CN"/>
          </w:rPr>
          <w:t>三、等离子体沉积和刻蚀设备项目文档管理</w:t>
        </w:r>
        <w:r>
          <w:tab/>
        </w:r>
        <w:r>
          <w:fldChar w:fldCharType="begin"/>
        </w:r>
        <w:r>
          <w:instrText xml:space="preserve"> PAGEREF _Toc16616 \h </w:instrText>
        </w:r>
        <w:r>
          <w:fldChar w:fldCharType="separate"/>
        </w:r>
        <w:r>
          <w:t>12</w:t>
        </w:r>
        <w:r>
          <w:fldChar w:fldCharType="end"/>
        </w:r>
      </w:hyperlink>
    </w:p>
    <w:p>
      <w:pPr>
        <w:pStyle w:val="TOC2"/>
        <w:tabs>
          <w:tab w:val="right" w:leader="dot" w:pos="8306"/>
        </w:tabs>
      </w:pPr>
      <w:hyperlink w:anchor="_Toc30904" w:history="1">
        <w:r>
          <w:rPr>
            <w:rFonts w:ascii="仿宋" w:eastAsia="仿宋" w:hAnsi="仿宋" w:cs="仿宋" w:hint="eastAsia"/>
            <w:lang w:eastAsia="zh-CN"/>
          </w:rPr>
          <w:t>(一)、文档编制与审查</w:t>
        </w:r>
        <w:r>
          <w:tab/>
        </w:r>
        <w:r>
          <w:fldChar w:fldCharType="begin"/>
        </w:r>
        <w:r>
          <w:instrText xml:space="preserve"> PAGEREF _Toc30904 \h </w:instrText>
        </w:r>
        <w:r>
          <w:fldChar w:fldCharType="separate"/>
        </w:r>
        <w:r>
          <w:t>12</w:t>
        </w:r>
        <w:r>
          <w:fldChar w:fldCharType="end"/>
        </w:r>
      </w:hyperlink>
    </w:p>
    <w:p>
      <w:pPr>
        <w:pStyle w:val="TOC2"/>
        <w:tabs>
          <w:tab w:val="right" w:leader="dot" w:pos="8306"/>
        </w:tabs>
      </w:pPr>
      <w:hyperlink w:anchor="_Toc3582" w:history="1">
        <w:r>
          <w:rPr>
            <w:rFonts w:ascii="仿宋" w:eastAsia="仿宋" w:hAnsi="仿宋" w:cs="仿宋" w:hint="eastAsia"/>
            <w:lang w:eastAsia="zh-CN"/>
          </w:rPr>
          <w:t>(二)、文档发布与分发</w:t>
        </w:r>
        <w:r>
          <w:tab/>
        </w:r>
        <w:r>
          <w:fldChar w:fldCharType="begin"/>
        </w:r>
        <w:r>
          <w:instrText xml:space="preserve"> PAGEREF _Toc3582 \h </w:instrText>
        </w:r>
        <w:r>
          <w:fldChar w:fldCharType="separate"/>
        </w:r>
        <w:r>
          <w:t>14</w:t>
        </w:r>
        <w:r>
          <w:fldChar w:fldCharType="end"/>
        </w:r>
      </w:hyperlink>
    </w:p>
    <w:p>
      <w:pPr>
        <w:pStyle w:val="TOC2"/>
        <w:tabs>
          <w:tab w:val="right" w:leader="dot" w:pos="8306"/>
        </w:tabs>
      </w:pPr>
      <w:hyperlink w:anchor="_Toc5247" w:history="1">
        <w:r>
          <w:rPr>
            <w:rFonts w:ascii="仿宋" w:eastAsia="仿宋" w:hAnsi="仿宋" w:cs="仿宋" w:hint="eastAsia"/>
            <w:lang w:eastAsia="zh-CN"/>
          </w:rPr>
          <w:t>(三)、文档存档与归档</w:t>
        </w:r>
        <w:r>
          <w:tab/>
        </w:r>
        <w:r>
          <w:fldChar w:fldCharType="begin"/>
        </w:r>
        <w:r>
          <w:instrText xml:space="preserve"> PAGEREF _Toc5247 \h </w:instrText>
        </w:r>
        <w:r>
          <w:fldChar w:fldCharType="separate"/>
        </w:r>
        <w:r>
          <w:t>15</w:t>
        </w:r>
        <w:r>
          <w:fldChar w:fldCharType="end"/>
        </w:r>
      </w:hyperlink>
    </w:p>
    <w:p>
      <w:pPr>
        <w:pStyle w:val="TOC1"/>
        <w:tabs>
          <w:tab w:val="right" w:leader="dot" w:pos="8306"/>
        </w:tabs>
      </w:pPr>
      <w:hyperlink w:anchor="_Toc30897" w:history="1">
        <w:r>
          <w:rPr>
            <w:rFonts w:ascii="仿宋" w:eastAsia="仿宋" w:hAnsi="仿宋" w:cs="仿宋" w:hint="eastAsia"/>
            <w:lang w:eastAsia="zh-CN"/>
          </w:rPr>
          <w:t>四、市场分析、调研</w:t>
        </w:r>
        <w:r>
          <w:tab/>
        </w:r>
        <w:r>
          <w:fldChar w:fldCharType="begin"/>
        </w:r>
        <w:r>
          <w:instrText xml:space="preserve"> PAGEREF _Toc30897 \h </w:instrText>
        </w:r>
        <w:r>
          <w:fldChar w:fldCharType="separate"/>
        </w:r>
        <w:r>
          <w:t>16</w:t>
        </w:r>
        <w:r>
          <w:fldChar w:fldCharType="end"/>
        </w:r>
      </w:hyperlink>
    </w:p>
    <w:p>
      <w:pPr>
        <w:pStyle w:val="TOC2"/>
        <w:tabs>
          <w:tab w:val="right" w:leader="dot" w:pos="8306"/>
        </w:tabs>
      </w:pPr>
      <w:hyperlink w:anchor="_Toc17637" w:history="1">
        <w:r>
          <w:rPr>
            <w:rFonts w:ascii="仿宋" w:eastAsia="仿宋" w:hAnsi="仿宋" w:cs="仿宋" w:hint="eastAsia"/>
            <w:lang w:eastAsia="zh-CN"/>
          </w:rPr>
          <w:t>(一)、等离子体沉积和刻蚀设备行业分析</w:t>
        </w:r>
        <w:r>
          <w:tab/>
        </w:r>
        <w:r>
          <w:fldChar w:fldCharType="begin"/>
        </w:r>
        <w:r>
          <w:instrText xml:space="preserve"> PAGEREF _Toc17637 \h </w:instrText>
        </w:r>
        <w:r>
          <w:fldChar w:fldCharType="separate"/>
        </w:r>
        <w:r>
          <w:t>16</w:t>
        </w:r>
        <w:r>
          <w:fldChar w:fldCharType="end"/>
        </w:r>
      </w:hyperlink>
    </w:p>
    <w:p>
      <w:pPr>
        <w:pStyle w:val="TOC2"/>
        <w:tabs>
          <w:tab w:val="right" w:leader="dot" w:pos="8306"/>
        </w:tabs>
      </w:pPr>
      <w:hyperlink w:anchor="_Toc5659" w:history="1">
        <w:r>
          <w:rPr>
            <w:rFonts w:ascii="仿宋" w:eastAsia="仿宋" w:hAnsi="仿宋" w:cs="仿宋" w:hint="eastAsia"/>
            <w:lang w:eastAsia="zh-CN"/>
          </w:rPr>
          <w:t>(二)、等离子体沉积和刻蚀设备市场分析预测</w:t>
        </w:r>
        <w:r>
          <w:tab/>
        </w:r>
        <w:r>
          <w:fldChar w:fldCharType="begin"/>
        </w:r>
        <w:r>
          <w:instrText xml:space="preserve"> PAGEREF _Toc5659 \h </w:instrText>
        </w:r>
        <w:r>
          <w:fldChar w:fldCharType="separate"/>
        </w:r>
        <w:r>
          <w:t>17</w:t>
        </w:r>
        <w:r>
          <w:fldChar w:fldCharType="end"/>
        </w:r>
      </w:hyperlink>
    </w:p>
    <w:p>
      <w:pPr>
        <w:pStyle w:val="TOC1"/>
        <w:tabs>
          <w:tab w:val="right" w:leader="dot" w:pos="8306"/>
        </w:tabs>
      </w:pPr>
      <w:hyperlink w:anchor="_Toc24694" w:history="1">
        <w:r>
          <w:rPr>
            <w:rFonts w:ascii="仿宋" w:eastAsia="仿宋" w:hAnsi="仿宋" w:cs="仿宋" w:hint="eastAsia"/>
            <w:lang w:eastAsia="zh-CN"/>
          </w:rPr>
          <w:t>五、等离子体沉积和刻蚀设备项目可持续发展</w:t>
        </w:r>
        <w:r>
          <w:tab/>
        </w:r>
        <w:r>
          <w:fldChar w:fldCharType="begin"/>
        </w:r>
        <w:r>
          <w:instrText xml:space="preserve"> PAGEREF _Toc24694 \h </w:instrText>
        </w:r>
        <w:r>
          <w:fldChar w:fldCharType="separate"/>
        </w:r>
        <w:r>
          <w:t>18</w:t>
        </w:r>
        <w:r>
          <w:fldChar w:fldCharType="end"/>
        </w:r>
      </w:hyperlink>
    </w:p>
    <w:p>
      <w:pPr>
        <w:pStyle w:val="TOC2"/>
        <w:tabs>
          <w:tab w:val="right" w:leader="dot" w:pos="8306"/>
        </w:tabs>
      </w:pPr>
      <w:hyperlink w:anchor="_Toc26913" w:history="1">
        <w:r>
          <w:rPr>
            <w:rFonts w:ascii="仿宋" w:eastAsia="仿宋" w:hAnsi="仿宋" w:cs="仿宋" w:hint="eastAsia"/>
            <w:lang w:eastAsia="zh-CN"/>
          </w:rPr>
          <w:t>(一)、可持续战略与实践</w:t>
        </w:r>
        <w:r>
          <w:tab/>
        </w:r>
        <w:r>
          <w:fldChar w:fldCharType="begin"/>
        </w:r>
        <w:r>
          <w:instrText xml:space="preserve"> PAGEREF _Toc26913 \h </w:instrText>
        </w:r>
        <w:r>
          <w:fldChar w:fldCharType="separate"/>
        </w:r>
        <w:r>
          <w:t>18</w:t>
        </w:r>
        <w:r>
          <w:fldChar w:fldCharType="end"/>
        </w:r>
      </w:hyperlink>
    </w:p>
    <w:p>
      <w:pPr>
        <w:pStyle w:val="TOC2"/>
        <w:tabs>
          <w:tab w:val="right" w:leader="dot" w:pos="8306"/>
        </w:tabs>
      </w:pPr>
      <w:hyperlink w:anchor="_Toc29409" w:history="1">
        <w:r>
          <w:rPr>
            <w:rFonts w:ascii="仿宋" w:eastAsia="仿宋" w:hAnsi="仿宋" w:cs="仿宋" w:hint="eastAsia"/>
            <w:lang w:eastAsia="zh-CN"/>
          </w:rPr>
          <w:t>(二)、环保与社会责任</w:t>
        </w:r>
        <w:r>
          <w:tab/>
        </w:r>
        <w:r>
          <w:fldChar w:fldCharType="begin"/>
        </w:r>
        <w:r>
          <w:instrText xml:space="preserve"> PAGEREF _Toc29409 \h </w:instrText>
        </w:r>
        <w:r>
          <w:fldChar w:fldCharType="separate"/>
        </w:r>
        <w:r>
          <w:t>18</w:t>
        </w:r>
        <w:r>
          <w:fldChar w:fldCharType="end"/>
        </w:r>
      </w:hyperlink>
    </w:p>
    <w:p>
      <w:pPr>
        <w:pStyle w:val="TOC1"/>
        <w:tabs>
          <w:tab w:val="right" w:leader="dot" w:pos="8306"/>
        </w:tabs>
      </w:pPr>
      <w:hyperlink w:anchor="_Toc6537" w:history="1">
        <w:r>
          <w:rPr>
            <w:rFonts w:ascii="仿宋" w:eastAsia="仿宋" w:hAnsi="仿宋" w:cs="仿宋" w:hint="eastAsia"/>
            <w:lang w:eastAsia="zh-CN"/>
          </w:rPr>
          <w:t>六、等离子体沉积和刻蚀设备项目建设背景及必要性分析</w:t>
        </w:r>
        <w:r>
          <w:tab/>
        </w:r>
        <w:r>
          <w:fldChar w:fldCharType="begin"/>
        </w:r>
        <w:r>
          <w:instrText xml:space="preserve"> PAGEREF _Toc6537 \h </w:instrText>
        </w:r>
        <w:r>
          <w:fldChar w:fldCharType="separate"/>
        </w:r>
        <w:r>
          <w:t>19</w:t>
        </w:r>
        <w:r>
          <w:fldChar w:fldCharType="end"/>
        </w:r>
      </w:hyperlink>
    </w:p>
    <w:p>
      <w:pPr>
        <w:pStyle w:val="TOC2"/>
        <w:tabs>
          <w:tab w:val="right" w:leader="dot" w:pos="8306"/>
        </w:tabs>
      </w:pPr>
      <w:hyperlink w:anchor="_Toc3141" w:history="1">
        <w:r>
          <w:rPr>
            <w:rFonts w:ascii="仿宋" w:eastAsia="仿宋" w:hAnsi="仿宋" w:cs="仿宋" w:hint="eastAsia"/>
            <w:lang w:eastAsia="zh-CN"/>
          </w:rPr>
          <w:t>(一)、等离子体沉积和刻蚀设备项目背景分析</w:t>
        </w:r>
        <w:r>
          <w:tab/>
        </w:r>
        <w:r>
          <w:fldChar w:fldCharType="begin"/>
        </w:r>
        <w:r>
          <w:instrText xml:space="preserve"> PAGEREF _Toc3141 \h </w:instrText>
        </w:r>
        <w:r>
          <w:fldChar w:fldCharType="separate"/>
        </w:r>
        <w:r>
          <w:t>19</w:t>
        </w:r>
        <w:r>
          <w:fldChar w:fldCharType="end"/>
        </w:r>
      </w:hyperlink>
    </w:p>
    <w:p>
      <w:pPr>
        <w:pStyle w:val="TOC2"/>
        <w:tabs>
          <w:tab w:val="right" w:leader="dot" w:pos="8306"/>
        </w:tabs>
      </w:pPr>
      <w:hyperlink w:anchor="_Toc10409" w:history="1">
        <w:r>
          <w:rPr>
            <w:rFonts w:ascii="仿宋" w:eastAsia="仿宋" w:hAnsi="仿宋" w:cs="仿宋" w:hint="eastAsia"/>
            <w:lang w:eastAsia="zh-CN"/>
          </w:rPr>
          <w:t>(二)、等离子体沉积和刻蚀设备项目建设必要性分析</w:t>
        </w:r>
        <w:r>
          <w:tab/>
        </w:r>
        <w:r>
          <w:fldChar w:fldCharType="begin"/>
        </w:r>
        <w:r>
          <w:instrText xml:space="preserve"> PAGEREF _Toc10409 \h </w:instrText>
        </w:r>
        <w:r>
          <w:fldChar w:fldCharType="separate"/>
        </w:r>
        <w:r>
          <w:t>21</w:t>
        </w:r>
        <w:r>
          <w:fldChar w:fldCharType="end"/>
        </w:r>
      </w:hyperlink>
    </w:p>
    <w:p>
      <w:pPr>
        <w:pStyle w:val="TOC1"/>
        <w:tabs>
          <w:tab w:val="right" w:leader="dot" w:pos="8306"/>
        </w:tabs>
      </w:pPr>
      <w:hyperlink w:anchor="_Toc15268" w:history="1">
        <w:r>
          <w:rPr>
            <w:rFonts w:ascii="仿宋" w:eastAsia="仿宋" w:hAnsi="仿宋" w:cs="仿宋" w:hint="eastAsia"/>
            <w:lang w:eastAsia="zh-CN"/>
          </w:rPr>
          <w:t>七、等离子体沉积和刻蚀设备项目投资规划</w:t>
        </w:r>
        <w:r>
          <w:tab/>
        </w:r>
        <w:r>
          <w:fldChar w:fldCharType="begin"/>
        </w:r>
        <w:r>
          <w:instrText xml:space="preserve"> PAGEREF _Toc15268 \h </w:instrText>
        </w:r>
        <w:r>
          <w:fldChar w:fldCharType="separate"/>
        </w:r>
        <w:r>
          <w:t>23</w:t>
        </w:r>
        <w:r>
          <w:fldChar w:fldCharType="end"/>
        </w:r>
      </w:hyperlink>
    </w:p>
    <w:p>
      <w:pPr>
        <w:pStyle w:val="TOC2"/>
        <w:tabs>
          <w:tab w:val="right" w:leader="dot" w:pos="8306"/>
        </w:tabs>
      </w:pPr>
      <w:hyperlink w:anchor="_Toc14448" w:history="1">
        <w:r>
          <w:rPr>
            <w:rFonts w:ascii="仿宋" w:eastAsia="仿宋" w:hAnsi="仿宋" w:cs="仿宋" w:hint="eastAsia"/>
            <w:lang w:eastAsia="zh-CN"/>
          </w:rPr>
          <w:t>(一)、等离子体沉积和刻蚀设备项目总投资估算</w:t>
        </w:r>
        <w:r>
          <w:tab/>
        </w:r>
        <w:r>
          <w:fldChar w:fldCharType="begin"/>
        </w:r>
        <w:r>
          <w:instrText xml:space="preserve"> PAGEREF _Toc14448 \h </w:instrText>
        </w:r>
        <w:r>
          <w:fldChar w:fldCharType="separate"/>
        </w:r>
        <w:r>
          <w:t>23</w:t>
        </w:r>
        <w:r>
          <w:fldChar w:fldCharType="end"/>
        </w:r>
      </w:hyperlink>
    </w:p>
    <w:p>
      <w:pPr>
        <w:pStyle w:val="TOC2"/>
        <w:tabs>
          <w:tab w:val="right" w:leader="dot" w:pos="8306"/>
        </w:tabs>
      </w:pPr>
      <w:hyperlink w:anchor="_Toc5698" w:history="1">
        <w:r>
          <w:rPr>
            <w:rFonts w:ascii="仿宋" w:eastAsia="仿宋" w:hAnsi="仿宋" w:cs="仿宋" w:hint="eastAsia"/>
            <w:lang w:eastAsia="zh-CN"/>
          </w:rPr>
          <w:t>(二)、资金筹措</w:t>
        </w:r>
        <w:r>
          <w:tab/>
        </w:r>
        <w:r>
          <w:fldChar w:fldCharType="begin"/>
        </w:r>
        <w:r>
          <w:instrText xml:space="preserve"> PAGEREF _Toc5698 \h </w:instrText>
        </w:r>
        <w:r>
          <w:fldChar w:fldCharType="separate"/>
        </w:r>
        <w:r>
          <w:t>24</w:t>
        </w:r>
        <w:r>
          <w:fldChar w:fldCharType="end"/>
        </w:r>
      </w:hyperlink>
    </w:p>
    <w:p>
      <w:pPr>
        <w:pStyle w:val="TOC1"/>
        <w:tabs>
          <w:tab w:val="right" w:leader="dot" w:pos="8306"/>
        </w:tabs>
      </w:pPr>
      <w:hyperlink w:anchor="_Toc24542" w:history="1">
        <w:r>
          <w:rPr>
            <w:rFonts w:ascii="仿宋" w:eastAsia="仿宋" w:hAnsi="仿宋" w:cs="仿宋" w:hint="eastAsia"/>
            <w:lang w:eastAsia="zh-CN"/>
          </w:rPr>
          <w:t>八、生产安全保护</w:t>
        </w:r>
        <w:r>
          <w:tab/>
        </w:r>
        <w:r>
          <w:fldChar w:fldCharType="begin"/>
        </w:r>
        <w:r>
          <w:instrText xml:space="preserve"> PAGEREF _Toc24542 \h </w:instrText>
        </w:r>
        <w:r>
          <w:fldChar w:fldCharType="separate"/>
        </w:r>
        <w:r>
          <w:t>25</w:t>
        </w:r>
        <w:r>
          <w:fldChar w:fldCharType="end"/>
        </w:r>
      </w:hyperlink>
    </w:p>
    <w:p>
      <w:pPr>
        <w:pStyle w:val="TOC2"/>
        <w:tabs>
          <w:tab w:val="right" w:leader="dot" w:pos="8306"/>
        </w:tabs>
      </w:pPr>
      <w:hyperlink w:anchor="_Toc31423" w:history="1">
        <w:r>
          <w:rPr>
            <w:rFonts w:ascii="仿宋" w:eastAsia="仿宋" w:hAnsi="仿宋" w:cs="仿宋" w:hint="eastAsia"/>
            <w:lang w:eastAsia="zh-CN"/>
          </w:rPr>
          <w:t>(一)、消防安全</w:t>
        </w:r>
        <w:r>
          <w:tab/>
        </w:r>
        <w:r>
          <w:fldChar w:fldCharType="begin"/>
        </w:r>
        <w:r>
          <w:instrText xml:space="preserve"> PAGEREF _Toc31423 \h </w:instrText>
        </w:r>
        <w:r>
          <w:fldChar w:fldCharType="separate"/>
        </w:r>
        <w:r>
          <w:t>25</w:t>
        </w:r>
        <w:r>
          <w:fldChar w:fldCharType="end"/>
        </w:r>
      </w:hyperlink>
    </w:p>
    <w:p>
      <w:pPr>
        <w:pStyle w:val="TOC2"/>
        <w:tabs>
          <w:tab w:val="right" w:leader="dot" w:pos="8306"/>
        </w:tabs>
      </w:pPr>
      <w:hyperlink w:anchor="_Toc8238" w:history="1">
        <w:r>
          <w:rPr>
            <w:rFonts w:ascii="仿宋" w:eastAsia="仿宋" w:hAnsi="仿宋" w:cs="仿宋" w:hint="eastAsia"/>
            <w:lang w:eastAsia="zh-CN"/>
          </w:rPr>
          <w:t>(二)、防火防爆总图布置措施</w:t>
        </w:r>
        <w:r>
          <w:tab/>
        </w:r>
        <w:r>
          <w:fldChar w:fldCharType="begin"/>
        </w:r>
        <w:r>
          <w:instrText xml:space="preserve"> PAGEREF _Toc8238 \h </w:instrText>
        </w:r>
        <w:r>
          <w:fldChar w:fldCharType="separate"/>
        </w:r>
        <w:r>
          <w:t>27</w:t>
        </w:r>
        <w:r>
          <w:fldChar w:fldCharType="end"/>
        </w:r>
      </w:hyperlink>
    </w:p>
    <w:p>
      <w:pPr>
        <w:pStyle w:val="TOC2"/>
        <w:tabs>
          <w:tab w:val="right" w:leader="dot" w:pos="8306"/>
        </w:tabs>
      </w:pPr>
      <w:hyperlink w:anchor="_Toc30243" w:history="1">
        <w:r>
          <w:rPr>
            <w:rFonts w:ascii="仿宋" w:eastAsia="仿宋" w:hAnsi="仿宋" w:cs="仿宋" w:hint="eastAsia"/>
            <w:lang w:eastAsia="zh-CN"/>
          </w:rPr>
          <w:t>(三)、自然灾害防范措施</w:t>
        </w:r>
        <w:r>
          <w:tab/>
        </w:r>
        <w:r>
          <w:fldChar w:fldCharType="begin"/>
        </w:r>
        <w:r>
          <w:instrText xml:space="preserve"> PAGEREF _Toc30243 \h </w:instrText>
        </w:r>
        <w:r>
          <w:fldChar w:fldCharType="separate"/>
        </w:r>
        <w:r>
          <w:t>27</w:t>
        </w:r>
        <w:r>
          <w:fldChar w:fldCharType="end"/>
        </w:r>
      </w:hyperlink>
    </w:p>
    <w:p>
      <w:pPr>
        <w:pStyle w:val="TOC2"/>
        <w:tabs>
          <w:tab w:val="right" w:leader="dot" w:pos="8306"/>
        </w:tabs>
      </w:pPr>
      <w:hyperlink w:anchor="_Toc26670" w:history="1">
        <w:r>
          <w:rPr>
            <w:rFonts w:ascii="仿宋" w:eastAsia="仿宋" w:hAnsi="仿宋" w:cs="仿宋" w:hint="eastAsia"/>
            <w:lang w:eastAsia="zh-CN"/>
          </w:rPr>
          <w:t>(四)、安全色及安全标志使用要求</w:t>
        </w:r>
        <w:r>
          <w:tab/>
        </w:r>
        <w:r>
          <w:fldChar w:fldCharType="begin"/>
        </w:r>
        <w:r>
          <w:instrText xml:space="preserve"> PAGEREF _Toc26670 \h </w:instrText>
        </w:r>
        <w:r>
          <w:fldChar w:fldCharType="separate"/>
        </w:r>
        <w:r>
          <w:t>29</w:t>
        </w:r>
        <w:r>
          <w:fldChar w:fldCharType="end"/>
        </w:r>
      </w:hyperlink>
    </w:p>
    <w:p>
      <w:pPr>
        <w:pStyle w:val="TOC2"/>
        <w:tabs>
          <w:tab w:val="right" w:leader="dot" w:pos="8306"/>
        </w:tabs>
      </w:pPr>
      <w:hyperlink w:anchor="_Toc8766" w:history="1">
        <w:r>
          <w:rPr>
            <w:rFonts w:ascii="仿宋" w:eastAsia="仿宋" w:hAnsi="仿宋" w:cs="仿宋" w:hint="eastAsia"/>
            <w:lang w:eastAsia="zh-CN"/>
          </w:rPr>
          <w:t>(五)、防尘防毒措施</w:t>
        </w:r>
        <w:r>
          <w:tab/>
        </w:r>
        <w:r>
          <w:fldChar w:fldCharType="begin"/>
        </w:r>
        <w:r>
          <w:instrText xml:space="preserve"> PAGEREF _Toc8766 \h </w:instrText>
        </w:r>
        <w:r>
          <w:fldChar w:fldCharType="separate"/>
        </w:r>
        <w:r>
          <w:t>30</w:t>
        </w:r>
        <w:r>
          <w:fldChar w:fldCharType="end"/>
        </w:r>
      </w:hyperlink>
    </w:p>
    <w:p>
      <w:pPr>
        <w:pStyle w:val="TOC2"/>
        <w:tabs>
          <w:tab w:val="right" w:leader="dot" w:pos="8306"/>
        </w:tabs>
      </w:pPr>
      <w:hyperlink w:anchor="_Toc16296" w:history="1">
        <w:r>
          <w:rPr>
            <w:rFonts w:ascii="仿宋" w:eastAsia="仿宋" w:hAnsi="仿宋" w:cs="仿宋" w:hint="eastAsia"/>
            <w:lang w:eastAsia="zh-CN"/>
          </w:rPr>
          <w:t>(六)、防静电、触电防护及防雷措施</w:t>
        </w:r>
        <w:r>
          <w:tab/>
        </w:r>
        <w:r>
          <w:fldChar w:fldCharType="begin"/>
        </w:r>
        <w:r>
          <w:instrText xml:space="preserve"> PAGEREF _Toc16296 \h </w:instrText>
        </w:r>
        <w:r>
          <w:fldChar w:fldCharType="separate"/>
        </w:r>
        <w:r>
          <w:t>31</w:t>
        </w:r>
        <w:r>
          <w:fldChar w:fldCharType="end"/>
        </w:r>
      </w:hyperlink>
    </w:p>
    <w:p>
      <w:pPr>
        <w:pStyle w:val="TOC2"/>
        <w:tabs>
          <w:tab w:val="right" w:leader="dot" w:pos="8306"/>
        </w:tabs>
      </w:pPr>
      <w:hyperlink w:anchor="_Toc20485" w:history="1">
        <w:r>
          <w:rPr>
            <w:rFonts w:ascii="仿宋" w:eastAsia="仿宋" w:hAnsi="仿宋" w:cs="仿宋" w:hint="eastAsia"/>
            <w:lang w:eastAsia="zh-CN"/>
          </w:rPr>
          <w:t>(七)、机械设备安全保障措施</w:t>
        </w:r>
        <w:r>
          <w:tab/>
        </w:r>
        <w:r>
          <w:fldChar w:fldCharType="begin"/>
        </w:r>
        <w:r>
          <w:instrText xml:space="preserve"> PAGEREF _Toc20485 \h </w:instrText>
        </w:r>
        <w:r>
          <w:fldChar w:fldCharType="separate"/>
        </w:r>
        <w:r>
          <w:t>32</w:t>
        </w:r>
        <w:r>
          <w:fldChar w:fldCharType="end"/>
        </w:r>
      </w:hyperlink>
    </w:p>
    <w:p>
      <w:pPr>
        <w:pStyle w:val="TOC1"/>
        <w:tabs>
          <w:tab w:val="right" w:leader="dot" w:pos="8306"/>
        </w:tabs>
      </w:pPr>
      <w:hyperlink w:anchor="_Toc17099" w:history="1">
        <w:r>
          <w:rPr>
            <w:rFonts w:ascii="仿宋" w:eastAsia="仿宋" w:hAnsi="仿宋" w:cs="仿宋" w:hint="eastAsia"/>
            <w:lang w:eastAsia="zh-CN"/>
          </w:rPr>
          <w:t>九、等离子体沉积和刻蚀设备项目人力资源培养与发展</w:t>
        </w:r>
        <w:r>
          <w:tab/>
        </w:r>
        <w:r>
          <w:fldChar w:fldCharType="begin"/>
        </w:r>
        <w:r>
          <w:instrText xml:space="preserve"> PAGEREF _Toc17099 \h </w:instrText>
        </w:r>
        <w:r>
          <w:fldChar w:fldCharType="separate"/>
        </w:r>
        <w:r>
          <w:t>34</w:t>
        </w:r>
        <w:r>
          <w:fldChar w:fldCharType="end"/>
        </w:r>
      </w:hyperlink>
    </w:p>
    <w:p>
      <w:pPr>
        <w:pStyle w:val="TOC2"/>
        <w:tabs>
          <w:tab w:val="right" w:leader="dot" w:pos="8306"/>
        </w:tabs>
      </w:pPr>
      <w:hyperlink w:anchor="_Toc9682" w:history="1">
        <w:r>
          <w:rPr>
            <w:rFonts w:ascii="仿宋" w:eastAsia="仿宋" w:hAnsi="仿宋" w:cs="仿宋" w:hint="eastAsia"/>
            <w:lang w:eastAsia="zh-CN"/>
          </w:rPr>
          <w:t>(一)、人才需求与规划</w:t>
        </w:r>
        <w:r>
          <w:tab/>
        </w:r>
        <w:r>
          <w:fldChar w:fldCharType="begin"/>
        </w:r>
        <w:r>
          <w:instrText xml:space="preserve"> PAGEREF _Toc9682 \h </w:instrText>
        </w:r>
        <w:r>
          <w:fldChar w:fldCharType="separate"/>
        </w:r>
        <w:r>
          <w:t>34</w:t>
        </w:r>
        <w:r>
          <w:fldChar w:fldCharType="end"/>
        </w:r>
      </w:hyperlink>
    </w:p>
    <w:p>
      <w:pPr>
        <w:pStyle w:val="TOC2"/>
        <w:tabs>
          <w:tab w:val="right" w:leader="dot" w:pos="8306"/>
        </w:tabs>
      </w:pPr>
      <w:hyperlink w:anchor="_Toc5602" w:history="1">
        <w:r>
          <w:rPr>
            <w:rFonts w:ascii="仿宋" w:eastAsia="仿宋" w:hAnsi="仿宋" w:cs="仿宋" w:hint="eastAsia"/>
            <w:lang w:eastAsia="zh-CN"/>
          </w:rPr>
          <w:t>(二)、培训与发展计划</w:t>
        </w:r>
        <w:r>
          <w:tab/>
        </w:r>
        <w:r>
          <w:fldChar w:fldCharType="begin"/>
        </w:r>
        <w:r>
          <w:instrText xml:space="preserve"> PAGEREF _Toc5602 \h </w:instrText>
        </w:r>
        <w:r>
          <w:fldChar w:fldCharType="separate"/>
        </w:r>
        <w:r>
          <w:t>34</w:t>
        </w:r>
        <w:r>
          <w:fldChar w:fldCharType="end"/>
        </w:r>
      </w:hyperlink>
    </w:p>
    <w:p>
      <w:pPr>
        <w:pStyle w:val="TOC1"/>
        <w:tabs>
          <w:tab w:val="right" w:leader="dot" w:pos="8306"/>
        </w:tabs>
      </w:pPr>
      <w:hyperlink w:anchor="_Toc22708" w:history="1">
        <w:r>
          <w:rPr>
            <w:rFonts w:ascii="仿宋" w:eastAsia="仿宋" w:hAnsi="仿宋" w:cs="仿宋" w:hint="eastAsia"/>
            <w:lang w:eastAsia="zh-CN"/>
          </w:rPr>
          <w:t>十、等离子体沉积和刻蚀设备项目计划安排</w:t>
        </w:r>
        <w:r>
          <w:tab/>
        </w:r>
        <w:r>
          <w:fldChar w:fldCharType="begin"/>
        </w:r>
        <w:r>
          <w:instrText xml:space="preserve"> PAGEREF _Toc22708 \h </w:instrText>
        </w:r>
        <w:r>
          <w:fldChar w:fldCharType="separate"/>
        </w:r>
        <w:r>
          <w:t>35</w:t>
        </w:r>
        <w:r>
          <w:fldChar w:fldCharType="end"/>
        </w:r>
      </w:hyperlink>
    </w:p>
    <w:p>
      <w:pPr>
        <w:pStyle w:val="TOC2"/>
        <w:tabs>
          <w:tab w:val="right" w:leader="dot" w:pos="8306"/>
        </w:tabs>
      </w:pPr>
      <w:hyperlink w:anchor="_Toc31724" w:history="1">
        <w:r>
          <w:rPr>
            <w:rFonts w:ascii="仿宋" w:eastAsia="仿宋" w:hAnsi="仿宋" w:cs="仿宋" w:hint="eastAsia"/>
            <w:lang w:eastAsia="zh-CN"/>
          </w:rPr>
          <w:t>(一)、建设周期</w:t>
        </w:r>
        <w:r>
          <w:tab/>
        </w:r>
        <w:r>
          <w:fldChar w:fldCharType="begin"/>
        </w:r>
        <w:r>
          <w:instrText xml:space="preserve"> PAGEREF _Toc31724 \h </w:instrText>
        </w:r>
        <w:r>
          <w:fldChar w:fldCharType="separate"/>
        </w:r>
        <w:r>
          <w:t>35</w:t>
        </w:r>
        <w:r>
          <w:fldChar w:fldCharType="end"/>
        </w:r>
      </w:hyperlink>
    </w:p>
    <w:p>
      <w:pPr>
        <w:pStyle w:val="TOC2"/>
        <w:tabs>
          <w:tab w:val="right" w:leader="dot" w:pos="8306"/>
        </w:tabs>
      </w:pPr>
      <w:hyperlink w:anchor="_Toc8496" w:history="1">
        <w:r>
          <w:rPr>
            <w:rFonts w:ascii="仿宋" w:eastAsia="仿宋" w:hAnsi="仿宋" w:cs="仿宋" w:hint="eastAsia"/>
            <w:lang w:eastAsia="zh-CN"/>
          </w:rPr>
          <w:t>(二)、建设进度</w:t>
        </w:r>
        <w:r>
          <w:tab/>
        </w:r>
        <w:r>
          <w:fldChar w:fldCharType="begin"/>
        </w:r>
        <w:r>
          <w:instrText xml:space="preserve"> PAGEREF _Toc8496 \h </w:instrText>
        </w:r>
        <w:r>
          <w:fldChar w:fldCharType="separate"/>
        </w:r>
        <w:r>
          <w:t>36</w:t>
        </w:r>
        <w:r>
          <w:fldChar w:fldCharType="end"/>
        </w:r>
      </w:hyperlink>
    </w:p>
    <w:p>
      <w:pPr>
        <w:pStyle w:val="TOC2"/>
        <w:tabs>
          <w:tab w:val="right" w:leader="dot" w:pos="8306"/>
        </w:tabs>
      </w:pPr>
      <w:hyperlink w:anchor="_Toc20174" w:history="1">
        <w:r>
          <w:rPr>
            <w:rFonts w:ascii="仿宋" w:eastAsia="仿宋" w:hAnsi="仿宋" w:cs="仿宋" w:hint="eastAsia"/>
            <w:lang w:eastAsia="zh-CN"/>
          </w:rPr>
          <w:t>(三)、进度安排注意事项</w:t>
        </w:r>
        <w:r>
          <w:tab/>
        </w:r>
        <w:r>
          <w:fldChar w:fldCharType="begin"/>
        </w:r>
        <w:r>
          <w:instrText xml:space="preserve"> PAGEREF _Toc20174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62" w:history="1">
        <w:r>
          <w:rPr>
            <w:rFonts w:ascii="仿宋" w:eastAsia="仿宋" w:hAnsi="仿宋" w:cs="仿宋" w:hint="eastAsia"/>
            <w:lang w:eastAsia="zh-CN"/>
          </w:rPr>
          <w:t>(四)、人力资源配置</w:t>
        </w:r>
        <w:r>
          <w:tab/>
        </w:r>
        <w:r>
          <w:fldChar w:fldCharType="begin"/>
        </w:r>
        <w:r>
          <w:instrText xml:space="preserve"> PAGEREF _Toc20262 \h </w:instrText>
        </w:r>
        <w:r>
          <w:fldChar w:fldCharType="separate"/>
        </w:r>
        <w:r>
          <w:t>39</w:t>
        </w:r>
        <w:r>
          <w:fldChar w:fldCharType="end"/>
        </w:r>
      </w:hyperlink>
    </w:p>
    <w:p>
      <w:pPr>
        <w:pStyle w:val="TOC1"/>
        <w:tabs>
          <w:tab w:val="right" w:leader="dot" w:pos="8306"/>
        </w:tabs>
      </w:pPr>
      <w:hyperlink w:anchor="_Toc20021" w:history="1">
        <w:r>
          <w:rPr>
            <w:rFonts w:ascii="仿宋" w:eastAsia="仿宋" w:hAnsi="仿宋" w:cs="仿宋" w:hint="eastAsia"/>
            <w:lang w:eastAsia="zh-CN"/>
          </w:rPr>
          <w:t>十一、等离子体沉积和刻蚀设备项目社会影响</w:t>
        </w:r>
        <w:r>
          <w:tab/>
        </w:r>
        <w:r>
          <w:fldChar w:fldCharType="begin"/>
        </w:r>
        <w:r>
          <w:instrText xml:space="preserve"> PAGEREF _Toc20021 \h </w:instrText>
        </w:r>
        <w:r>
          <w:fldChar w:fldCharType="separate"/>
        </w:r>
        <w:r>
          <w:t>39</w:t>
        </w:r>
        <w:r>
          <w:fldChar w:fldCharType="end"/>
        </w:r>
      </w:hyperlink>
    </w:p>
    <w:p>
      <w:pPr>
        <w:pStyle w:val="TOC2"/>
        <w:tabs>
          <w:tab w:val="right" w:leader="dot" w:pos="8306"/>
        </w:tabs>
      </w:pPr>
      <w:hyperlink w:anchor="_Toc15796" w:history="1">
        <w:r>
          <w:rPr>
            <w:rFonts w:ascii="仿宋" w:eastAsia="仿宋" w:hAnsi="仿宋" w:cs="仿宋" w:hint="eastAsia"/>
            <w:lang w:eastAsia="zh-CN"/>
          </w:rPr>
          <w:t>(一)、社会责任与义务</w:t>
        </w:r>
        <w:r>
          <w:tab/>
        </w:r>
        <w:r>
          <w:fldChar w:fldCharType="begin"/>
        </w:r>
        <w:r>
          <w:instrText xml:space="preserve"> PAGEREF _Toc15796 \h </w:instrText>
        </w:r>
        <w:r>
          <w:fldChar w:fldCharType="separate"/>
        </w:r>
        <w:r>
          <w:t>39</w:t>
        </w:r>
        <w:r>
          <w:fldChar w:fldCharType="end"/>
        </w:r>
      </w:hyperlink>
    </w:p>
    <w:p>
      <w:pPr>
        <w:pStyle w:val="TOC2"/>
        <w:tabs>
          <w:tab w:val="right" w:leader="dot" w:pos="8306"/>
        </w:tabs>
      </w:pPr>
      <w:hyperlink w:anchor="_Toc8802" w:history="1">
        <w:r>
          <w:rPr>
            <w:rFonts w:ascii="仿宋" w:eastAsia="仿宋" w:hAnsi="仿宋" w:cs="仿宋" w:hint="eastAsia"/>
            <w:lang w:eastAsia="zh-CN"/>
          </w:rPr>
          <w:t>(二)、社会参与与沟通</w:t>
        </w:r>
        <w:r>
          <w:tab/>
        </w:r>
        <w:r>
          <w:fldChar w:fldCharType="begin"/>
        </w:r>
        <w:r>
          <w:instrText xml:space="preserve"> PAGEREF _Toc8802 \h </w:instrText>
        </w:r>
        <w:r>
          <w:fldChar w:fldCharType="separate"/>
        </w:r>
        <w:r>
          <w:t>40</w:t>
        </w:r>
        <w:r>
          <w:fldChar w:fldCharType="end"/>
        </w:r>
      </w:hyperlink>
    </w:p>
    <w:p>
      <w:pPr>
        <w:pStyle w:val="TOC1"/>
        <w:tabs>
          <w:tab w:val="right" w:leader="dot" w:pos="8306"/>
        </w:tabs>
      </w:pPr>
      <w:hyperlink w:anchor="_Toc12104" w:history="1">
        <w:r>
          <w:rPr>
            <w:rFonts w:ascii="仿宋" w:eastAsia="仿宋" w:hAnsi="仿宋" w:cs="仿宋" w:hint="eastAsia"/>
            <w:lang w:eastAsia="zh-CN"/>
          </w:rPr>
          <w:t>十二、等离子体沉积和刻蚀设备项目技术管理</w:t>
        </w:r>
        <w:r>
          <w:tab/>
        </w:r>
        <w:r>
          <w:fldChar w:fldCharType="begin"/>
        </w:r>
        <w:r>
          <w:instrText xml:space="preserve"> PAGEREF _Toc12104 \h </w:instrText>
        </w:r>
        <w:r>
          <w:fldChar w:fldCharType="separate"/>
        </w:r>
        <w:r>
          <w:t>41</w:t>
        </w:r>
        <w:r>
          <w:fldChar w:fldCharType="end"/>
        </w:r>
      </w:hyperlink>
    </w:p>
    <w:p>
      <w:pPr>
        <w:pStyle w:val="TOC2"/>
        <w:tabs>
          <w:tab w:val="right" w:leader="dot" w:pos="8306"/>
        </w:tabs>
      </w:pPr>
      <w:hyperlink w:anchor="_Toc6771" w:history="1">
        <w:r>
          <w:rPr>
            <w:rFonts w:ascii="仿宋" w:eastAsia="仿宋" w:hAnsi="仿宋" w:cs="仿宋" w:hint="eastAsia"/>
            <w:lang w:eastAsia="zh-CN"/>
          </w:rPr>
          <w:t>(一)、技术方案选用方向</w:t>
        </w:r>
        <w:r>
          <w:tab/>
        </w:r>
        <w:r>
          <w:fldChar w:fldCharType="begin"/>
        </w:r>
        <w:r>
          <w:instrText xml:space="preserve"> PAGEREF _Toc6771 \h </w:instrText>
        </w:r>
        <w:r>
          <w:fldChar w:fldCharType="separate"/>
        </w:r>
        <w:r>
          <w:t>41</w:t>
        </w:r>
        <w:r>
          <w:fldChar w:fldCharType="end"/>
        </w:r>
      </w:hyperlink>
    </w:p>
    <w:p>
      <w:pPr>
        <w:pStyle w:val="TOC2"/>
        <w:tabs>
          <w:tab w:val="right" w:leader="dot" w:pos="8306"/>
        </w:tabs>
      </w:pPr>
      <w:hyperlink w:anchor="_Toc6986" w:history="1">
        <w:r>
          <w:rPr>
            <w:rFonts w:ascii="仿宋" w:eastAsia="仿宋" w:hAnsi="仿宋" w:cs="仿宋" w:hint="eastAsia"/>
            <w:lang w:eastAsia="zh-CN"/>
          </w:rPr>
          <w:t>(二)、工艺技术方案选用原则</w:t>
        </w:r>
        <w:r>
          <w:tab/>
        </w:r>
        <w:r>
          <w:fldChar w:fldCharType="begin"/>
        </w:r>
        <w:r>
          <w:instrText xml:space="preserve"> PAGEREF _Toc6986 \h </w:instrText>
        </w:r>
        <w:r>
          <w:fldChar w:fldCharType="separate"/>
        </w:r>
        <w:r>
          <w:t>43</w:t>
        </w:r>
        <w:r>
          <w:fldChar w:fldCharType="end"/>
        </w:r>
      </w:hyperlink>
    </w:p>
    <w:p>
      <w:pPr>
        <w:pStyle w:val="TOC2"/>
        <w:tabs>
          <w:tab w:val="right" w:leader="dot" w:pos="8306"/>
        </w:tabs>
      </w:pPr>
      <w:hyperlink w:anchor="_Toc10733" w:history="1">
        <w:r>
          <w:rPr>
            <w:rFonts w:ascii="仿宋" w:eastAsia="仿宋" w:hAnsi="仿宋" w:cs="仿宋" w:hint="eastAsia"/>
            <w:lang w:eastAsia="zh-CN"/>
          </w:rPr>
          <w:t>(三)、工艺技术方案要求</w:t>
        </w:r>
        <w:r>
          <w:tab/>
        </w:r>
        <w:r>
          <w:fldChar w:fldCharType="begin"/>
        </w:r>
        <w:r>
          <w:instrText xml:space="preserve"> PAGEREF _Toc10733 \h </w:instrText>
        </w:r>
        <w:r>
          <w:fldChar w:fldCharType="separate"/>
        </w:r>
        <w:r>
          <w:t>45</w:t>
        </w:r>
        <w:r>
          <w:fldChar w:fldCharType="end"/>
        </w:r>
      </w:hyperlink>
    </w:p>
    <w:p>
      <w:pPr>
        <w:pStyle w:val="TOC1"/>
        <w:tabs>
          <w:tab w:val="right" w:leader="dot" w:pos="8306"/>
        </w:tabs>
      </w:pPr>
      <w:hyperlink w:anchor="_Toc510" w:history="1">
        <w:r>
          <w:rPr>
            <w:rFonts w:ascii="仿宋" w:eastAsia="仿宋" w:hAnsi="仿宋" w:cs="仿宋" w:hint="eastAsia"/>
            <w:lang w:eastAsia="zh-CN"/>
          </w:rPr>
          <w:t>十三、等离子体沉积和刻蚀设备项目实施保障措施</w:t>
        </w:r>
        <w:r>
          <w:tab/>
        </w:r>
        <w:r>
          <w:fldChar w:fldCharType="begin"/>
        </w:r>
        <w:r>
          <w:instrText xml:space="preserve"> PAGEREF _Toc510 \h </w:instrText>
        </w:r>
        <w:r>
          <w:fldChar w:fldCharType="separate"/>
        </w:r>
        <w:r>
          <w:t>48</w:t>
        </w:r>
        <w:r>
          <w:fldChar w:fldCharType="end"/>
        </w:r>
      </w:hyperlink>
    </w:p>
    <w:p>
      <w:pPr>
        <w:pStyle w:val="TOC2"/>
        <w:tabs>
          <w:tab w:val="right" w:leader="dot" w:pos="8306"/>
        </w:tabs>
      </w:pPr>
      <w:hyperlink w:anchor="_Toc1933" w:history="1">
        <w:r>
          <w:rPr>
            <w:rFonts w:ascii="仿宋" w:eastAsia="仿宋" w:hAnsi="仿宋" w:cs="仿宋" w:hint="eastAsia"/>
            <w:lang w:eastAsia="zh-CN"/>
          </w:rPr>
          <w:t>(一)、等离子体沉积和刻蚀设备项目实施保障机制</w:t>
        </w:r>
        <w:r>
          <w:tab/>
        </w:r>
        <w:r>
          <w:fldChar w:fldCharType="begin"/>
        </w:r>
        <w:r>
          <w:instrText xml:space="preserve"> PAGEREF _Toc1933 \h </w:instrText>
        </w:r>
        <w:r>
          <w:fldChar w:fldCharType="separate"/>
        </w:r>
        <w:r>
          <w:t>48</w:t>
        </w:r>
        <w:r>
          <w:fldChar w:fldCharType="end"/>
        </w:r>
      </w:hyperlink>
    </w:p>
    <w:p>
      <w:pPr>
        <w:pStyle w:val="TOC2"/>
        <w:tabs>
          <w:tab w:val="right" w:leader="dot" w:pos="8306"/>
        </w:tabs>
      </w:pPr>
      <w:hyperlink w:anchor="_Toc16526" w:history="1">
        <w:r>
          <w:rPr>
            <w:rFonts w:ascii="仿宋" w:eastAsia="仿宋" w:hAnsi="仿宋" w:cs="仿宋" w:hint="eastAsia"/>
            <w:lang w:eastAsia="zh-CN"/>
          </w:rPr>
          <w:t>(二)、等离子体沉积和刻蚀设备项目法律合规要求</w:t>
        </w:r>
        <w:r>
          <w:tab/>
        </w:r>
        <w:r>
          <w:fldChar w:fldCharType="begin"/>
        </w:r>
        <w:r>
          <w:instrText xml:space="preserve"> PAGEREF _Toc16526 \h </w:instrText>
        </w:r>
        <w:r>
          <w:fldChar w:fldCharType="separate"/>
        </w:r>
        <w:r>
          <w:t>52</w:t>
        </w:r>
        <w:r>
          <w:fldChar w:fldCharType="end"/>
        </w:r>
      </w:hyperlink>
    </w:p>
    <w:p>
      <w:pPr>
        <w:pStyle w:val="TOC2"/>
        <w:tabs>
          <w:tab w:val="right" w:leader="dot" w:pos="8306"/>
        </w:tabs>
      </w:pPr>
      <w:hyperlink w:anchor="_Toc8107" w:history="1">
        <w:r>
          <w:rPr>
            <w:rFonts w:ascii="仿宋" w:eastAsia="仿宋" w:hAnsi="仿宋" w:cs="仿宋" w:hint="eastAsia"/>
            <w:lang w:eastAsia="zh-CN"/>
          </w:rPr>
          <w:t>(三)、等离子体沉积和刻蚀设备项目合同管理与法律事务</w:t>
        </w:r>
        <w:r>
          <w:tab/>
        </w:r>
        <w:r>
          <w:fldChar w:fldCharType="begin"/>
        </w:r>
        <w:r>
          <w:instrText xml:space="preserve"> PAGEREF _Toc8107 \h </w:instrText>
        </w:r>
        <w:r>
          <w:fldChar w:fldCharType="separate"/>
        </w:r>
        <w:r>
          <w:t>56</w:t>
        </w:r>
        <w:r>
          <w:fldChar w:fldCharType="end"/>
        </w:r>
      </w:hyperlink>
    </w:p>
    <w:p>
      <w:pPr>
        <w:pStyle w:val="TOC2"/>
        <w:tabs>
          <w:tab w:val="right" w:leader="dot" w:pos="8306"/>
        </w:tabs>
      </w:pPr>
      <w:hyperlink w:anchor="_Toc28260" w:history="1">
        <w:r>
          <w:rPr>
            <w:rFonts w:ascii="仿宋" w:eastAsia="仿宋" w:hAnsi="仿宋" w:cs="仿宋" w:hint="eastAsia"/>
            <w:lang w:eastAsia="zh-CN"/>
          </w:rPr>
          <w:t>(四)、等离子体沉积和刻蚀设备项目知识产权保护策略</w:t>
        </w:r>
        <w:r>
          <w:tab/>
        </w:r>
        <w:r>
          <w:fldChar w:fldCharType="begin"/>
        </w:r>
        <w:r>
          <w:instrText xml:space="preserve"> PAGEREF _Toc28260 \h </w:instrText>
        </w:r>
        <w:r>
          <w:fldChar w:fldCharType="separate"/>
        </w:r>
        <w:r>
          <w:t>63</w:t>
        </w:r>
        <w:r>
          <w:fldChar w:fldCharType="end"/>
        </w:r>
      </w:hyperlink>
    </w:p>
    <w:p>
      <w:pPr>
        <w:pStyle w:val="TOC1"/>
        <w:tabs>
          <w:tab w:val="right" w:leader="dot" w:pos="8306"/>
        </w:tabs>
      </w:pPr>
      <w:hyperlink w:anchor="_Toc24248" w:history="1">
        <w:r>
          <w:rPr>
            <w:rFonts w:ascii="仿宋" w:eastAsia="仿宋" w:hAnsi="仿宋" w:cs="仿宋" w:hint="eastAsia"/>
            <w:lang w:eastAsia="zh-CN"/>
          </w:rPr>
          <w:t>十四、营销与推广策略</w:t>
        </w:r>
        <w:r>
          <w:tab/>
        </w:r>
        <w:r>
          <w:fldChar w:fldCharType="begin"/>
        </w:r>
        <w:r>
          <w:instrText xml:space="preserve"> PAGEREF _Toc24248 \h </w:instrText>
        </w:r>
        <w:r>
          <w:fldChar w:fldCharType="separate"/>
        </w:r>
        <w:r>
          <w:t>65</w:t>
        </w:r>
        <w:r>
          <w:fldChar w:fldCharType="end"/>
        </w:r>
      </w:hyperlink>
    </w:p>
    <w:p>
      <w:pPr>
        <w:pStyle w:val="TOC2"/>
        <w:tabs>
          <w:tab w:val="right" w:leader="dot" w:pos="8306"/>
        </w:tabs>
      </w:pPr>
      <w:hyperlink w:anchor="_Toc22066" w:history="1">
        <w:r>
          <w:rPr>
            <w:rFonts w:ascii="仿宋" w:eastAsia="仿宋" w:hAnsi="仿宋" w:cs="仿宋" w:hint="eastAsia"/>
            <w:lang w:eastAsia="zh-CN"/>
          </w:rPr>
          <w:t>(一)、产品/服务定位与特点</w:t>
        </w:r>
        <w:r>
          <w:tab/>
        </w:r>
        <w:r>
          <w:fldChar w:fldCharType="begin"/>
        </w:r>
        <w:r>
          <w:instrText xml:space="preserve"> PAGEREF _Toc22066 \h </w:instrText>
        </w:r>
        <w:r>
          <w:fldChar w:fldCharType="separate"/>
        </w:r>
        <w:r>
          <w:t>65</w:t>
        </w:r>
        <w:r>
          <w:fldChar w:fldCharType="end"/>
        </w:r>
      </w:hyperlink>
    </w:p>
    <w:p>
      <w:pPr>
        <w:pStyle w:val="TOC2"/>
        <w:tabs>
          <w:tab w:val="right" w:leader="dot" w:pos="8306"/>
        </w:tabs>
      </w:pPr>
      <w:hyperlink w:anchor="_Toc15511" w:history="1">
        <w:r>
          <w:rPr>
            <w:rFonts w:ascii="仿宋" w:eastAsia="仿宋" w:hAnsi="仿宋" w:cs="仿宋" w:hint="eastAsia"/>
            <w:lang w:eastAsia="zh-CN"/>
          </w:rPr>
          <w:t>(二)、市场定位与竞争分析</w:t>
        </w:r>
        <w:r>
          <w:tab/>
        </w:r>
        <w:r>
          <w:fldChar w:fldCharType="begin"/>
        </w:r>
        <w:r>
          <w:instrText xml:space="preserve"> PAGEREF _Toc15511 \h </w:instrText>
        </w:r>
        <w:r>
          <w:fldChar w:fldCharType="separate"/>
        </w:r>
        <w:r>
          <w:t>67</w:t>
        </w:r>
        <w:r>
          <w:fldChar w:fldCharType="end"/>
        </w:r>
      </w:hyperlink>
    </w:p>
    <w:p>
      <w:pPr>
        <w:pStyle w:val="TOC2"/>
        <w:tabs>
          <w:tab w:val="right" w:leader="dot" w:pos="8306"/>
        </w:tabs>
      </w:pPr>
      <w:hyperlink w:anchor="_Toc28763" w:history="1">
        <w:r>
          <w:rPr>
            <w:rFonts w:ascii="仿宋" w:eastAsia="仿宋" w:hAnsi="仿宋" w:cs="仿宋" w:hint="eastAsia"/>
            <w:lang w:eastAsia="zh-CN"/>
          </w:rPr>
          <w:t>(三)、营销渠道与策略</w:t>
        </w:r>
        <w:r>
          <w:tab/>
        </w:r>
        <w:r>
          <w:fldChar w:fldCharType="begin"/>
        </w:r>
        <w:r>
          <w:instrText xml:space="preserve"> PAGEREF _Toc28763 \h </w:instrText>
        </w:r>
        <w:r>
          <w:fldChar w:fldCharType="separate"/>
        </w:r>
        <w:r>
          <w:t>68</w:t>
        </w:r>
        <w:r>
          <w:fldChar w:fldCharType="end"/>
        </w:r>
      </w:hyperlink>
    </w:p>
    <w:p>
      <w:pPr>
        <w:pStyle w:val="TOC2"/>
        <w:tabs>
          <w:tab w:val="right" w:leader="dot" w:pos="8306"/>
        </w:tabs>
      </w:pPr>
      <w:hyperlink w:anchor="_Toc30697" w:history="1">
        <w:r>
          <w:rPr>
            <w:rFonts w:ascii="仿宋" w:eastAsia="仿宋" w:hAnsi="仿宋" w:cs="仿宋" w:hint="eastAsia"/>
            <w:lang w:eastAsia="zh-CN"/>
          </w:rPr>
          <w:t>(四)、推广与宣传活动</w:t>
        </w:r>
        <w:r>
          <w:tab/>
        </w:r>
        <w:r>
          <w:fldChar w:fldCharType="begin"/>
        </w:r>
        <w:r>
          <w:instrText xml:space="preserve"> PAGEREF _Toc30697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8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等离子体沉积和刻蚀设备项目的主要产品是XXXX，预计年产值为XXX万元。这一产品在市场中占据着重要的地位，其广泛的应用范围使得该等离子体沉积和刻蚀设备项目的市场前景非常广阔。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等离子体沉积和刻蚀设备项目的xxx产品作为重要的原材料之一，将在多个领域发挥关键作用。其在建筑、交通、能源等方面的广泛应用将为整个产业链提供强大的支持，形成产业协同效应。等离子体沉积和刻蚀设备项目的年产值XXX万XXX万XXX万万元不仅反映了其在市场上的巨大潜力，更预示着它对国民经济的积极贡献。这种关联度高、涉及面广的产业关系，使得该等离子体沉积和刻蚀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3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总征地面积为XXXX平方米，相当于约XX.XX亩，其中净用地面积为XXXX平方米，红线范围内相当于约XX.XX亩。这一用地规模充分考虑了等离子体沉积和刻蚀设备项目的建设需求，保障了等离子体沉积和刻蚀设备项目在合适的空间内得以充分发展。等离子体沉积和刻蚀设备项目规划的总建筑面积为XXXX平方米，其中主体工程建设占XXXX平方米，计容建筑面积达XXXX平方米。预计建筑工程的投资将达到XXXX万元，为等离子体沉积和刻蚀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等离子体沉积和刻蚀设备项目计划购置的设备共计XXXX台（套），设备购置费用为XXXX万元。这一设备购置计划充分考虑到等离子体沉积和刻蚀设备项目的生产需求和技术要求，确保了等离子体沉积和刻蚀设备项目在生产运营中具备先进的技术装备和高效的生产能力。设备的合理配置将为等离子体沉积和刻蚀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计划总投资为XXXX万元，预计年实现营业收入为XXXX万元。这一产能规模的设定旨在确保等离子体沉积和刻蚀设备项目能够在投资与回报之间取得平衡，实现长期可持续的发展。等离子体沉积和刻蚀设备项目的总投资充分考虑到各个方面的需求，包括用地建设、设备购置等多个环节，以确保等离子体沉积和刻蚀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185"/>
      <w:r>
        <w:rPr>
          <w:rFonts w:ascii="仿宋" w:eastAsia="仿宋" w:hAnsi="仿宋" w:cs="仿宋" w:hint="eastAsia"/>
          <w:sz w:val="28"/>
          <w:lang w:eastAsia="zh-CN"/>
        </w:rPr>
        <w:t>二、等离子体沉积和刻蚀设备项目概论</w:t>
      </w:r>
      <w:bookmarkEnd w:id="5"/>
    </w:p>
    <w:p>
      <w:pPr>
        <w:pStyle w:val="Heading2"/>
        <w:rPr>
          <w:rFonts w:ascii="仿宋" w:eastAsia="仿宋" w:hAnsi="仿宋" w:cs="仿宋" w:hint="eastAsia"/>
          <w:lang w:eastAsia="zh-CN"/>
        </w:rPr>
      </w:pPr>
      <w:bookmarkStart w:id="6" w:name="_Toc18537"/>
      <w:r>
        <w:rPr>
          <w:rFonts w:ascii="仿宋" w:eastAsia="仿宋" w:hAnsi="仿宋" w:cs="仿宋" w:hint="eastAsia"/>
          <w:lang w:eastAsia="zh-CN"/>
        </w:rPr>
        <w:t>(一)、等离子体沉积和刻蚀设备项目概况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起源追溯至对市场的深入洞察。市场的不断演变与变革为等离子体沉积和刻蚀设备项目提供了难得的机遇。当前市场存在的需求缺口和变革的大环境共同构成了等离子体沉积和刻蚀设备项目的背景。这个等离子体沉积和刻蚀设备项目旨在充分利用市场机遇，填补行业中尚未满足的需求，为客户提供全新的解决方案。市场的变革和需求的增长使得这个等离子体沉积和刻蚀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等离子体沉积和刻蚀设备项目名称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正式命名为等离子体沉积和刻蚀设备。这个名称不仅仅是一个标识，更代表了等离子体沉积和刻蚀设备项目的核心理念和愿景。它蕴含着等离子体沉积和刻蚀设备项目所要解决问题的关键字，具有强烈的表达和辨识度，为等离子体沉积和刻蚀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等离子体沉积和刻蚀设备项目目标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核心目标是提供一种全新、高效的解决方案，满足客户日益增长的需求。等离子体沉积和刻蚀设备项目追求的不仅仅是满足市场需求，更是在市场中获得卓越的竞争优势。通过不断提升产品或服务的质量和创新水平，等离子体沉积和刻蚀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等离子体沉积和刻蚀设备项目范围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全面涵盖了产品研发、制造、市场推广和售后服务，确保从产品设计到最终用户体验的全方位关注。这一全面的等离子体沉积和刻蚀设备项目范围是为了确保等离子体沉积和刻蚀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等离子体沉积和刻蚀设备项目时间表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计划在未来18个月内完成，包括研发、测试、市场试点和正式推出等不同阶段。这个时间表的合理设计是为了确保等离子体沉积和刻蚀设备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等离子体沉积和刻蚀设备项目预算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总预算估算为XX百万美元，主要分配在研发、市场推广、人员培训和运营等方面。这一充足的预算为等离子体沉积和刻蚀设备项目提供了充足的资源，确保等离子体沉积和刻蚀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等离子体沉积和刻蚀设备项目风险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可能面临的风险包括市场接受度低、技术难题、竞争激烈等。等离子体沉积和刻蚀设备项目团队已经制定了相应的风险应对计划，通过前瞻性的风险管理，确保等离子体沉积和刻蚀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等离子体沉积和刻蚀设备项目团队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汇聚了一支经验丰富、多领域专业素养的核心团队，确保等离子体沉积和刻蚀设备项目在各个方面都能拥有高水平的执行力。团队的协同作战是等离子体沉积和刻蚀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等离子体沉积和刻蚀设备项目背景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等离子体沉积和刻蚀设备项目的背景根植于市场对更高效、创新产品的渴望，同时也受到科技发展对行业格局的深刻改变的影响。这为等离子体沉积和刻蚀设备项目提供了广阔的发展空间和市场需求。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等离子体沉积和刻蚀设备项目现状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截至目前，等离子体沉积和刻蚀设备项目已完成市场调研和技术验证，取得了初步的成功。这为等离子体沉积和刻蚀设备项目在未来的发展奠定了坚实的基础，为更远大的目标打下了坚实的基石。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961"/>
      <w:r>
        <w:rPr>
          <w:rFonts w:ascii="仿宋" w:eastAsia="仿宋" w:hAnsi="仿宋" w:cs="仿宋" w:hint="eastAsia"/>
          <w:sz w:val="28"/>
          <w:lang w:eastAsia="zh-CN"/>
        </w:rPr>
        <w:t>(二)、等离子体沉积和刻蚀设备项目目标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等离子体沉积和刻蚀设备项目首要业务目标是在市场中占据有利地位，实现产品/服务的成功推广和销售。通过不断提升产品质量、创新性，等离子体沉积和刻蚀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在科技迅速发展的时代，等离子体沉积和刻蚀设备项目着眼于技术创新。通过持续的研发和技术升级，等离子体沉积和刻蚀设备项目旨在推出更具创新性的产品或服务，以满足市场对新鲜、先进解决方案的需求。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等离子体沉积和刻蚀设备项目设定了客户满意度目标。通过提供卓越的产品质量和优质的客户服务，等离子体沉积和刻蚀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注重社会责任和可持续发展。通过实施环保、社会责任等离子体沉积和刻蚀设备项目，等离子体沉积和刻蚀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等离子体沉积和刻蚀设备项目的团队是实现目标的核心驱动力。因此，等离子体沉积和刻蚀设备项目设定了团队发展目标，包括提升团队成员的专业技能、培养领导力，以及搭建协同高效的团队工作氛围。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551"/>
      <w:r>
        <w:rPr>
          <w:rFonts w:ascii="仿宋" w:eastAsia="仿宋" w:hAnsi="仿宋" w:cs="仿宋" w:hint="eastAsia"/>
          <w:sz w:val="28"/>
          <w:lang w:eastAsia="zh-CN"/>
        </w:rPr>
        <w:t>(三)、等离子体沉积和刻蚀设备项目提出的理由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等离子体沉积和刻蚀设备项目提出的理由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提出源于对市场机遇的深刻洞察。当前市场中存在的需求缺口和行业发展趋势表明，有巨大的商业机会等待被开发。通过准确捕捉市场机遇，等离子体沉积和刻蚀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理念基于对技术创新的信仰。通过持续的研发和技术投入，等离子体沉积和刻蚀设备项目有望推出更具创新性的产品或服务。在科技飞速发展的当下，等离子体沉积和刻蚀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提出是为了增强企业的行业竞争力。通过提升产品或服务的质量和独特性，等离子体沉积和刻蚀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响应了消费者需求的变化。随着社会和科技的不断发展，消费者对产品和服务的需求也在发生变化。通过深入了解并及时回应消费者的新需求，等离子体沉积和刻蚀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提出是企业战略发展规划的一部分。在面对日益激烈的市场竞争和不断变化的商业环境中，等离子体沉积和刻蚀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提出不仅仅是基于商业考量，还注重社会责任。通过推出环保、社会责任等方面的等离子体沉积和刻蚀设备项目，等离子体沉积和刻蚀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提出反映了对利益相关者期望的关注。包括客户、员工、投资者等利益相关者在企业发展中都有着各自的期望，等离子体沉积和刻蚀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615"/>
      <w:r>
        <w:rPr>
          <w:rFonts w:ascii="仿宋" w:eastAsia="仿宋" w:hAnsi="仿宋" w:cs="仿宋" w:hint="eastAsia"/>
          <w:sz w:val="28"/>
          <w:lang w:eastAsia="zh-CN"/>
        </w:rPr>
        <w:t>(四)、等离子体沉积和刻蚀设备项目意义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在实施等离子体沉积和刻蚀设备项目的过程中，我们不仅仅是在追逐商业成功，更是为企业和社会的多个层面创造了深远的意义。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首要意义在于提升企业的市场竞争力。通过持续的创新和对产品质量的高标准要求，等离子体沉积和刻蚀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等离子体沉积和刻蚀设备项目的推进将促使行业技术水平的提升。通过引入先进技术和创新性解决方案，等离子体沉积和刻蚀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等离子体沉积和刻蚀设备项目不仅创造了大量就业机会，提高了就业水平，还注重社会责任和环保。通过参与社会公益事业和推动环保等离子体沉积和刻蚀设备项目，等离子体沉积和刻蚀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综合而言，等离子体沉积和刻蚀设备项目意义重大，不仅推动了企业的发展，也为行业和社会的进步贡献了积极力量。这是一个全面而深刻的影响，将在未来产生可持续的正面效应。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174"/>
      <w:r>
        <w:rPr>
          <w:rFonts w:ascii="仿宋" w:eastAsia="仿宋" w:hAnsi="仿宋" w:cs="仿宋" w:hint="eastAsia"/>
          <w:sz w:val="28"/>
          <w:lang w:eastAsia="zh-CN"/>
        </w:rPr>
        <w:t>(五)、等离子体沉积和刻蚀设备项目背景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在当今迅猛发展的商业环境中，等离子体沉积和刻蚀设备项目的动因根植于对多方面因素的审慎考量。这个等离子体沉积和刻蚀设备项目的提出并非孤立的决策，而是对企业所处背景深入思考的产物。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等离子体沉积和刻蚀设备项目背后的首要原因。科技的迅速发展和全球市场的快速变化使得企业必须灵活应对。等离子体沉积和刻蚀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等离子体沉积和刻蚀设备项目背景中不可忽视的一环。企业需要在激烈竞争中脱颖而出，为此，等离子体沉积和刻蚀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技术的迅速发展为企业带来了机遇与挑战。作为等离子体沉积和刻蚀设备项目启动的背景之一，对新兴技术的应用将有助于提升企业的技术水平，使其在不断演进的商业环境中保持竞争优势。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等离子体沉积和刻蚀设备项目充分融入了社会责任的理念，通过可持续经营和社会公益等离子体沉积和刻蚀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616"/>
      <w:r>
        <w:rPr>
          <w:rFonts w:ascii="仿宋" w:eastAsia="仿宋" w:hAnsi="仿宋" w:cs="仿宋" w:hint="eastAsia"/>
          <w:sz w:val="28"/>
          <w:lang w:eastAsia="zh-CN"/>
        </w:rPr>
        <w:t>三、等离子体沉积和刻蚀设备项目文档管理</w:t>
      </w:r>
      <w:bookmarkEnd w:id="11"/>
    </w:p>
    <w:p>
      <w:pPr>
        <w:pStyle w:val="Heading2"/>
        <w:rPr>
          <w:rFonts w:ascii="仿宋" w:eastAsia="仿宋" w:hAnsi="仿宋" w:cs="仿宋" w:hint="eastAsia"/>
          <w:lang w:eastAsia="zh-CN"/>
        </w:rPr>
      </w:pPr>
      <w:bookmarkStart w:id="12" w:name="_Toc3090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等离子体沉积和刻蚀设备项目高度重视文档的质量和准确性，以支持等离子体沉积和刻蚀设备项目的各项活动和决策。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文档的编制始于等离子体沉积和刻蚀设备项目计划的初期，我们制定了详细的文档编制计划，明确了每个文档的内容、格式和编写责任人。在等离子体沉积和刻蚀设备项目启动阶段，我们首先编制了等离子体沉积和刻蚀设备项目章程，明确定义了等离子体沉积和刻蚀设备项目的目标、范围、风险等关键要素。随后，等离子体沉积和刻蚀设备项目团队根据计划陆续编制了需求文档、设计文档、测试文档等各类文档，确保等离子体沉积和刻蚀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等离子体沉积和刻蚀设备项目管理中的重要环节，旨在确保等离子体沉积和刻蚀设备项目文档符合质量标准和等离子体沉积和刻蚀设备项目需求。在等离子体沉积和刻蚀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等离子体沉积和刻蚀设备项目相关利益方和专业领域的专家对文档进行独立审查。这有助于获取更全面、客观的反馈，确保等离子体沉积和刻蚀设备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在文档编制与审查方面建立了严格的管理机制，通过规范的流程和多维度的审查，确保等离子体沉积和刻蚀设备项目文档的质量、准确性和可靠性，为等离子体沉积和刻蚀设备项目的顺利推进提供了有力支持。</w:t>
      </w:r>
    </w:p>
    <w:p>
      <w:pPr>
        <w:pStyle w:val="Heading2"/>
        <w:ind w:firstLine="560" w:firstLineChars="200"/>
        <w:rPr>
          <w:rFonts w:ascii="仿宋" w:eastAsia="仿宋" w:hAnsi="仿宋" w:cs="仿宋" w:hint="eastAsia"/>
          <w:sz w:val="28"/>
          <w:lang w:eastAsia="zh-CN"/>
        </w:rPr>
      </w:pPr>
      <w:bookmarkStart w:id="13" w:name="_Toc358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在等离子体沉积和刻蚀设备项目中，我们致力于优化文档发布与分发过程，以确保信息的高效传递和团队间协作的顺畅进行。以下是我们采取的关键优化策略：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我们通过多渠道发布文档，包括电子邮件、等离子体沉积和刻蚀设备项目管理平台、内部网站等，以满足不同团队成员的偏好和需求。多渠道发布确保了信息的全面覆盖。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我们采用了精细的权限控制，确保只有授权人员可以访问敏感信息。这种安全措施保护了等离子体沉积和刻蚀设备项目文档的机密性，防止了未经授权的信息泄露。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524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等离子体沉积和刻蚀设备项目生命周期中一个至关重要的环节，直接关系到等离子体沉积和刻蚀设备项目信息的长期保存和历史记录的完整性。在等离子体沉积和刻蚀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89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7637"/>
      <w:r>
        <w:rPr>
          <w:rFonts w:ascii="仿宋" w:eastAsia="仿宋" w:hAnsi="仿宋" w:cs="仿宋" w:hint="eastAsia"/>
          <w:lang w:eastAsia="zh-CN"/>
        </w:rPr>
        <w:t>(一)、等离子体沉积和刻蚀设备行业分析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行业一直以来都是市场的关注焦点。行业内的发展趋势、竞争态势以及潜在机会都对等离子体沉积和刻蚀设备项目的推进产生深远的影响。通过深入研究行业的整体概貌，我们将更好地理解行业的核心特征，为等离子体沉积和刻蚀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等离子体沉积和刻蚀设备行业，技术一直是推动创新和发展的关键因素。我们将对当前技术趋势进行详尽分析，包括但不限于人工智能、大数据应用、先进制造技术等。这有助于等离子体沉积和刻蚀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https://d.book118.com/697162101006006032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D37A3"/>
    <w:rsid w:val="0B8D37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162101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2024-01-16T09:30:00Z</dcterms:created>
  <dcterms:modified xsi:type="dcterms:W3CDTF">2024-01-16T09:31:15Z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84A9E7357974490885048D317B059805_11</vt:lpwstr>
  </property>
  <property fmtid="{D5CDD505-2E9C-101B-9397-08002B2CF9AE}" pid="3" name="KSOProductBuildVer">
    <vt:lpwstr>2052-12.1.0.16120</vt:lpwstr>
  </property>
</Properties>
</file>