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2018-2023年云南机电职业技术学院高职单招（数学／语文／英语）历年常考试题库含答案解析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《日出》中没有下面哪一个人物（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A.翠翠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B.陈白露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C.翠喜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D.小东西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下列画横线的句子翻译错误的一项是（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A.与尔三矢，尔其无忘乃父之志。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B.故今具道所以，冀君实或见恕。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D.将军自念，岂尝有所恨乎?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下列关于作家、作品的搭配，完全正确的是（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A.鲁迅——《坟》《灯下漫笔》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B.茅盾——《故都的秋》《子夜》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C.朱自清——《背影》《香市》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D.钱钟书——《围城》《论毅力》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在《报刘一丈书》中，所揭示的权贵者的性格特征是（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“狡兔三窟”这一成语出自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王昌龄《从军行》（其四）的体裁是（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下列对典故的解释错误的是（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A.襟袖红泪：相传魏文帝时，薛灵云被选入宫，泣别父母，以玉壶盛泪，不久泪凝如血。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B.树犹如此：相传桓温北伐路过金城，看到多年前自己种的柳树已有十围粗了，感叹地说：“木犹如此，人何以堪！”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C.周公吐哺：相传周公唯恐失天下之士，常常吃饭时停下来接待贤才。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D.乘舟梦日：相传吕尚在被文王征聘前，曾梦见自己乘船从日月旁经过。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沈从文是以什么样的独特视角和叙述主体来观照人生的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A.都市人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D.岭南人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9.</w:t>
      </w:r>
      <w:r>
        <w:rPr>
          <w:rFonts w:ascii="黑体" w:eastAsia="黑体" w:hAnsi="黑体" w:cs="Times New Roman"/>
          <w:sz w:val="24"/>
          <w:lang w:val="en-US" w:eastAsia="ja-JP" w:bidi="ar-SA"/>
        </w:rPr>
        <w:t>《秋水》中河伯“以天下之美为尽在己”中“美”的意思是指（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A.风景优美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B.水大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C.水小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D.明大理的人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8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王实甫的《西厢记》是一部（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A.明杂剧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B.说唱文学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C.元杂剧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D.传奇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朱光潜在《选择与安排》中，阐析“常山蛇阵”的特点是为了喻证（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A.每件艺术品都必须突出一个中心旨意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B.每件艺术品都必须抓住几个典型细节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C.每件艺术品都必须是一个有生命的东西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D.每件艺术品都必须做到层次清楚，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下列诗人中，诗风苍凉悲壮的是（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《炉中煤》中的“我年青的女郎”指的是（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A.心爱的姑娘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B.日本的妻子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C.诗人心目中的祖国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D.未实现的梦想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在《谏逐客书》中，李斯先说驱逐客卿是“藉寇兵而赍盗粮”，后说驱逐客卿是“损民以益仇”，这两者在论证方法上的不同是（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A.前者是类比法，后者是归纳法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https://d.book118.com/698013021135006040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98013021135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