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2018-2023年内蒙古商贸职业学院高职单招（数学／语文／英语）历年常考试题库含答案解析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《五代史伶官传序》中，告诫人们要居安思危的警戒性语句是（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A.祸患常积于忽微，智勇多困于所溺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B.满招损，谦得益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C.忧劳可以兴国，逸豫可以亡身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D.盛衰之理，虽曰天命，岂非人事哉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辛弃疾《水龙吟（登建康赏心亭）》中运用典故表达壮志未酬、时光虚度的感伤之情的是（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A.休说鲈鱼堪脍，尽西风、季鹰归未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B.求田问舍，怕应羞见，刘郎才气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C.可惜流年，忧愁风雨，树犹如此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D.倩何人，唤取红巾翠袖，揾英雄泪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《大同》出自《礼记》，下面对其陈述正确的是（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A.《礼记》是儒家五经《诗》、《书》、《礼》、《易》、《春秋》之一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B.《礼记》中的《仪礼》、《周礼》、《周官》合称“三礼”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C.《礼记》成书是在春秋时代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D.《礼记》的内容主要涉及了上古三代的礼仪制度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《日出》的主题是（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A.偏重写人性的悲剧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B.写家庭悲剧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C.偏重对社会悲剧的揭示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D.写性格悲剧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奠定郭沫若在中国现代文学史上的地位的是他于1921年出版的诗集（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A.《尝试集》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B.《红烛》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C.《女神》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D.《北方》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下列属于北宋豪放词人的是（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A.柳永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B.苏轼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C.辛弃疾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D.欧阳修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下列作家属于明代“后七子”的是（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A.李密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B.侯方域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C.马致远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D.宗臣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“譬如为山，未成一篑，止，吾止也；譬如平地，虽复一篑，进，吾往也”这段话所用的逻辑论证方法是（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A.演绎、对比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B.归纳、对比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C.类比、归纳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D.对比、类比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《行路难》是一首（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A.七律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B.五律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C.七绝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D.七言歌行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下列作品不属郁达夫所创作的小说是（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A.《春风沉醉的晚上》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B.《伤逝》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C.《薄奠》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D.《迟桂花》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下列句中加横线的词属意动用法的是（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A.左右皆笑之，以告。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B.冯谖客孟尝君。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C.左右以君贱之也，食以草具。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D.我尝闻少仲尼之闻而轻伯夷之义者。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白居易号（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A.六一居士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B.东坡居士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C.青莲居士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D.香山居士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下面哪部作品的出版成为中国现代小说的开端（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A.《家》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B.《呐喊》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C.《春蚕》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D.《骆驼祥子》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https://d.book118.com/698023012132006040</w:t>
        </w:r>
      </w:hyperlink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9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35">
    <w:name w:val="Normal_3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hyperlink" Target="https://d.book118.com/698023012132006040" TargetMode="Externa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4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