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6DAD" w:rsidRPr="00AD0922" w:rsidP="001C6DAD">
      <w:pPr>
        <w:spacing w:before="156" w:beforeLines="50" w:line="360" w:lineRule="auto"/>
        <w:jc w:val="center"/>
        <w:rPr>
          <w:rFonts w:ascii="华文中宋" w:eastAsia="华文中宋" w:hAnsi="华文中宋" w:cs="Times New Roman" w:hint="eastAsia"/>
          <w:b/>
          <w:szCs w:val="21"/>
        </w:rPr>
      </w:pPr>
      <w:r w:rsidRPr="00AD0922">
        <w:rPr>
          <w:rFonts w:ascii="华文中宋" w:eastAsia="华文中宋" w:hAnsi="华文中宋" w:cs="Times New Roman"/>
          <w:b/>
          <w:sz w:val="44"/>
          <w:szCs w:val="44"/>
        </w:rPr>
        <w:t>Abstract</w:t>
      </w:r>
      <w:bookmarkStart w:id="0" w:name="_GoBack"/>
      <w:bookmarkEnd w:id="0"/>
    </w:p>
    <w:p w:rsidR="000314A4" w:rsidRPr="00805257" w:rsidP="00042D4B">
      <w:pPr>
        <w:spacing w:before="156" w:beforeLines="50" w:line="360" w:lineRule="auto"/>
        <w:rPr>
          <w:rFonts w:asciiTheme="minorEastAsia" w:hAnsiTheme="minorEastAsia" w:cs="Times New Roman"/>
          <w:b/>
          <w:sz w:val="24"/>
          <w:szCs w:val="24"/>
        </w:rPr>
      </w:pPr>
      <w:r w:rsidRPr="00805257">
        <w:rPr>
          <w:rFonts w:asciiTheme="minorEastAsia" w:hAnsiTheme="minorEastAsia" w:cs="Times New Roman"/>
          <w:b/>
          <w:sz w:val="24"/>
          <w:szCs w:val="24"/>
        </w:rPr>
        <w:t xml:space="preserve">Treasury bond futures belong to a kind of financial derivatives. </w:t>
      </w:r>
      <w:r w:rsidRPr="00805257">
        <w:rPr>
          <w:rFonts w:asciiTheme="minorEastAsia" w:hAnsiTheme="minorEastAsia" w:cs="Times New Roman"/>
          <w:b/>
          <w:sz w:val="24"/>
          <w:szCs w:val="24"/>
        </w:rPr>
        <w:t>Treasury bond futures is</w:t>
      </w:r>
      <w:r w:rsidRPr="00805257">
        <w:rPr>
          <w:rFonts w:asciiTheme="minorEastAsia" w:hAnsiTheme="minorEastAsia" w:cs="Times New Roman"/>
          <w:b/>
          <w:sz w:val="24"/>
          <w:szCs w:val="24"/>
        </w:rPr>
        <w:t xml:space="preserve"> a very mature interest rate derivative financial instrument, and also one of the most basic financial derivatives. This paper first discusses the historical background and economic significance of the research, makes a brief introduction to the domestic and foreign literature, and points out the innovation and shortcomings of the research. Next, it introduces the current situation of market development, briefly introduces the development history of China's </w:t>
      </w:r>
      <w:r w:rsidRPr="00805257" w:rsidR="00805257">
        <w:rPr>
          <w:rFonts w:asciiTheme="minorEastAsia" w:hAnsiTheme="minorEastAsia" w:cs="Times New Roman"/>
          <w:b/>
          <w:sz w:val="24"/>
          <w:szCs w:val="24"/>
        </w:rPr>
        <w:t>Treasury</w:t>
      </w:r>
      <w:r w:rsidRPr="00805257">
        <w:rPr>
          <w:rFonts w:asciiTheme="minorEastAsia" w:hAnsiTheme="minorEastAsia" w:cs="Times New Roman"/>
          <w:b/>
          <w:sz w:val="24"/>
          <w:szCs w:val="24"/>
        </w:rPr>
        <w:t xml:space="preserve"> bond futures market, analyzes the current situation of China's </w:t>
      </w:r>
      <w:r w:rsidRPr="00805257">
        <w:rPr>
          <w:rFonts w:asciiTheme="minorEastAsia" w:hAnsiTheme="minorEastAsia" w:cs="Times New Roman"/>
          <w:b/>
          <w:sz w:val="24"/>
          <w:szCs w:val="24"/>
        </w:rPr>
        <w:t>treasury</w:t>
      </w:r>
      <w:r w:rsidRPr="00805257">
        <w:rPr>
          <w:rFonts w:asciiTheme="minorEastAsia" w:hAnsiTheme="minorEastAsia" w:cs="Times New Roman"/>
          <w:b/>
          <w:sz w:val="24"/>
          <w:szCs w:val="24"/>
        </w:rPr>
        <w:t xml:space="preserve"> bond futures market with market data, as well as China's Treasury Bond ETF, development status and advantages relative to Treasury bond spot. Next, using the theory of basis arbitrage, this paper discusses the concept, specific strategies and risk factors in the process of basis arbitrage, and analyzes the opportunity of basis arbitrage combining with the basis trend chart in a period of time. This paper selects the daily closing price data of 10-year Treasury bond futures T2006 and T1909 contracts and 10-year Treasury Bond ETF of Cathay Pacific Shanghai Stock Exchange in 2019,</w:t>
      </w:r>
      <w:r w:rsidRPr="00805257">
        <w:rPr>
          <w:rFonts w:asciiTheme="minorEastAsia" w:hAnsiTheme="minorEastAsia"/>
          <w:b/>
          <w:sz w:val="24"/>
          <w:szCs w:val="24"/>
        </w:rPr>
        <w:t xml:space="preserve"> </w:t>
      </w:r>
      <w:r w:rsidRPr="00805257">
        <w:rPr>
          <w:rFonts w:asciiTheme="minorEastAsia" w:hAnsiTheme="minorEastAsia" w:cs="Times New Roman"/>
          <w:b/>
          <w:sz w:val="24"/>
          <w:szCs w:val="24"/>
        </w:rPr>
        <w:t xml:space="preserve">because T2006 was launched in September, I chose T1909, the largest trading volume in the previous data and constructed a co integration arbitrage model The empirical analysis was carried out. Judging that there is arbitrage opportunity, one </w:t>
      </w:r>
      <w:r w:rsidRPr="00805257" w:rsidR="00805257">
        <w:rPr>
          <w:rFonts w:asciiTheme="minorEastAsia" w:hAnsiTheme="minorEastAsia" w:cs="Times New Roman"/>
          <w:b/>
          <w:sz w:val="24"/>
          <w:szCs w:val="24"/>
        </w:rPr>
        <w:t>Treasury</w:t>
      </w:r>
      <w:r w:rsidRPr="00805257">
        <w:rPr>
          <w:rFonts w:asciiTheme="minorEastAsia" w:hAnsiTheme="minorEastAsia" w:cs="Times New Roman"/>
          <w:b/>
          <w:sz w:val="24"/>
          <w:szCs w:val="24"/>
        </w:rPr>
        <w:t xml:space="preserve"> bond futures can be used to hedge against 0.7 </w:t>
      </w:r>
      <w:r w:rsidRPr="00805257">
        <w:rPr>
          <w:rFonts w:asciiTheme="minorEastAsia" w:hAnsiTheme="minorEastAsia" w:cs="Times New Roman"/>
          <w:b/>
          <w:sz w:val="24"/>
          <w:szCs w:val="24"/>
        </w:rPr>
        <w:t>treasury</w:t>
      </w:r>
      <w:r w:rsidRPr="00805257">
        <w:rPr>
          <w:rFonts w:asciiTheme="minorEastAsia" w:hAnsiTheme="minorEastAsia" w:cs="Times New Roman"/>
          <w:b/>
          <w:sz w:val="24"/>
          <w:szCs w:val="24"/>
        </w:rPr>
        <w:t xml:space="preserve"> bond ETFs.</w:t>
      </w:r>
    </w:p>
    <w:p w:rsidR="00CF566B" w:rsidP="00042D4B">
      <w:pPr>
        <w:spacing w:line="360" w:lineRule="auto"/>
        <w:rPr>
          <w:rFonts w:ascii="Times New Roman" w:hAnsi="Times New Roman" w:cs="Times New Roman" w:hint="eastAsia"/>
          <w:b/>
          <w:sz w:val="24"/>
          <w:szCs w:val="24"/>
        </w:rPr>
      </w:pPr>
    </w:p>
    <w:p w:rsidR="00042D4B" w:rsidP="00042D4B">
      <w:pPr>
        <w:spacing w:line="360" w:lineRule="auto"/>
        <w:rPr>
          <w:rFonts w:ascii="Times New Roman" w:hAnsi="Times New Roman" w:cs="Times New Roman" w:hint="eastAsia"/>
          <w:sz w:val="24"/>
          <w:szCs w:val="24"/>
        </w:rPr>
      </w:pPr>
      <w:r w:rsidRPr="00B708E8">
        <w:rPr>
          <w:rFonts w:ascii="Times New Roman" w:hAnsi="Times New Roman" w:cs="Times New Roman"/>
          <w:b/>
          <w:sz w:val="24"/>
          <w:szCs w:val="24"/>
        </w:rPr>
        <w:t>Key Words</w:t>
      </w:r>
      <w:r w:rsidR="00CF566B">
        <w:rPr>
          <w:rFonts w:ascii="Times New Roman" w:hAnsi="Times New Roman" w:cs="Times New Roman"/>
          <w:b/>
          <w:sz w:val="24"/>
          <w:szCs w:val="24"/>
        </w:rPr>
        <w:t>：</w:t>
      </w:r>
      <w:r w:rsidRPr="00B708E8">
        <w:rPr>
          <w:rFonts w:ascii="Times New Roman" w:hAnsi="Times New Roman" w:cs="Times New Roman"/>
          <w:b/>
          <w:sz w:val="24"/>
          <w:szCs w:val="24"/>
        </w:rPr>
        <w:t xml:space="preserve"> </w:t>
      </w:r>
      <w:r w:rsidRPr="00B708E8">
        <w:rPr>
          <w:rFonts w:ascii="Times New Roman" w:hAnsi="Times New Roman" w:cs="Times New Roman"/>
          <w:sz w:val="24"/>
          <w:szCs w:val="24"/>
        </w:rPr>
        <w:t>10-year Treasury Bond ETF, Treasury bond futures, co integration arbitrage model</w:t>
      </w:r>
    </w:p>
    <w:p w:rsidR="00CF566B" w:rsidRPr="00B708E8" w:rsidP="00042D4B">
      <w:pPr>
        <w:spacing w:line="360" w:lineRule="auto"/>
        <w:rPr>
          <w:rFonts w:ascii="Times New Roman" w:hAnsi="Times New Roman" w:cs="Times New Roman"/>
          <w:b/>
          <w:sz w:val="24"/>
          <w:szCs w:val="24"/>
        </w:rPr>
        <w:sectPr>
          <w:footerReference w:type="default" r:id="rId4"/>
          <w:pgSz w:w="11906" w:h="16838"/>
          <w:pgMar w:top="1440" w:right="1800" w:bottom="1440" w:left="1800" w:header="851" w:footer="992" w:gutter="0"/>
          <w:cols w:space="425"/>
          <w:docGrid w:type="lines" w:linePitch="312"/>
        </w:sectPr>
      </w:pPr>
    </w:p>
    <w:p w:rsidR="000314A4" w:rsidRPr="00EE4169" w:rsidP="00042D4B">
      <w:pPr>
        <w:pStyle w:val="ListParagraph"/>
        <w:numPr>
          <w:ilvl w:val="0"/>
          <w:numId w:val="1"/>
        </w:numPr>
        <w:spacing w:before="936" w:beforeLines="300" w:after="624" w:afterLines="200" w:line="360" w:lineRule="auto"/>
        <w:ind w:left="357" w:hanging="357" w:firstLineChars="0"/>
        <w:jc w:val="center"/>
        <w:rPr>
          <w:rFonts w:asciiTheme="minorEastAsia" w:hAnsiTheme="minorEastAsia" w:cs="Times New Roman"/>
          <w:b/>
          <w:sz w:val="44"/>
          <w:szCs w:val="44"/>
        </w:rPr>
      </w:pPr>
      <w:r w:rsidRPr="00042D4B">
        <w:rPr>
          <w:rFonts w:asciiTheme="minorEastAsia" w:hAnsiTheme="minorEastAsia" w:cs="Times New Roman"/>
          <w:b/>
          <w:sz w:val="44"/>
          <w:szCs w:val="44"/>
        </w:rPr>
        <w:t>Introduction</w:t>
      </w:r>
    </w:p>
    <w:p w:rsidR="000314A4" w:rsidRPr="00042D4B" w:rsidP="00042D4B">
      <w:pPr>
        <w:spacing w:line="360" w:lineRule="auto"/>
        <w:ind w:firstLine="420" w:firstLineChars="200"/>
        <w:rPr>
          <w:rFonts w:asciiTheme="minorEastAsia" w:hAnsiTheme="minorEastAsia" w:cs="Times New Roman"/>
        </w:rPr>
      </w:pPr>
      <w:r w:rsidRPr="00042D4B">
        <w:rPr>
          <w:rFonts w:asciiTheme="minorEastAsia" w:hAnsiTheme="minorEastAsia" w:cs="Times New Roman"/>
        </w:rPr>
        <w:t xml:space="preserve">Treasury bond futures belong to some financial derivatives. The birth of Treasury bond futures depends on the highly developed Treasury bond spot market. When the Treasury bond spot market transactions reach a certain scale, the majority of investors, in order to avoid interest rate risk, invest Treasury bond futures nowadays.            </w:t>
      </w:r>
    </w:p>
    <w:p w:rsidR="000314A4" w:rsidRPr="00042D4B" w:rsidP="00042D4B">
      <w:pPr>
        <w:spacing w:line="360" w:lineRule="auto"/>
        <w:ind w:firstLine="420" w:firstLineChars="200"/>
        <w:rPr>
          <w:rFonts w:asciiTheme="minorEastAsia" w:hAnsiTheme="minorEastAsia" w:cs="Times New Roman"/>
        </w:rPr>
      </w:pPr>
      <w:r w:rsidRPr="00042D4B">
        <w:rPr>
          <w:rFonts w:asciiTheme="minorEastAsia" w:hAnsiTheme="minorEastAsia" w:cs="Times New Roman"/>
        </w:rPr>
        <w:t xml:space="preserve">The 91 day Treasury bond futures contract, the world's first Treasury bond futures contract, was launched by the Chicago Mercantile Exchange (CME). But at the same time, it also brought some problems: the frequent fluctuations of interest rate led to sharp fluctuations of product price, and investors are afraid of high interest rate risk. At this time, the Treasury bond futures contract, as an effective financial instrument to hedge interest rate risk, came into being. Since then, a variety of Treasury bond futures have been gradually listed for trading. Nowadays, Treasury bond futures contract is important. </w:t>
      </w:r>
    </w:p>
    <w:p w:rsidR="000314A4" w:rsidRPr="00042D4B" w:rsidP="00042D4B">
      <w:pPr>
        <w:spacing w:line="360" w:lineRule="auto"/>
        <w:ind w:firstLine="420" w:firstLineChars="200"/>
        <w:rPr>
          <w:rFonts w:asciiTheme="minorEastAsia" w:hAnsiTheme="minorEastAsia" w:cs="Times New Roman"/>
        </w:rPr>
      </w:pPr>
      <w:r w:rsidRPr="00042D4B">
        <w:rPr>
          <w:rFonts w:asciiTheme="minorEastAsia" w:hAnsiTheme="minorEastAsia" w:cs="Times New Roman"/>
        </w:rPr>
        <w:t>China's bond futures market has a shorter development time. In 1992, China launched the first trial of Treasury bond futures. However, due to the single structure of China's treasury bond futures market, the country's long-term interest rate control, weak supervision and lack of relevant issuance and management experience in the early stage, "327" and "319" incidents of vicious violations in treasury bond futures trading took place. In 1993, after individual investors were allowed to enter the market, the development of Treasury bond futures market showed vigorous vitality. However, due to the imperfection of market trading rules and loopholes in risk management at that time, there were many violations in the market, such as "327 events". The frequent occurrence of violations seriously disrupted the market order, resulting in the frustration of investors' confidence. Finally, the CSRC announced the suspension of</w:t>
      </w:r>
      <w:r w:rsidRPr="00042D4B" w:rsidR="00042D4B">
        <w:rPr>
          <w:rFonts w:asciiTheme="minorEastAsia" w:hAnsiTheme="minorEastAsia" w:cs="Times New Roman"/>
        </w:rPr>
        <w:t xml:space="preserve"> </w:t>
      </w:r>
      <w:r w:rsidRPr="00042D4B">
        <w:rPr>
          <w:rFonts w:asciiTheme="minorEastAsia" w:hAnsiTheme="minorEastAsia" w:cs="Times New Roman"/>
        </w:rPr>
        <w:t xml:space="preserve">Treasury bond futures.            </w:t>
      </w:r>
    </w:p>
    <w:p w:rsidR="000314A4" w:rsidRPr="00042D4B" w:rsidP="00042D4B">
      <w:pPr>
        <w:spacing w:line="360" w:lineRule="auto"/>
        <w:ind w:firstLine="420" w:firstLineChars="200"/>
        <w:rPr>
          <w:rFonts w:asciiTheme="minorEastAsia" w:hAnsiTheme="minorEastAsia" w:cs="Times New Roman"/>
        </w:rPr>
      </w:pPr>
      <w:r w:rsidRPr="00042D4B">
        <w:rPr>
          <w:rFonts w:asciiTheme="minorEastAsia" w:hAnsiTheme="minorEastAsia" w:cs="Times New Roman"/>
        </w:rPr>
        <w:t xml:space="preserve">After ten years, the number, volume and trading volume of spot treasury bonds are increasing year by year. At the same time, the marketization of interest rates </w:t>
      </w:r>
      <w:r w:rsidRPr="00042D4B">
        <w:rPr>
          <w:rFonts w:asciiTheme="minorEastAsia" w:hAnsiTheme="minorEastAsia" w:cs="Times New Roman"/>
        </w:rPr>
        <w:br/>
      </w:r>
      <w:r w:rsidRPr="00042D4B">
        <w:rPr>
          <w:rFonts w:asciiTheme="minorEastAsia" w:hAnsiTheme="minorEastAsia"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https://d.book118.com/698026136004006026</w:t>
        </w:r>
      </w:hyperlink>
    </w:p>
    <w:p w:rsidR="000314A4" w:rsidRPr="00042D4B" w:rsidP="00042D4B">
      <w:pPr>
        <w:spacing w:line="360" w:lineRule="auto"/>
        <w:ind w:firstLine="420" w:firstLineChars="200"/>
        <w:rPr>
          <w:rFonts w:asciiTheme="minorEastAsia" w:hAnsiTheme="minorEastAsia" w:cs="Times New Roman"/>
        </w:rPr>
      </w:pPr>
    </w:p>
    <w:sectPr>
      <w:footerReference w:type="default" r:id="rId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1660456"/>
      <w:docPartObj>
        <w:docPartGallery w:val="Page Numbers (Bottom of Page)"/>
        <w:docPartUnique/>
      </w:docPartObj>
    </w:sdtPr>
    <w:sdtContent>
      <w:p w:rsidR="00F81EC8">
        <w:pPr>
          <w:pStyle w:val="Footer"/>
          <w:jc w:val="center"/>
        </w:pPr>
        <w:r>
          <w:fldChar w:fldCharType="begin"/>
        </w:r>
        <w:r>
          <w:instrText>PAGE   \* MERGEFORMAT</w:instrText>
        </w:r>
        <w:r>
          <w:fldChar w:fldCharType="separate"/>
        </w:r>
        <w:r w:rsidRPr="00AD0922" w:rsidR="00AD0922">
          <w:rPr>
            <w:noProof/>
            <w:lang w:val="zh-CN"/>
          </w:rPr>
          <w:t>1</w:t>
        </w:r>
        <w:r>
          <w:fldChar w:fldCharType="end"/>
        </w:r>
      </w:p>
    </w:sdtContent>
  </w:sdt>
  <w:p w:rsidR="00F81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026981"/>
      <w:docPartObj>
        <w:docPartGallery w:val="Page Numbers (Bottom of Page)"/>
        <w:docPartUnique/>
      </w:docPartObj>
    </w:sdtPr>
    <w:sdtContent>
      <w:p w:rsidR="00F81EC8">
        <w:pPr>
          <w:pStyle w:val="Footer"/>
          <w:jc w:val="center"/>
        </w:pPr>
        <w:r>
          <w:fldChar w:fldCharType="begin"/>
        </w:r>
        <w:r>
          <w:instrText>PAGE   \* MERGEFORMAT</w:instrText>
        </w:r>
        <w:r>
          <w:fldChar w:fldCharType="separate"/>
        </w:r>
        <w:r w:rsidRPr="00AD0922" w:rsidR="00AD0922">
          <w:rPr>
            <w:noProof/>
            <w:lang w:val="zh-CN"/>
          </w:rPr>
          <w:t>3</w:t>
        </w:r>
        <w:r>
          <w:fldChar w:fldCharType="end"/>
        </w:r>
      </w:p>
    </w:sdtContent>
  </w:sdt>
  <w:p w:rsidR="00F81EC8">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9D0748"/>
    <w:multiLevelType w:val="hybridMultilevel"/>
    <w:tmpl w:val="877866D0"/>
    <w:lvl w:ilvl="0">
      <w:start w:val="6"/>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5A1B7B73"/>
    <w:multiLevelType w:val="multilevel"/>
    <w:tmpl w:val="749612C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1080" w:hanging="108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080" w:hanging="108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4A4"/>
    <w:rsid w:val="000314A4"/>
    <w:rsid w:val="00042D4B"/>
    <w:rsid w:val="001C6DAD"/>
    <w:rsid w:val="001D443B"/>
    <w:rsid w:val="002E3356"/>
    <w:rsid w:val="005E3E08"/>
    <w:rsid w:val="005E77FE"/>
    <w:rsid w:val="00805257"/>
    <w:rsid w:val="00AD0922"/>
    <w:rsid w:val="00B708E8"/>
    <w:rsid w:val="00CF566B"/>
    <w:rsid w:val="00EE4169"/>
    <w:rsid w:val="00EF351B"/>
    <w:rsid w:val="00F81E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4A4"/>
    <w:pPr>
      <w:widowControl w:val="0"/>
      <w:jc w:val="both"/>
    </w:pPr>
  </w:style>
  <w:style w:type="paragraph" w:styleId="Heading1">
    <w:name w:val="heading 1"/>
    <w:basedOn w:val="Normal"/>
    <w:next w:val="Normal"/>
    <w:link w:val="1Char"/>
    <w:uiPriority w:val="9"/>
    <w:qFormat/>
    <w:rsid w:val="005E3E08"/>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4A4"/>
    <w:pPr>
      <w:ind w:firstLine="420" w:firstLineChars="200"/>
    </w:pPr>
  </w:style>
  <w:style w:type="table" w:styleId="TableGrid">
    <w:name w:val="Table Grid"/>
    <w:basedOn w:val="TableNormal"/>
    <w:uiPriority w:val="39"/>
    <w:rsid w:val="000314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网格型1"/>
    <w:basedOn w:val="TableNormal"/>
    <w:next w:val="TableGrid"/>
    <w:uiPriority w:val="39"/>
    <w:rsid w:val="000314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text">
    <w:name w:val="author_text"/>
    <w:basedOn w:val="Normal"/>
    <w:rsid w:val="000314A4"/>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unhideWhenUsed/>
    <w:rsid w:val="00042D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2D4B"/>
    <w:rPr>
      <w:sz w:val="18"/>
      <w:szCs w:val="18"/>
    </w:rPr>
  </w:style>
  <w:style w:type="paragraph" w:styleId="Footer">
    <w:name w:val="footer"/>
    <w:basedOn w:val="Normal"/>
    <w:link w:val="Char0"/>
    <w:uiPriority w:val="99"/>
    <w:unhideWhenUsed/>
    <w:rsid w:val="00042D4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2D4B"/>
    <w:rPr>
      <w:sz w:val="18"/>
      <w:szCs w:val="18"/>
    </w:rPr>
  </w:style>
  <w:style w:type="paragraph" w:styleId="BalloonText">
    <w:name w:val="Balloon Text"/>
    <w:basedOn w:val="Normal"/>
    <w:link w:val="Char1"/>
    <w:uiPriority w:val="99"/>
    <w:semiHidden/>
    <w:unhideWhenUsed/>
    <w:rsid w:val="005E3E08"/>
    <w:rPr>
      <w:sz w:val="18"/>
      <w:szCs w:val="18"/>
    </w:rPr>
  </w:style>
  <w:style w:type="character" w:customStyle="1" w:styleId="Char1">
    <w:name w:val="批注框文本 Char"/>
    <w:basedOn w:val="DefaultParagraphFont"/>
    <w:link w:val="BalloonText"/>
    <w:uiPriority w:val="99"/>
    <w:semiHidden/>
    <w:rsid w:val="005E3E08"/>
    <w:rPr>
      <w:sz w:val="18"/>
      <w:szCs w:val="18"/>
    </w:rPr>
  </w:style>
  <w:style w:type="character" w:customStyle="1" w:styleId="1Char">
    <w:name w:val="标题 1 Char"/>
    <w:basedOn w:val="DefaultParagraphFont"/>
    <w:link w:val="Heading1"/>
    <w:uiPriority w:val="9"/>
    <w:rsid w:val="005E3E08"/>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698026136004006026"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7349</Words>
  <Characters>41892</Characters>
  <Application>Microsoft Office Word</Application>
  <DocSecurity>0</DocSecurity>
  <Lines>349</Lines>
  <Paragraphs>98</Paragraphs>
  <ScaleCrop>false</ScaleCrop>
  <Company/>
  <LinksUpToDate>false</LinksUpToDate>
  <CharactersWithSpaces>49143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华硕</dc:creator>
  <cp:lastModifiedBy>Windows User</cp:lastModifiedBy>
  <cp:revision>7</cp:revision>
  <dcterms:created xsi:type="dcterms:W3CDTF">2020-04-02T07:30:00Z</dcterms:created>
  <dcterms:modified xsi:type="dcterms:W3CDTF">2020-04-02T07:49:00Z</dcterms:modified>
</cp:coreProperties>
</file>