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0" w:lineRule="auto"/>
      </w:pPr>
      <w:r>
        <w:pict>
          <v:rect id="_x0000_s1025" style="width:551.5pt;height:1.5pt;margin-top:300.63pt;margin-left:32.91pt;mso-position-horizontal-relative:page;mso-position-vertical-relative:page;position:absolute;z-index:251661312" o:allowincell="f" filled="t" fillcolor="#2857ec" stroked="f"/>
        </w:pic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7752588</wp:posOffset>
            </wp:positionH>
            <wp:positionV relativeFrom="page">
              <wp:posOffset>0</wp:posOffset>
            </wp:positionV>
            <wp:extent cx="4012692" cy="6857996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12692" cy="6857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spacing w:before="349" w:line="208" w:lineRule="auto"/>
        <w:ind w:left="1433"/>
        <w:outlineLvl w:val="0"/>
        <w:rPr>
          <w:rFonts w:ascii="STKaiti" w:eastAsia="STKaiti" w:hAnsi="STKaiti" w:cs="STKaiti"/>
          <w:sz w:val="96"/>
          <w:szCs w:val="9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47244</wp:posOffset>
            </wp:positionH>
            <wp:positionV relativeFrom="paragraph">
              <wp:posOffset>-2811827</wp:posOffset>
            </wp:positionV>
            <wp:extent cx="5551931" cy="6857996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1931" cy="6857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6528816</wp:posOffset>
            </wp:positionH>
            <wp:positionV relativeFrom="paragraph">
              <wp:posOffset>-2811827</wp:posOffset>
            </wp:positionV>
            <wp:extent cx="5612891" cy="6838186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891" cy="6838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Kaiti" w:eastAsia="STKaiti" w:hAnsi="STKaiti" w:cs="STKaiti"/>
          <w:color w:val="262626"/>
          <w:spacing w:val="-2"/>
          <w:sz w:val="96"/>
          <w:szCs w:val="96"/>
          <w14:textOutline w14:w="17425" w14:cap="sq">
            <w14:solidFill>
              <w14:srgbClr w14:val="262626"/>
            </w14:solidFill>
            <w14:prstDash w14:val="solid"/>
            <w14:miter w14:lim="10"/>
          </w14:textOutline>
        </w:rPr>
        <w:t>2023商业航天行业分析</w:t>
      </w:r>
    </w:p>
    <w:p>
      <w:pPr>
        <w:pStyle w:val="BodyText"/>
        <w:spacing w:line="386" w:lineRule="auto"/>
      </w:pPr>
    </w:p>
    <w:p>
      <w:pPr>
        <w:spacing w:line="1509" w:lineRule="exact"/>
        <w:ind w:firstLine="3567"/>
        <w:sectPr>
          <w:headerReference w:type="default" r:id="rId7"/>
          <w:pgSz w:w="19200" w:h="10800"/>
          <w:pgMar w:top="400" w:right="0" w:bottom="0" w:left="0" w:header="0" w:footer="0" w:gutter="0"/>
          <w:cols w:space="708"/>
        </w:sectPr>
      </w:pPr>
      <w:r>
        <w:rPr>
          <w:position w:val="-30"/>
        </w:rPr>
        <w:drawing>
          <wp:inline distT="0" distB="0" distL="0" distR="0">
            <wp:extent cx="3243847" cy="95800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43847" cy="95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7" w:lineRule="auto"/>
      </w:pPr>
    </w:p>
    <w:p>
      <w:pPr>
        <w:spacing w:before="175" w:line="175" w:lineRule="auto"/>
        <w:ind w:left="5452"/>
        <w:rPr>
          <w:rFonts w:ascii="STKaiti" w:eastAsia="STKaiti" w:hAnsi="STKaiti" w:cs="STKaiti"/>
          <w:sz w:val="48"/>
          <w:szCs w:val="48"/>
        </w:rPr>
      </w:pPr>
      <w:r>
        <w:rPr>
          <w:rFonts w:ascii="STKaiti" w:eastAsia="STKaiti" w:hAnsi="STKaiti" w:cs="STKaiti"/>
          <w:spacing w:val="-1"/>
          <w:sz w:val="48"/>
          <w:szCs w:val="48"/>
          <w14:textOutline w14:w="8717" w14:cap="sq">
            <w14:solidFill>
              <w14:srgbClr w14:val="000000"/>
            </w14:solidFill>
            <w14:prstDash w14:val="solid"/>
            <w14:miter w14:lim="10"/>
          </w14:textOutline>
        </w:rPr>
        <w:t>2024.01</w:t>
      </w:r>
    </w:p>
    <w:p>
      <w:pPr>
        <w:spacing w:line="175" w:lineRule="auto"/>
        <w:rPr>
          <w:rFonts w:ascii="STKaiti" w:eastAsia="STKaiti" w:hAnsi="STKaiti" w:cs="STKaiti"/>
          <w:sz w:val="48"/>
          <w:szCs w:val="48"/>
        </w:rPr>
        <w:sectPr>
          <w:headerReference w:type="default" r:id="rId9"/>
          <w:type w:val="nextPage"/>
          <w:pgSz w:w="19200" w:h="1080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before="59" w:line="706" w:lineRule="exact"/>
        <w:ind w:firstLine="14775"/>
      </w:pPr>
      <w:r>
        <w:rPr>
          <w:position w:val="-14"/>
        </w:rPr>
        <w:drawing>
          <wp:inline distT="0" distB="0" distL="0" distR="0">
            <wp:extent cx="1530436" cy="448709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436" cy="44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98" w:line="215" w:lineRule="auto"/>
        <w:ind w:left="1206"/>
        <w:rPr>
          <w:rFonts w:ascii="STKaiti" w:eastAsia="STKaiti" w:hAnsi="STKaiti" w:cs="STKaiti"/>
          <w:sz w:val="96"/>
          <w:szCs w:val="96"/>
        </w:rPr>
      </w:pPr>
      <w:r>
        <w:rPr>
          <w:rFonts w:ascii="STKaiti" w:eastAsia="STKaiti" w:hAnsi="STKaiti" w:cs="STKaiti"/>
          <w:color w:val="2857EC"/>
          <w:spacing w:val="-67"/>
          <w:sz w:val="96"/>
          <w:szCs w:val="96"/>
        </w:rPr>
        <w:t>目录</w:t>
      </w:r>
    </w:p>
    <w:p>
      <w:pPr>
        <w:spacing w:before="123" w:line="20" w:lineRule="exact"/>
      </w:pPr>
      <w:r>
        <w:pict>
          <v:shape id="_x0000_i1026" style="width:852.75pt;height:1pt;mso-position-horizontal-relative:char;mso-position-vertical-relative:line" coordorigin="0,0" coordsize="17055,20" path="m10,10l17045,10e" filled="f" strokecolor="#7f7f7f" strokeweight="1pt">
            <v:stroke joinstyle="miter" endcap="square"/>
            <w10:wrap type="none"/>
          </v:shape>
        </w:pict>
      </w:r>
    </w:p>
    <w:p>
      <w:pPr>
        <w:spacing w:before="80"/>
      </w:pPr>
    </w:p>
    <w:p>
      <w:pPr>
        <w:spacing w:before="79"/>
      </w:pPr>
    </w:p>
    <w:tbl>
      <w:tblPr>
        <w:tblStyle w:val="TableNormal0"/>
        <w:tblW w:w="15250" w:type="dxa"/>
        <w:tblInd w:w="3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99"/>
        <w:gridCol w:w="5613"/>
        <w:gridCol w:w="2929"/>
        <w:gridCol w:w="5909"/>
      </w:tblGrid>
      <w:tr>
        <w:tblPrEx>
          <w:tblW w:w="15250" w:type="dxa"/>
          <w:tblInd w:w="38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29"/>
        </w:trPr>
        <w:tc>
          <w:tcPr>
            <w:tcW w:w="799" w:type="dxa"/>
            <w:vAlign w:val="top"/>
          </w:tcPr>
          <w:p>
            <w:pPr>
              <w:spacing w:before="220" w:line="198" w:lineRule="auto"/>
              <w:ind w:left="265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27" style="width:32.2pt;height:32.2pt;margin-top:-0.01pt;margin-left:0;position:absolute;z-index:-251649024" coordorigin="0,0" coordsize="644,644" filled="f" stroked="f">
                  <v:shape id="_x0000_s1028" style="width:624;height:624;left:10;position:absolute;top:10" coordorigin="0,0" coordsize="624,624" path="m,312c,139,139,,311,c484,,623,139,623,312c623,484,484,623,311,623c139,623,,484,,312e" filled="t" fillcolor="#d8e3e9" stroked="f">
                    <v:fill opacity="32897f"/>
                  </v:shape>
                  <v:shape id="_x0000_s1029" style="width:644;height:644;position:absolute" coordorigin="0,0" coordsize="644,644" path="m10,322c10,149,149,10,321,10c494,10,633,149,633,322c633,494,494,633,321,633c149,633,10,494,10,322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1</w:t>
            </w:r>
          </w:p>
        </w:tc>
        <w:tc>
          <w:tcPr>
            <w:tcW w:w="5613" w:type="dxa"/>
            <w:vAlign w:val="top"/>
          </w:tcPr>
          <w:p>
            <w:pPr>
              <w:spacing w:before="67" w:line="212" w:lineRule="auto"/>
              <w:ind w:left="156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4"/>
                <w:sz w:val="48"/>
                <w:szCs w:val="48"/>
                <w14:textOutline w14:w="8717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行业概述</w:t>
            </w:r>
          </w:p>
        </w:tc>
        <w:tc>
          <w:tcPr>
            <w:tcW w:w="2929" w:type="dxa"/>
            <w:vAlign w:val="top"/>
          </w:tcPr>
          <w:p>
            <w:pPr>
              <w:spacing w:before="221" w:line="197" w:lineRule="auto"/>
              <w:ind w:left="2371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30" style="width:32.1pt;height:32.2pt;margin-top:0.04pt;margin-left:105.88pt;position:absolute;z-index:-251652096" coordorigin="0,0" coordsize="641,644" filled="f" stroked="f">
                  <v:shape id="_x0000_s1031" style="width:622;height:624;left:10;position:absolute;top:10" coordorigin="0,0" coordsize="622,624" path="m,312c,139,139,,310,c482,,621,139,621,312c621,484,482,623,310,623c139,623,,484,,312e" filled="t" fillcolor="#d8e3e9" stroked="f">
                    <v:fill opacity="32897f"/>
                  </v:shape>
                  <v:shape id="_x0000_s1032" style="width:641;height:644;position:absolute" coordorigin="0,0" coordsize="641,644" path="m10,322c10,149,149,10,320,10c492,10,631,149,631,322c631,494,492,633,320,633c149,633,10,494,10,322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2</w:t>
            </w:r>
          </w:p>
        </w:tc>
        <w:tc>
          <w:tcPr>
            <w:tcW w:w="5909" w:type="dxa"/>
            <w:vAlign w:val="top"/>
          </w:tcPr>
          <w:p>
            <w:pPr>
              <w:spacing w:before="41" w:line="212" w:lineRule="auto"/>
              <w:ind w:left="169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4"/>
                <w:sz w:val="48"/>
                <w:szCs w:val="48"/>
                <w14:textOutline w14:w="8708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行业规模</w:t>
            </w:r>
          </w:p>
        </w:tc>
      </w:tr>
      <w:tr>
        <w:tblPrEx>
          <w:tblW w:w="15250" w:type="dxa"/>
          <w:tblInd w:w="386" w:type="dxa"/>
          <w:tblLayout w:type="fixed"/>
        </w:tblPrEx>
        <w:trPr>
          <w:trHeight w:val="1565"/>
        </w:trPr>
        <w:tc>
          <w:tcPr>
            <w:tcW w:w="799" w:type="dxa"/>
            <w:vAlign w:val="top"/>
          </w:tcPr>
          <w:p>
            <w:pPr>
              <w:pStyle w:val="TableText"/>
              <w:spacing w:line="285" w:lineRule="auto"/>
            </w:pPr>
          </w:p>
          <w:p>
            <w:pPr>
              <w:pStyle w:val="TableText"/>
              <w:spacing w:line="285" w:lineRule="auto"/>
            </w:pPr>
          </w:p>
          <w:p>
            <w:pPr>
              <w:spacing w:before="88" w:line="198" w:lineRule="auto"/>
              <w:ind w:left="252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33" style="width:32.2pt;height:32.2pt;margin-top:-6.6pt;margin-left:0;position:absolute;z-index:-251650048" coordorigin="0,0" coordsize="644,644" filled="f" stroked="f">
                  <v:shape id="_x0000_s1034" style="width:624;height:624;left:10;position:absolute;top:10" coordorigin="0,0" coordsize="624,624" path="m,311c,139,139,,311,c484,,623,139,623,311c623,484,484,623,311,623c139,623,,484,,311e" filled="t" fillcolor="#d8e3e9" stroked="f">
                    <v:fill opacity="32897f"/>
                  </v:shape>
                  <v:shape id="_x0000_s1035" style="width:644;height:644;position:absolute" coordorigin="0,0" coordsize="644,644" path="m10,321c10,149,149,10,321,10c494,10,633,149,633,321c633,494,494,633,321,633c149,633,10,494,10,321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3</w:t>
            </w:r>
          </w:p>
        </w:tc>
        <w:tc>
          <w:tcPr>
            <w:tcW w:w="5613" w:type="dxa"/>
            <w:vAlign w:val="top"/>
          </w:tcPr>
          <w:p>
            <w:pPr>
              <w:pStyle w:val="TableText"/>
              <w:spacing w:line="334" w:lineRule="auto"/>
            </w:pPr>
          </w:p>
          <w:p>
            <w:pPr>
              <w:spacing w:before="175" w:line="209" w:lineRule="auto"/>
              <w:ind w:left="156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4"/>
                <w:sz w:val="48"/>
                <w:szCs w:val="48"/>
                <w14:textOutline w14:w="8708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行业特征</w:t>
            </w:r>
          </w:p>
        </w:tc>
        <w:tc>
          <w:tcPr>
            <w:tcW w:w="2929" w:type="dxa"/>
            <w:vAlign w:val="top"/>
          </w:tcPr>
          <w:p>
            <w:pPr>
              <w:pStyle w:val="TableText"/>
              <w:spacing w:line="285" w:lineRule="auto"/>
            </w:pPr>
          </w:p>
          <w:p>
            <w:pPr>
              <w:pStyle w:val="TableText"/>
              <w:spacing w:line="285" w:lineRule="auto"/>
            </w:pPr>
          </w:p>
          <w:p>
            <w:pPr>
              <w:spacing w:before="88" w:line="198" w:lineRule="auto"/>
              <w:ind w:left="2373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36" style="width:32.1pt;height:32.2pt;margin-top:-6.57pt;margin-left:105.88pt;position:absolute;z-index:-251651072" coordorigin="0,0" coordsize="641,644" filled="f" stroked="f">
                  <v:shape id="_x0000_s1037" style="width:622;height:624;left:10;position:absolute;top:10" coordorigin="0,0" coordsize="622,624" path="m,311c,139,139,,310,c482,,621,139,621,311c621,484,482,623,310,623c139,623,,484,,311e" filled="t" fillcolor="#d8e3e9" stroked="f">
                    <v:fill opacity="32897f"/>
                  </v:shape>
                  <v:shape id="_x0000_s1038" style="width:641;height:644;position:absolute" coordorigin="0,0" coordsize="641,644" path="m10,321c10,149,149,10,320,10c492,10,631,149,631,321c631,494,492,633,320,633c149,633,10,494,10,321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4</w:t>
            </w:r>
          </w:p>
        </w:tc>
        <w:tc>
          <w:tcPr>
            <w:tcW w:w="5909" w:type="dxa"/>
            <w:vAlign w:val="top"/>
          </w:tcPr>
          <w:p>
            <w:pPr>
              <w:pStyle w:val="TableText"/>
              <w:spacing w:line="304" w:lineRule="auto"/>
            </w:pPr>
          </w:p>
          <w:p>
            <w:pPr>
              <w:spacing w:before="174" w:line="208" w:lineRule="auto"/>
              <w:ind w:left="174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5"/>
                <w:sz w:val="48"/>
                <w:szCs w:val="48"/>
                <w14:textOutline w14:w="8717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产业链分析</w:t>
            </w:r>
          </w:p>
        </w:tc>
      </w:tr>
      <w:tr>
        <w:tblPrEx>
          <w:tblW w:w="15250" w:type="dxa"/>
          <w:tblInd w:w="386" w:type="dxa"/>
          <w:tblLayout w:type="fixed"/>
        </w:tblPrEx>
        <w:trPr>
          <w:trHeight w:val="1583"/>
        </w:trPr>
        <w:tc>
          <w:tcPr>
            <w:tcW w:w="799" w:type="dxa"/>
            <w:vAlign w:val="top"/>
          </w:tcPr>
          <w:p>
            <w:pPr>
              <w:pStyle w:val="TableText"/>
              <w:spacing w:line="317" w:lineRule="auto"/>
            </w:pPr>
          </w:p>
          <w:p>
            <w:pPr>
              <w:pStyle w:val="TableText"/>
              <w:spacing w:line="318" w:lineRule="auto"/>
            </w:pPr>
          </w:p>
          <w:p>
            <w:pPr>
              <w:spacing w:before="87" w:line="197" w:lineRule="auto"/>
              <w:ind w:left="257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39" style="width:32.2pt;height:32.2pt;margin-top:-6.72pt;margin-left:0;position:absolute;z-index:-251654144" coordorigin="0,0" coordsize="644,644" filled="f" stroked="f">
                  <v:shape id="_x0000_s1040" style="width:624;height:624;left:10;position:absolute;top:10" coordorigin="0,0" coordsize="624,624" path="m,311c,139,139,,311,c484,,623,139,623,311c623,484,484,623,311,623c139,623,,484,,311e" filled="t" fillcolor="#d8e3e9" stroked="f">
                    <v:fill opacity="32897f"/>
                  </v:shape>
                  <v:shape id="_x0000_s1041" style="width:644;height:644;position:absolute" coordorigin="0,0" coordsize="644,644" path="m10,321c10,149,149,10,321,10c494,10,633,149,633,321c633,494,494,633,321,633c149,633,10,494,10,321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5</w:t>
            </w:r>
          </w:p>
        </w:tc>
        <w:tc>
          <w:tcPr>
            <w:tcW w:w="5613" w:type="dxa"/>
            <w:vAlign w:val="top"/>
          </w:tcPr>
          <w:p>
            <w:pPr>
              <w:pStyle w:val="TableText"/>
              <w:spacing w:line="397" w:lineRule="auto"/>
            </w:pPr>
          </w:p>
          <w:p>
            <w:pPr>
              <w:spacing w:before="175" w:line="208" w:lineRule="auto"/>
              <w:ind w:left="179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8"/>
                <w:sz w:val="48"/>
                <w:szCs w:val="48"/>
                <w14:textOutline w14:w="8708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二级市场表现</w:t>
            </w:r>
          </w:p>
        </w:tc>
        <w:tc>
          <w:tcPr>
            <w:tcW w:w="2929" w:type="dxa"/>
            <w:vAlign w:val="top"/>
          </w:tcPr>
          <w:p>
            <w:pPr>
              <w:pStyle w:val="TableText"/>
              <w:spacing w:line="316" w:lineRule="auto"/>
            </w:pPr>
          </w:p>
          <w:p>
            <w:pPr>
              <w:pStyle w:val="TableText"/>
              <w:spacing w:line="316" w:lineRule="auto"/>
            </w:pPr>
          </w:p>
          <w:p>
            <w:pPr>
              <w:spacing w:before="87" w:line="199" w:lineRule="auto"/>
              <w:ind w:left="2375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42" style="width:32.1pt;height:32.2pt;margin-top:-6.6pt;margin-left:105.88pt;position:absolute;z-index:-251653120" coordorigin="0,0" coordsize="641,644" filled="f" stroked="f">
                  <v:shape id="_x0000_s1043" style="width:622;height:624;left:10;position:absolute;top:10" coordorigin="0,0" coordsize="622,624" path="m,311c,139,139,,310,c482,,621,139,621,311c621,484,482,623,310,623c139,623,,484,,311e" filled="t" fillcolor="#d8e3e9" stroked="f">
                    <v:fill opacity="32897f"/>
                  </v:shape>
                  <v:shape id="_x0000_s1044" style="width:641;height:644;position:absolute" coordorigin="0,0" coordsize="641,644" path="m10,321c10,149,149,10,320,10c492,10,631,149,631,321c631,494,492,633,320,633c149,633,10,494,10,321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6</w:t>
            </w:r>
          </w:p>
        </w:tc>
        <w:tc>
          <w:tcPr>
            <w:tcW w:w="5909" w:type="dxa"/>
            <w:vAlign w:val="top"/>
          </w:tcPr>
          <w:p>
            <w:pPr>
              <w:pStyle w:val="TableText"/>
              <w:spacing w:line="396" w:lineRule="auto"/>
            </w:pPr>
          </w:p>
          <w:p>
            <w:pPr>
              <w:spacing w:before="175" w:line="207" w:lineRule="auto"/>
              <w:jc w:val="right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5"/>
                <w:sz w:val="48"/>
                <w:szCs w:val="48"/>
                <w14:textOutline w14:w="8708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商业航天行业投资事件分析</w:t>
            </w:r>
          </w:p>
        </w:tc>
      </w:tr>
      <w:tr>
        <w:tblPrEx>
          <w:tblW w:w="15250" w:type="dxa"/>
          <w:tblInd w:w="386" w:type="dxa"/>
          <w:tblLayout w:type="fixed"/>
        </w:tblPrEx>
        <w:trPr>
          <w:trHeight w:val="1103"/>
        </w:trPr>
        <w:tc>
          <w:tcPr>
            <w:tcW w:w="799" w:type="dxa"/>
            <w:vAlign w:val="top"/>
          </w:tcPr>
          <w:p>
            <w:pPr>
              <w:pStyle w:val="TableText"/>
              <w:spacing w:line="297" w:lineRule="auto"/>
            </w:pPr>
          </w:p>
          <w:p>
            <w:pPr>
              <w:pStyle w:val="TableText"/>
              <w:spacing w:line="297" w:lineRule="auto"/>
            </w:pPr>
          </w:p>
          <w:p>
            <w:pPr>
              <w:spacing w:before="87" w:line="194" w:lineRule="auto"/>
              <w:ind w:left="258"/>
              <w:rPr>
                <w:rFonts w:ascii="Garamond" w:eastAsia="Garamond" w:hAnsi="Garamond" w:cs="Garamond"/>
                <w:sz w:val="31"/>
                <w:szCs w:val="31"/>
              </w:rPr>
            </w:pPr>
            <w:r>
              <w:pict>
                <v:group id="_x0000_s1045" style="width:32.2pt;height:32.2pt;margin-top:-6.89pt;margin-left:0;position:absolute;z-index:-251648000" coordorigin="0,0" coordsize="644,644" filled="f" stroked="f">
                  <v:shape id="_x0000_s1046" style="width:624;height:624;left:10;position:absolute;top:10" coordorigin="0,0" coordsize="624,624" path="m,311c,139,139,,311,c484,,623,139,623,311c623,484,484,623,311,623c139,623,,484,,311e" filled="t" fillcolor="#d8e3e9" stroked="f">
                    <v:fill opacity="32897f"/>
                  </v:shape>
                  <v:shape id="_x0000_s1047" style="width:644;height:644;position:absolute" coordorigin="0,0" coordsize="644,644" path="m10,321c10,149,149,10,321,10c494,10,633,149,633,321c633,494,494,633,321,633c149,633,10,494,10,321e" filled="f" strokecolor="#d8e3e9" strokeweight="1pt">
                    <v:stroke joinstyle="miter"/>
                  </v:shape>
                </v:group>
              </w:pict>
            </w:r>
            <w:r>
              <w:rPr>
                <w:rFonts w:ascii="Garamond" w:eastAsia="Garamond" w:hAnsi="Garamond" w:cs="Garamond"/>
                <w:b/>
                <w:bCs/>
                <w:sz w:val="31"/>
                <w:szCs w:val="31"/>
              </w:rPr>
              <w:t>7</w:t>
            </w:r>
          </w:p>
        </w:tc>
        <w:tc>
          <w:tcPr>
            <w:tcW w:w="5613" w:type="dxa"/>
            <w:vAlign w:val="top"/>
          </w:tcPr>
          <w:p>
            <w:pPr>
              <w:pStyle w:val="TableText"/>
              <w:spacing w:line="351" w:lineRule="auto"/>
            </w:pPr>
          </w:p>
          <w:p>
            <w:pPr>
              <w:spacing w:before="174" w:line="194" w:lineRule="auto"/>
              <w:ind w:left="180"/>
              <w:rPr>
                <w:rFonts w:ascii="STKaiti" w:eastAsia="STKaiti" w:hAnsi="STKaiti" w:cs="STKaiti"/>
                <w:sz w:val="48"/>
                <w:szCs w:val="48"/>
              </w:rPr>
            </w:pPr>
            <w:r>
              <w:rPr>
                <w:rFonts w:ascii="STKaiti" w:eastAsia="STKaiti" w:hAnsi="STKaiti" w:cs="STKaiti"/>
                <w:color w:val="262626"/>
                <w:spacing w:val="-7"/>
                <w:sz w:val="48"/>
                <w:szCs w:val="48"/>
                <w14:textOutline w14:w="8708" w14:cap="sq">
                  <w14:solidFill>
                    <w14:srgbClr w14:val="262626"/>
                  </w14:solidFill>
                  <w14:prstDash w14:val="solid"/>
                  <w14:miter w14:lim="10"/>
                </w14:textOutline>
              </w:rPr>
              <w:t>总结及行业展望</w:t>
            </w:r>
          </w:p>
        </w:tc>
        <w:tc>
          <w:tcPr>
            <w:tcW w:w="2929" w:type="dxa"/>
            <w:vAlign w:val="top"/>
          </w:tcPr>
          <w:p>
            <w:pPr>
              <w:pStyle w:val="TableText"/>
            </w:pPr>
          </w:p>
        </w:tc>
        <w:tc>
          <w:tcPr>
            <w:tcW w:w="5909" w:type="dxa"/>
            <w:vAlign w:val="top"/>
          </w:tcPr>
          <w:p>
            <w:pPr>
              <w:pStyle w:val="TableText"/>
            </w:pPr>
          </w:p>
        </w:tc>
      </w:tr>
    </w:tbl>
    <w:p>
      <w:pPr>
        <w:pStyle w:val="BodyText"/>
      </w:pPr>
    </w:p>
    <w:p>
      <w:pPr>
        <w:sectPr>
          <w:headerReference w:type="default" r:id="rId11"/>
          <w:pgSz w:w="19200" w:h="10800"/>
          <w:pgMar w:top="400" w:right="951" w:bottom="0" w:left="1062" w:header="0" w:footer="0" w:gutter="0"/>
          <w:pgNumType w:start="3"/>
          <w:cols w:space="708"/>
        </w:sectPr>
      </w:pPr>
    </w:p>
    <w:p>
      <w:pPr>
        <w:spacing w:before="335" w:line="212" w:lineRule="auto"/>
        <w:ind w:left="49"/>
        <w:rPr>
          <w:rFonts w:ascii="STKaiti" w:eastAsia="STKaiti" w:hAnsi="STKaiti" w:cs="STKaiti"/>
          <w:sz w:val="48"/>
          <w:szCs w:val="48"/>
        </w:rPr>
      </w:pPr>
      <w:r>
        <w:pict>
          <v:rect id="_x0000_s1048" style="width:100.2pt;height:37.95pt;margin-top:336pt;margin-left:53.76pt;mso-position-horizontal-relative:page;mso-position-vertical-relative:page;position:absolute;z-index:251682816" o:allowincell="f" filled="t" fillcolor="#2857ec" stroked="f"/>
        </w:pict>
      </w:r>
      <w:r>
        <w:pict>
          <v:rect id="_x0000_s1049" style="width:100.2pt;height:37.8pt;margin-top:393.72pt;margin-left:187.08pt;mso-position-horizontal-relative:page;mso-position-vertical-relative:page;position:absolute;z-index:251684864" o:allowincell="f" filled="t" fillcolor="#2857ec" stroked="f"/>
        </w:pict>
      </w:r>
      <w:r>
        <w:pict>
          <v:rect id="_x0000_s1050" style="width:100.2pt;height:37.95pt;margin-top:452.28pt;margin-left:187.08pt;mso-position-horizontal-relative:page;mso-position-vertical-relative:page;position:absolute;z-index:251680768" o:allowincell="f" filled="t" fillcolor="#2857ec" stroked="f"/>
        </w:pict>
      </w:r>
      <w:r>
        <w:pict>
          <v:rect id="_x0000_s1051" style="width:0.5pt;height:116.3pt;margin-top:354.96pt;margin-left:170.29pt;mso-position-horizontal-relative:page;mso-position-vertical-relative:page;position:absolute;z-index:251689984" o:allowincell="f" filled="t" fillcolor="#2857ec" stroked="f"/>
        </w:pict>
      </w:r>
      <w:r>
        <w:pict>
          <v:rect id="_x0000_s1052" style="width:719.25pt;height:0.5pt;margin-top:382.67pt;margin-left:187.08pt;mso-position-horizontal-relative:page;mso-position-vertical-relative:page;position:absolute;z-index:251693056" o:allowincell="f" filled="t" fillcolor="#a6a6a6" stroked="f"/>
        </w:pict>
      </w:r>
      <w:r>
        <w:pict>
          <v:shape id="_x0000_s1053" style="width:33.2pt;height:0.8pt;margin-top:354.47pt;margin-left:153.96pt;mso-position-horizontal-relative:page;mso-position-vertical-relative:page;position:absolute;z-index:251694080" coordorigin="0,0" coordsize="664,16" o:allowincell="f" path="m663,4l,10e" filled="f" strokecolor="#2857ec" strokeweight="0.5pt">
            <v:stroke joinstyle="miter"/>
          </v:shape>
        </w:pict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10057114</wp:posOffset>
            </wp:positionH>
            <wp:positionV relativeFrom="page">
              <wp:posOffset>291465</wp:posOffset>
            </wp:positionV>
            <wp:extent cx="1530436" cy="448709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436" cy="448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width:204.15pt;height:53.65pt;margin-top:211.98pt;margin-left:452.22pt;mso-position-horizontal-relative:page;mso-position-vertical-relative:page;position:absolute;z-index:25167155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4027" w:type="dxa"/>
                    <w:tblInd w:w="27" w:type="dxa"/>
                    <w:tblBorders>
                      <w:top w:val="dashed" w:sz="6" w:space="0" w:color="000000"/>
                      <w:left w:val="dashed" w:sz="6" w:space="0" w:color="000000"/>
                      <w:bottom w:val="dashed" w:sz="6" w:space="0" w:color="000000"/>
                      <w:right w:val="dashed" w:sz="6" w:space="0" w:color="000000"/>
                    </w:tblBorders>
                    <w:tblLayout w:type="fixed"/>
                  </w:tblPr>
                  <w:tblGrid>
                    <w:gridCol w:w="4027"/>
                  </w:tblGrid>
                  <w:tr>
                    <w:tblPrEx>
                      <w:tblW w:w="4027" w:type="dxa"/>
                      <w:tblInd w:w="27" w:type="dxa"/>
                      <w:tblBorders>
                        <w:top w:val="dashed" w:sz="6" w:space="0" w:color="000000"/>
                        <w:left w:val="dashed" w:sz="6" w:space="0" w:color="000000"/>
                        <w:bottom w:val="dashed" w:sz="6" w:space="0" w:color="000000"/>
                        <w:right w:val="dashed" w:sz="6" w:space="0" w:color="000000"/>
                      </w:tblBorders>
                      <w:tblLayout w:type="fixed"/>
                    </w:tblPrEx>
                    <w:trPr>
                      <w:trHeight w:val="1002"/>
                    </w:trPr>
                    <w:tc>
                      <w:tcPr>
                        <w:tcW w:w="4027" w:type="dxa"/>
                        <w:vAlign w:val="top"/>
                      </w:tcPr>
                      <w:p>
                        <w:pPr>
                          <w:spacing w:before="95" w:line="201" w:lineRule="auto"/>
                          <w:ind w:left="162" w:right="77" w:hanging="7"/>
                          <w:jc w:val="both"/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TKaiti" w:eastAsia="STKaiti" w:hAnsi="STKaiti" w:cs="STKaiti"/>
                            <w:spacing w:val="-3"/>
                            <w:sz w:val="24"/>
                            <w:szCs w:val="24"/>
                          </w:rPr>
                          <w:t xml:space="preserve">环绕地球飞行并在空间轨道上运行    </w:t>
                        </w:r>
                        <w:r>
                          <w:rPr>
                            <w:rFonts w:ascii="STKaiti" w:eastAsia="STKaiti" w:hAnsi="STKaiti" w:cs="STKaiti"/>
                            <w:spacing w:val="-5"/>
                            <w:sz w:val="24"/>
                            <w:szCs w:val="24"/>
                          </w:rPr>
                          <w:t>的无人航天器，常应用于天气预报、</w:t>
                        </w:r>
                        <w:r>
                          <w:rPr>
                            <w:rFonts w:ascii="STKaiti" w:eastAsia="STKaiti" w:hAnsi="STKaiti" w:cs="STKaiti"/>
                            <w:spacing w:val="1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土地资源调查、卫星导航等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55" type="#_x0000_t202" style="width:100.2pt;height:37.8pt;margin-top:219.84pt;margin-left:187.08pt;mso-position-horizontal-relative:page;mso-position-vertical-relative:page;position:absolute;z-index:251685888" o:allowincell="f" filled="t" fillcolor="#2857ec" stroked="f">
            <o:lock v:ext="edit" aspectratio="f"/>
            <v:textbox inset="0,0,0,0">
              <w:txbxContent>
                <w:p>
                  <w:pPr>
                    <w:spacing w:before="242" w:line="222" w:lineRule="auto"/>
                    <w:ind w:left="434"/>
                    <w:rPr>
                      <w:rFonts w:ascii="STKaiti" w:eastAsia="STKaiti" w:hAnsi="STKaiti" w:cs="STKaiti"/>
                      <w:sz w:val="28"/>
                      <w:szCs w:val="28"/>
                    </w:rPr>
                  </w:pPr>
                  <w:r>
                    <w:rPr>
                      <w:rFonts w:ascii="STKaiti" w:eastAsia="STKaiti" w:hAnsi="STKaiti" w:cs="STKaiti"/>
                      <w:color w:val="FFFFFF"/>
                      <w:spacing w:val="-4"/>
                      <w:sz w:val="28"/>
                      <w:szCs w:val="28"/>
                      <w14:textOutline w14:w="509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人造卫星</w:t>
                  </w:r>
                </w:p>
              </w:txbxContent>
            </v:textbox>
          </v:shape>
        </w:pict>
      </w:r>
      <w:r>
        <w:pict>
          <v:shape id="_x0000_s1056" type="#_x0000_t202" style="width:204.15pt;height:53.65pt;margin-top:270.18pt;margin-left:452.22pt;mso-position-horizontal-relative:page;mso-position-vertical-relative:page;position:absolute;z-index:251670528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4027" w:type="dxa"/>
                    <w:tblInd w:w="27" w:type="dxa"/>
                    <w:tblBorders>
                      <w:top w:val="dashed" w:sz="6" w:space="0" w:color="000000"/>
                      <w:left w:val="dashed" w:sz="6" w:space="0" w:color="000000"/>
                      <w:bottom w:val="dashed" w:sz="6" w:space="0" w:color="000000"/>
                      <w:right w:val="dashed" w:sz="6" w:space="0" w:color="000000"/>
                    </w:tblBorders>
                    <w:tblLayout w:type="fixed"/>
                  </w:tblPr>
                  <w:tblGrid>
                    <w:gridCol w:w="4027"/>
                  </w:tblGrid>
                  <w:tr>
                    <w:tblPrEx>
                      <w:tblW w:w="4027" w:type="dxa"/>
                      <w:tblInd w:w="27" w:type="dxa"/>
                      <w:tblBorders>
                        <w:top w:val="dashed" w:sz="6" w:space="0" w:color="000000"/>
                        <w:left w:val="dashed" w:sz="6" w:space="0" w:color="000000"/>
                        <w:bottom w:val="dashed" w:sz="6" w:space="0" w:color="000000"/>
                        <w:right w:val="dashed" w:sz="6" w:space="0" w:color="000000"/>
                      </w:tblBorders>
                      <w:tblLayout w:type="fixed"/>
                    </w:tblPrEx>
                    <w:trPr>
                      <w:trHeight w:val="1002"/>
                    </w:trPr>
                    <w:tc>
                      <w:tcPr>
                        <w:tcW w:w="4027" w:type="dxa"/>
                        <w:vAlign w:val="top"/>
                      </w:tcPr>
                      <w:p>
                        <w:pPr>
                          <w:spacing w:before="96" w:line="202" w:lineRule="auto"/>
                          <w:ind w:left="147" w:right="274" w:firstLine="11"/>
                          <w:jc w:val="both"/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将航天器推向太空的运输载具，包</w:t>
                        </w:r>
                        <w:r>
                          <w:rPr>
                            <w:rFonts w:ascii="STKaiti" w:eastAsia="STKaiti" w:hAnsi="STKaiti" w:cs="STKaiti"/>
                            <w:spacing w:val="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1"/>
                            <w:sz w:val="24"/>
                            <w:szCs w:val="24"/>
                          </w:rPr>
                          <w:t>括火箭研制、远程测控、航天器发</w:t>
                        </w:r>
                        <w:r>
                          <w:rPr>
                            <w:rFonts w:ascii="STKaiti" w:eastAsia="STKaiti" w:hAnsi="STKaiti" w:cs="STKaiti"/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3"/>
                            <w:sz w:val="24"/>
                            <w:szCs w:val="24"/>
                          </w:rPr>
                          <w:t>射保险等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57" type="#_x0000_t202" style="width:100.2pt;height:37.95pt;margin-top:278.04pt;margin-left:187.08pt;mso-position-horizontal-relative:page;mso-position-vertical-relative:page;position:absolute;z-index:251681792" o:allowincell="f" filled="t" fillcolor="#2857ec" stroked="f">
            <o:lock v:ext="edit" aspectratio="f"/>
            <v:textbox inset="0,0,0,0">
              <w:txbxContent>
                <w:p>
                  <w:pPr>
                    <w:spacing w:before="245" w:line="212" w:lineRule="auto"/>
                    <w:ind w:left="435"/>
                    <w:rPr>
                      <w:rFonts w:ascii="STKaiti" w:eastAsia="STKaiti" w:hAnsi="STKaiti" w:cs="STKaiti"/>
                      <w:sz w:val="28"/>
                      <w:szCs w:val="28"/>
                    </w:rPr>
                  </w:pPr>
                  <w:r>
                    <w:rPr>
                      <w:rFonts w:ascii="STKaiti" w:eastAsia="STKaiti" w:hAnsi="STKaiti" w:cs="STKaiti"/>
                      <w:color w:val="FFFFFF"/>
                      <w:spacing w:val="-4"/>
                      <w:sz w:val="28"/>
                      <w:szCs w:val="28"/>
                      <w14:textOutline w14:w="509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运载火箭</w:t>
                  </w:r>
                </w:p>
              </w:txbxContent>
            </v:textbox>
          </v:shape>
        </w:pict>
      </w:r>
      <w:r>
        <w:pict>
          <v:shape id="_x0000_s1058" type="#_x0000_t202" style="width:100.2pt;height:37.85pt;margin-top:335.76pt;margin-left:187.08pt;mso-position-horizontal-relative:page;mso-position-vertical-relative:page;position:absolute;z-index:251683840" o:allowincell="f" filled="t" fillcolor="#2857ec" stroked="f">
            <o:lock v:ext="edit" aspectratio="f"/>
            <v:textbox inset="0,0,0,0">
              <w:txbxContent>
                <w:p>
                  <w:pPr>
                    <w:spacing w:before="243" w:line="213" w:lineRule="auto"/>
                    <w:ind w:left="445"/>
                    <w:rPr>
                      <w:rFonts w:ascii="STKaiti" w:eastAsia="STKaiti" w:hAnsi="STKaiti" w:cs="STKaiti"/>
                      <w:sz w:val="28"/>
                      <w:szCs w:val="28"/>
                    </w:rPr>
                  </w:pPr>
                  <w:r>
                    <w:rPr>
                      <w:rFonts w:ascii="STKaiti" w:eastAsia="STKaiti" w:hAnsi="STKaiti" w:cs="STKaiti"/>
                      <w:color w:val="FFFFFF"/>
                      <w:spacing w:val="-7"/>
                      <w:sz w:val="28"/>
                      <w:szCs w:val="28"/>
                      <w14:textOutline w14:w="509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载人航天</w:t>
                  </w:r>
                </w:p>
              </w:txbxContent>
            </v:textbox>
          </v:shape>
        </w:pict>
      </w:r>
      <w:r>
        <w:pict>
          <v:shape id="_x0000_s1059" type="#_x0000_t202" style="width:204.15pt;height:39.15pt;margin-top:335.1pt;margin-left:452.22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4027" w:type="dxa"/>
                    <w:tblInd w:w="27" w:type="dxa"/>
                    <w:tblBorders>
                      <w:top w:val="dashed" w:sz="6" w:space="0" w:color="000000"/>
                      <w:left w:val="dashed" w:sz="6" w:space="0" w:color="000000"/>
                      <w:bottom w:val="dashed" w:sz="6" w:space="0" w:color="000000"/>
                      <w:right w:val="dashed" w:sz="6" w:space="0" w:color="000000"/>
                    </w:tblBorders>
                    <w:tblLayout w:type="fixed"/>
                  </w:tblPr>
                  <w:tblGrid>
                    <w:gridCol w:w="4027"/>
                  </w:tblGrid>
                  <w:tr>
                    <w:tblPrEx>
                      <w:tblW w:w="4027" w:type="dxa"/>
                      <w:tblInd w:w="27" w:type="dxa"/>
                      <w:tblBorders>
                        <w:top w:val="dashed" w:sz="6" w:space="0" w:color="000000"/>
                        <w:left w:val="dashed" w:sz="6" w:space="0" w:color="000000"/>
                        <w:bottom w:val="dashed" w:sz="6" w:space="0" w:color="000000"/>
                        <w:right w:val="dashed" w:sz="6" w:space="0" w:color="000000"/>
                      </w:tblBorders>
                      <w:tblLayout w:type="fixed"/>
                    </w:tblPrEx>
                    <w:trPr>
                      <w:trHeight w:val="712"/>
                    </w:trPr>
                    <w:tc>
                      <w:tcPr>
                        <w:tcW w:w="4027" w:type="dxa"/>
                        <w:vAlign w:val="top"/>
                      </w:tcPr>
                      <w:p>
                        <w:pPr>
                          <w:spacing w:before="94" w:line="205" w:lineRule="auto"/>
                          <w:ind w:left="154" w:right="275" w:firstLine="11"/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帮助人类完成太空往返的载体，如</w:t>
                        </w:r>
                        <w:r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低轨道载人飞船、太空旅游等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60" type="#_x0000_t202" style="width:96.45pt;height:20.05pt;margin-top:347.27pt;margin-left:75.11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before="20" w:line="212" w:lineRule="auto"/>
                    <w:ind w:left="20"/>
                    <w:rPr>
                      <w:rFonts w:ascii="STKaiti" w:eastAsia="STKaiti" w:hAnsi="STKaiti" w:cs="STKaiti"/>
                      <w:sz w:val="28"/>
                      <w:szCs w:val="28"/>
                    </w:rPr>
                  </w:pPr>
                  <w:r>
                    <w:rPr>
                      <w:rFonts w:ascii="STKaiti" w:eastAsia="STKaiti" w:hAnsi="STKaiti" w:cs="STKaiti"/>
                      <w:color w:val="FFFFFF"/>
                      <w:spacing w:val="-8"/>
                      <w:sz w:val="28"/>
                      <w:szCs w:val="28"/>
                      <w14:textOutline w14:w="5094" w14:cap="sq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商业航天</w:t>
                  </w:r>
                  <w:r>
                    <w:rPr>
                      <w:rFonts w:ascii="STKaiti" w:eastAsia="STKaiti" w:hAnsi="STKaiti" w:cs="STKaiti"/>
                      <w:color w:val="FFFFFF"/>
                      <w:spacing w:val="8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STKaiti" w:eastAsia="STKaiti" w:hAnsi="STKaiti" w:cs="STKaiti"/>
                      <w:strike/>
                      <w:color w:val="FFFFFF"/>
                      <w:sz w:val="28"/>
                      <w:szCs w:val="28"/>
                    </w:rPr>
                    <w:t xml:space="preserve">     </w:t>
                  </w:r>
                </w:p>
              </w:txbxContent>
            </v:textbox>
          </v:shape>
        </w:pict>
      </w:r>
      <w:r>
        <w:pict>
          <v:shape id="_x0000_s1061" style="width:16.85pt;height:116.5pt;margin-top:238.55pt;margin-left:170.29pt;mso-position-horizontal-relative:page;mso-position-vertical-relative:page;position:absolute;z-index:251686912" coordorigin="0,0" coordsize="337,2330" o:allowincell="f" path="m336,5l5,5l5,2329e" filled="f" strokecolor="#2857ec" strokeweight="0.5pt">
            <v:stroke joinstyle="miter"/>
          </v:shape>
        </w:pict>
      </w:r>
      <w:r>
        <w:pict>
          <v:shape id="_x0000_s1062" style="width:16.85pt;height:58.25pt;margin-top:296.75pt;margin-left:170.29pt;mso-position-horizontal-relative:page;mso-position-vertical-relative:page;position:absolute;z-index:251692032" coordorigin="0,0" coordsize="337,1165" o:allowincell="f" path="m336,5l5,5l5,1164e" filled="f" strokecolor="#2857ec" strokeweight="0.5pt">
            <v:stroke joinstyle="miter"/>
          </v:shape>
        </w:pict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4194048</wp:posOffset>
            </wp:positionH>
            <wp:positionV relativeFrom="page">
              <wp:posOffset>2737103</wp:posOffset>
            </wp:positionV>
            <wp:extent cx="1187196" cy="589788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719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4194048</wp:posOffset>
            </wp:positionH>
            <wp:positionV relativeFrom="page">
              <wp:posOffset>3476244</wp:posOffset>
            </wp:positionV>
            <wp:extent cx="1187196" cy="591311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87196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4194048</wp:posOffset>
            </wp:positionH>
            <wp:positionV relativeFrom="page">
              <wp:posOffset>4187952</wp:posOffset>
            </wp:positionV>
            <wp:extent cx="1187183" cy="63246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7183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3" type="#_x0000_t202" style="width:204.15pt;height:53.65pt;margin-top:385.86pt;margin-left:452.22pt;mso-position-horizontal-relative:page;mso-position-vertical-relative:page;position:absolute;z-index:251669504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4027" w:type="dxa"/>
                    <w:tblInd w:w="27" w:type="dxa"/>
                    <w:tblBorders>
                      <w:top w:val="dashed" w:sz="6" w:space="0" w:color="000000"/>
                      <w:left w:val="dashed" w:sz="6" w:space="0" w:color="000000"/>
                      <w:bottom w:val="dashed" w:sz="6" w:space="0" w:color="000000"/>
                      <w:right w:val="dashed" w:sz="6" w:space="0" w:color="000000"/>
                    </w:tblBorders>
                    <w:tblLayout w:type="fixed"/>
                  </w:tblPr>
                  <w:tblGrid>
                    <w:gridCol w:w="4027"/>
                  </w:tblGrid>
                  <w:tr>
                    <w:tblPrEx>
                      <w:tblW w:w="4027" w:type="dxa"/>
                      <w:tblInd w:w="27" w:type="dxa"/>
                      <w:tblBorders>
                        <w:top w:val="dashed" w:sz="6" w:space="0" w:color="000000"/>
                        <w:left w:val="dashed" w:sz="6" w:space="0" w:color="000000"/>
                        <w:bottom w:val="dashed" w:sz="6" w:space="0" w:color="000000"/>
                        <w:right w:val="dashed" w:sz="6" w:space="0" w:color="000000"/>
                      </w:tblBorders>
                      <w:tblLayout w:type="fixed"/>
                    </w:tblPrEx>
                    <w:trPr>
                      <w:trHeight w:val="1002"/>
                    </w:trPr>
                    <w:tc>
                      <w:tcPr>
                        <w:tcW w:w="4027" w:type="dxa"/>
                        <w:vAlign w:val="top"/>
                      </w:tcPr>
                      <w:p>
                        <w:pPr>
                          <w:spacing w:before="95" w:line="201" w:lineRule="auto"/>
                          <w:ind w:left="161" w:right="274" w:hanging="1"/>
                          <w:jc w:val="both"/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近地轨道长时间运行，可供多名航</w:t>
                        </w:r>
                        <w:r>
                          <w:rPr>
                            <w:rFonts w:ascii="STKaiti" w:eastAsia="STKaiti" w:hAnsi="STKaiti" w:cs="STKaiti"/>
                            <w:spacing w:val="6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天员工作和生活的载人航天器，如</w:t>
                        </w:r>
                        <w:r>
                          <w:rPr>
                            <w:rFonts w:ascii="STKaiti" w:eastAsia="STKaiti" w:hAnsi="STKaiti" w:cs="STKaiti"/>
                            <w:spacing w:val="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3"/>
                            <w:sz w:val="24"/>
                            <w:szCs w:val="24"/>
                          </w:rPr>
                          <w:t>太空居住、太空城市等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64" type="#_x0000_t202" style="width:89.85pt;height:20.35pt;margin-top:404.94pt;margin-left:169.54pt;mso-position-horizontal-relative:page;mso-position-vertical-relative:page;position:absolute;z-index:251691008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350"/>
                    </w:tabs>
                    <w:spacing w:before="19" w:line="216" w:lineRule="auto"/>
                    <w:ind w:left="20"/>
                    <w:rPr>
                      <w:rFonts w:ascii="STKaiti" w:eastAsia="STKaiti" w:hAnsi="STKaiti" w:cs="STKaiti"/>
                      <w:sz w:val="28"/>
                      <w:szCs w:val="28"/>
                    </w:rPr>
                  </w:pPr>
                  <w:r>
                    <w:rPr>
                      <w:rFonts w:ascii="STKaiti" w:eastAsia="STKaiti" w:hAnsi="STKaiti" w:cs="STKaiti"/>
                      <w:strike/>
                      <w:color w:val="FFFFFF"/>
                      <w:sz w:val="28"/>
                      <w:szCs w:val="28"/>
                    </w:rPr>
                    <w:tab/>
                  </w:r>
                  <w:r>
                    <w:rPr>
                      <w:rFonts w:ascii="STKaiti" w:eastAsia="STKaiti" w:hAnsi="STKaiti" w:cs="STKaiti"/>
                      <w:color w:val="FFFFFF"/>
                      <w:spacing w:val="7"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Fonts w:ascii="STKaiti" w:eastAsia="STKaiti" w:hAnsi="STKaiti" w:cs="STKaiti"/>
                      <w:color w:val="FFFFFF"/>
                      <w:spacing w:val="-9"/>
                      <w:sz w:val="28"/>
                      <w:szCs w:val="28"/>
                      <w14:textOutline w14:w="509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空间站</w:t>
                  </w:r>
                </w:p>
              </w:txbxContent>
            </v:textbox>
          </v:shape>
        </w:pict>
      </w:r>
      <w:r>
        <w:pict>
          <v:shape id="_x0000_s1065" type="#_x0000_t202" style="width:204.15pt;height:53.65pt;margin-top:444.42pt;margin-left:452.22pt;mso-position-horizontal-relative:page;mso-position-vertical-relative:page;position:absolute;z-index:25167257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4027" w:type="dxa"/>
                    <w:tblInd w:w="27" w:type="dxa"/>
                    <w:tblBorders>
                      <w:top w:val="dashed" w:sz="6" w:space="0" w:color="000000"/>
                      <w:left w:val="dashed" w:sz="6" w:space="0" w:color="000000"/>
                      <w:bottom w:val="dashed" w:sz="6" w:space="0" w:color="000000"/>
                      <w:right w:val="dashed" w:sz="6" w:space="0" w:color="000000"/>
                    </w:tblBorders>
                    <w:tblLayout w:type="fixed"/>
                  </w:tblPr>
                  <w:tblGrid>
                    <w:gridCol w:w="4027"/>
                  </w:tblGrid>
                  <w:tr>
                    <w:tblPrEx>
                      <w:tblW w:w="4027" w:type="dxa"/>
                      <w:tblInd w:w="27" w:type="dxa"/>
                      <w:tblBorders>
                        <w:top w:val="dashed" w:sz="6" w:space="0" w:color="000000"/>
                        <w:left w:val="dashed" w:sz="6" w:space="0" w:color="000000"/>
                        <w:bottom w:val="dashed" w:sz="6" w:space="0" w:color="000000"/>
                        <w:right w:val="dashed" w:sz="6" w:space="0" w:color="000000"/>
                      </w:tblBorders>
                      <w:tblLayout w:type="fixed"/>
                    </w:tblPrEx>
                    <w:trPr>
                      <w:trHeight w:val="1002"/>
                    </w:trPr>
                    <w:tc>
                      <w:tcPr>
                        <w:tcW w:w="4027" w:type="dxa"/>
                        <w:vAlign w:val="top"/>
                      </w:tcPr>
                      <w:p>
                        <w:pPr>
                          <w:spacing w:before="97" w:line="203" w:lineRule="auto"/>
                          <w:ind w:left="165" w:right="274"/>
                          <w:jc w:val="both"/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</w:pP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帮助人类研究太阳系以及宇宙的起</w:t>
                        </w:r>
                        <w:r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2"/>
                            <w:sz w:val="24"/>
                            <w:szCs w:val="24"/>
                          </w:rPr>
                          <w:t>源、演变与现状，如行星探测、太</w:t>
                        </w:r>
                        <w:r>
                          <w:rPr>
                            <w:rFonts w:ascii="STKaiti" w:eastAsia="STKaiti" w:hAnsi="STKaiti" w:cs="STKaiti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STKaiti" w:eastAsia="STKaiti" w:hAnsi="STKaiti" w:cs="STKaiti"/>
                            <w:spacing w:val="-7"/>
                            <w:sz w:val="24"/>
                            <w:szCs w:val="24"/>
                          </w:rPr>
                          <w:t>空采矿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66" type="#_x0000_t202" style="width:95.55pt;height:20.2pt;margin-top:463.57pt;margin-left:169.54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tabs>
                      <w:tab w:val="left" w:pos="350"/>
                    </w:tabs>
                    <w:spacing w:before="19" w:line="214" w:lineRule="auto"/>
                    <w:ind w:left="20"/>
                    <w:rPr>
                      <w:rFonts w:ascii="STKaiti" w:eastAsia="STKaiti" w:hAnsi="STKaiti" w:cs="STKaiti"/>
                      <w:sz w:val="28"/>
                      <w:szCs w:val="28"/>
                    </w:rPr>
                  </w:pPr>
                  <w:r>
                    <w:rPr>
                      <w:rFonts w:ascii="STKaiti" w:eastAsia="STKaiti" w:hAnsi="STKaiti" w:cs="STKaiti"/>
                      <w:strike/>
                      <w:color w:val="FFFFFF"/>
                      <w:sz w:val="28"/>
                      <w:szCs w:val="28"/>
                    </w:rPr>
                    <w:tab/>
                  </w:r>
                  <w:r>
                    <w:rPr>
                      <w:rFonts w:ascii="STKaiti" w:eastAsia="STKaiti" w:hAnsi="STKaiti" w:cs="STKaiti"/>
                      <w:color w:val="FFFFFF"/>
                      <w:spacing w:val="3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STKaiti" w:eastAsia="STKaiti" w:hAnsi="STKaiti" w:cs="STKaiti"/>
                      <w:color w:val="FFFFFF"/>
                      <w:spacing w:val="-6"/>
                      <w:sz w:val="28"/>
                      <w:szCs w:val="28"/>
                      <w14:textOutline w14:w="5094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深空探测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4194048</wp:posOffset>
            </wp:positionH>
            <wp:positionV relativeFrom="page">
              <wp:posOffset>4913376</wp:posOffset>
            </wp:positionV>
            <wp:extent cx="1186929" cy="65379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6929" cy="653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4194048</wp:posOffset>
            </wp:positionH>
            <wp:positionV relativeFrom="page">
              <wp:posOffset>5660135</wp:posOffset>
            </wp:positionV>
            <wp:extent cx="1187196" cy="649223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7196" cy="649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Kaiti" w:eastAsia="STKaiti" w:hAnsi="STKaiti" w:cs="STKaiti"/>
          <w:color w:val="262626"/>
          <w:spacing w:val="-2"/>
          <w:sz w:val="48"/>
          <w:szCs w:val="48"/>
          <w14:textOutline w14:w="8708">
            <w14:solidFill>
              <w14:srgbClr w14:val="262626"/>
            </w14:solidFill>
            <w14:prstDash w14:val="solid"/>
            <w14:miter w14:lim="10"/>
          </w14:textOutline>
        </w:rPr>
        <w:t>1、行业概述——</w:t>
      </w:r>
      <w:r>
        <w:rPr>
          <w:rFonts w:ascii="STKaiti" w:eastAsia="STKaiti" w:hAnsi="STKaiti" w:cs="STKaiti"/>
          <w:color w:val="2857EC"/>
          <w:spacing w:val="-2"/>
          <w:sz w:val="48"/>
          <w:szCs w:val="48"/>
          <w14:textOutline w14:w="8708">
            <w14:solidFill>
              <w14:srgbClr w14:val="2857EC"/>
            </w14:solidFill>
            <w14:prstDash w14:val="solid"/>
            <w14:miter w14:lim="10"/>
          </w14:textOutline>
        </w:rPr>
        <w:t>行业定义</w:t>
      </w:r>
    </w:p>
    <w:p>
      <w:pPr>
        <w:spacing w:before="227" w:line="25" w:lineRule="exact"/>
      </w:pPr>
      <w:r>
        <w:pict>
          <v:shape id="_x0000_i1067" style="width:923.05pt;height:1.25pt;mso-position-horizontal-relative:char;mso-position-vertical-relative:line" coordorigin="0,0" coordsize="18460,25" path="m12,12l18448,12e" filled="f" strokecolor="#2857ec" strokeweight="1.25pt">
            <v:stroke joinstyle="miter" endcap="square"/>
            <w10:wrap type="none"/>
          </v:shape>
        </w:pic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before="102" w:line="202" w:lineRule="auto"/>
        <w:ind w:left="711" w:right="966" w:hanging="459"/>
        <w:rPr>
          <w:rFonts w:ascii="STKaiti" w:eastAsia="STKaiti" w:hAnsi="STKaiti" w:cs="STKaiti"/>
          <w:sz w:val="28"/>
          <w:szCs w:val="28"/>
        </w:rPr>
      </w:pPr>
      <w:r>
        <w:rPr>
          <w:sz w:val="28"/>
          <w:szCs w:val="28"/>
        </w:rPr>
        <w:t xml:space="preserve">•     </w:t>
      </w:r>
      <w:r>
        <w:rPr>
          <w:rFonts w:ascii="STKaiti" w:eastAsia="STKaiti" w:hAnsi="STKaiti" w:cs="STKaiti"/>
          <w:sz w:val="28"/>
          <w:szCs w:val="28"/>
        </w:rPr>
        <w:t>商业航天是指按照市场规则配</w:t>
      </w:r>
      <w:r>
        <w:rPr>
          <w:rFonts w:ascii="STKaiti" w:eastAsia="STKaiti" w:hAnsi="STKaiti" w:cs="STKaiti"/>
          <w:spacing w:val="-1"/>
          <w:sz w:val="28"/>
          <w:szCs w:val="28"/>
        </w:rPr>
        <w:t>合技术、资金、人才等资源要素，采用市场化机制以获取商业利润为首要目标而开展的航天活动。主要包括</w:t>
      </w:r>
      <w:r>
        <w:rPr>
          <w:rFonts w:ascii="STKaiti" w:eastAsia="STKaiti" w:hAnsi="STKaiti" w:cs="STKaiti"/>
          <w:sz w:val="28"/>
          <w:szCs w:val="28"/>
        </w:rPr>
        <w:t xml:space="preserve"> </w:t>
      </w:r>
      <w:r>
        <w:rPr>
          <w:rFonts w:ascii="STKaiti" w:eastAsia="STKaiti" w:hAnsi="STKaiti" w:cs="STKaiti"/>
          <w:sz w:val="28"/>
          <w:szCs w:val="28"/>
        </w:rPr>
        <w:t>运载火箭、人造卫星、载人航天、深空探测及空间站等方向，在国家相关政策放开、资本与技</w:t>
      </w:r>
      <w:r>
        <w:rPr>
          <w:rFonts w:ascii="STKaiti" w:eastAsia="STKaiti" w:hAnsi="STKaiti" w:cs="STKaiti"/>
          <w:spacing w:val="-1"/>
          <w:sz w:val="28"/>
          <w:szCs w:val="28"/>
        </w:rPr>
        <w:t>术的共同驱动下，中国商业航天迎来强劲的</w:t>
      </w:r>
      <w:r>
        <w:rPr>
          <w:rFonts w:ascii="STKaiti" w:eastAsia="STKaiti" w:hAnsi="STKaiti" w:cs="STKaiti"/>
          <w:sz w:val="28"/>
          <w:szCs w:val="28"/>
        </w:rPr>
        <w:t xml:space="preserve"> </w:t>
      </w:r>
      <w:r>
        <w:rPr>
          <w:rFonts w:ascii="STKaiti" w:eastAsia="STKaiti" w:hAnsi="STKaiti" w:cs="STKaiti"/>
          <w:spacing w:val="-10"/>
          <w:sz w:val="28"/>
          <w:szCs w:val="28"/>
        </w:rPr>
        <w:t>发展势头。</w:t>
      </w:r>
    </w:p>
    <w:p>
      <w:pPr>
        <w:pStyle w:val="BodyText"/>
        <w:spacing w:before="96" w:line="202" w:lineRule="auto"/>
        <w:ind w:left="718" w:right="966" w:hanging="466"/>
        <w:rPr>
          <w:rFonts w:ascii="STKaiti" w:eastAsia="STKaiti" w:hAnsi="STKaiti" w:cs="STKaiti"/>
          <w:sz w:val="28"/>
          <w:szCs w:val="28"/>
        </w:rPr>
      </w:pPr>
      <w:r>
        <w:rPr>
          <w:spacing w:val="-1"/>
          <w:sz w:val="28"/>
          <w:szCs w:val="28"/>
        </w:rPr>
        <w:t xml:space="preserve">•     </w:t>
      </w:r>
      <w:r>
        <w:rPr>
          <w:rFonts w:ascii="STKaiti" w:eastAsia="STKaiti" w:hAnsi="STKaiti" w:cs="STKaiti"/>
          <w:spacing w:val="-1"/>
          <w:sz w:val="28"/>
          <w:szCs w:val="28"/>
        </w:rPr>
        <w:t>商业航天产业可分为五大方向（如下图</w:t>
      </w:r>
      <w:r>
        <w:rPr>
          <w:rFonts w:ascii="STKaiti" w:eastAsia="STKaiti" w:hAnsi="STKaiti" w:cs="STKaiti"/>
          <w:spacing w:val="9"/>
          <w:sz w:val="28"/>
          <w:szCs w:val="28"/>
        </w:rPr>
        <w:t>），</w:t>
      </w:r>
      <w:r>
        <w:rPr>
          <w:rFonts w:ascii="STKaiti" w:eastAsia="STKaiti" w:hAnsi="STKaiti" w:cs="STKaiti"/>
          <w:spacing w:val="-1"/>
          <w:sz w:val="28"/>
          <w:szCs w:val="28"/>
        </w:rPr>
        <w:t>人造卫星的商业价值高，应用领域广，市场已有一定成熟度。运载火箭作为运输载体，搭载航</w:t>
      </w:r>
      <w:r>
        <w:rPr>
          <w:rFonts w:ascii="STKaiti" w:eastAsia="STKaiti" w:hAnsi="STKaiti" w:cs="STKaiti"/>
          <w:sz w:val="28"/>
          <w:szCs w:val="28"/>
        </w:rPr>
        <w:t xml:space="preserve"> </w:t>
      </w:r>
      <w:r>
        <w:rPr>
          <w:rFonts w:ascii="STKaiti" w:eastAsia="STKaiti" w:hAnsi="STKaiti" w:cs="STKaiti"/>
          <w:spacing w:val="-3"/>
          <w:sz w:val="28"/>
          <w:szCs w:val="28"/>
        </w:rPr>
        <w:t>天器入轨，有一定成熟度。空间站和深空探测，由于需要大量资金投入和技术限制，目前还是由政府主导，</w:t>
      </w:r>
      <w:r>
        <w:rPr>
          <w:rFonts w:ascii="STKaiti" w:eastAsia="STKaiti" w:hAnsi="STKaiti" w:cs="STKaiti"/>
          <w:spacing w:val="77"/>
          <w:sz w:val="28"/>
          <w:szCs w:val="28"/>
        </w:rPr>
        <w:t xml:space="preserve"> </w:t>
      </w:r>
      <w:r>
        <w:rPr>
          <w:rFonts w:ascii="STKaiti" w:eastAsia="STKaiti" w:hAnsi="STKaiti" w:cs="STKaiti"/>
          <w:spacing w:val="-3"/>
          <w:sz w:val="28"/>
          <w:szCs w:val="28"/>
        </w:rPr>
        <w:t>在商业领域暂无应用。</w:t>
      </w:r>
    </w:p>
    <w:p>
      <w:pPr>
        <w:spacing w:before="10"/>
      </w:pPr>
    </w:p>
    <w:tbl>
      <w:tblPr>
        <w:tblStyle w:val="TableNormal1"/>
        <w:tblW w:w="3379" w:type="dxa"/>
        <w:tblInd w:w="13778" w:type="dxa"/>
        <w:tblBorders>
          <w:top w:val="dashed" w:sz="8" w:space="0" w:color="2857EC"/>
          <w:left w:val="dashed" w:sz="8" w:space="0" w:color="2857EC"/>
          <w:bottom w:val="dashed" w:sz="8" w:space="0" w:color="2857EC"/>
          <w:right w:val="dashed" w:sz="8" w:space="0" w:color="2857EC"/>
        </w:tblBorders>
        <w:tblLayout w:type="fixed"/>
      </w:tblPr>
      <w:tblGrid>
        <w:gridCol w:w="3379"/>
      </w:tblGrid>
      <w:tr>
        <w:tblPrEx>
          <w:tblW w:w="3379" w:type="dxa"/>
          <w:tblInd w:w="13778" w:type="dxa"/>
          <w:tblBorders>
            <w:top w:val="dashed" w:sz="8" w:space="0" w:color="2857EC"/>
            <w:left w:val="dashed" w:sz="8" w:space="0" w:color="2857EC"/>
            <w:bottom w:val="dashed" w:sz="8" w:space="0" w:color="2857EC"/>
            <w:right w:val="dashed" w:sz="8" w:space="0" w:color="2857EC"/>
          </w:tblBorders>
          <w:tblLayout w:type="fixed"/>
        </w:tblPrEx>
        <w:trPr>
          <w:trHeight w:val="3169"/>
        </w:trPr>
        <w:tc>
          <w:tcPr>
            <w:tcW w:w="3379" w:type="dxa"/>
            <w:vAlign w:val="top"/>
          </w:tcPr>
          <w:p>
            <w:pPr>
              <w:pStyle w:val="TableText"/>
              <w:spacing w:line="250" w:lineRule="auto"/>
            </w:pPr>
          </w:p>
          <w:p>
            <w:pPr>
              <w:pStyle w:val="TableText"/>
              <w:spacing w:line="250" w:lineRule="auto"/>
            </w:pPr>
          </w:p>
          <w:p>
            <w:pPr>
              <w:pStyle w:val="TableText"/>
              <w:spacing w:line="251" w:lineRule="auto"/>
            </w:pPr>
          </w:p>
          <w:p>
            <w:pPr>
              <w:pStyle w:val="TableText"/>
              <w:spacing w:line="251" w:lineRule="auto"/>
            </w:pPr>
          </w:p>
          <w:p>
            <w:pPr>
              <w:pStyle w:val="TableText"/>
              <w:spacing w:before="102" w:line="198" w:lineRule="auto"/>
              <w:ind w:left="323"/>
              <w:rPr>
                <w:rFonts w:ascii="STKaiti" w:eastAsia="STKaiti" w:hAnsi="STKaiti" w:cs="STKaiti"/>
                <w:sz w:val="28"/>
                <w:szCs w:val="28"/>
              </w:rPr>
            </w:pPr>
            <w:r>
              <w:rPr>
                <w:spacing w:val="-14"/>
                <w:sz w:val="28"/>
                <w:szCs w:val="28"/>
              </w:rPr>
              <w:t xml:space="preserve">•     </w:t>
            </w:r>
            <w:r>
              <w:rPr>
                <w:rFonts w:ascii="STKaiti" w:eastAsia="STKaiti" w:hAnsi="STKaiti" w:cs="STKaiti"/>
                <w:spacing w:val="-14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核心技术：</w:t>
            </w:r>
            <w:r>
              <w:rPr>
                <w:rFonts w:ascii="STKaiti" w:eastAsia="STKaiti" w:hAnsi="STKaiti" w:cs="STKaiti"/>
                <w:spacing w:val="10"/>
                <w:sz w:val="28"/>
                <w:szCs w:val="28"/>
              </w:rPr>
              <w:t xml:space="preserve">  </w:t>
            </w:r>
            <w:r>
              <w:rPr>
                <w:rFonts w:ascii="STKaiti" w:eastAsia="STKaiti" w:hAnsi="STKaiti" w:cs="STKaiti"/>
                <w:spacing w:val="-14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较成熟</w:t>
            </w:r>
          </w:p>
          <w:p>
            <w:pPr>
              <w:pStyle w:val="TableText"/>
              <w:spacing w:before="1" w:line="201" w:lineRule="auto"/>
              <w:ind w:left="783" w:right="350" w:hanging="460"/>
              <w:rPr>
                <w:rFonts w:ascii="STKaiti" w:eastAsia="STKaiti" w:hAnsi="STKaiti" w:cs="STKaiti"/>
                <w:sz w:val="28"/>
                <w:szCs w:val="28"/>
              </w:rPr>
            </w:pPr>
            <w:r>
              <w:rPr>
                <w:spacing w:val="-17"/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rFonts w:ascii="STKaiti" w:eastAsia="STKaiti" w:hAnsi="STKaiti" w:cs="STKaiti"/>
                <w:spacing w:val="-17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商业价值：</w:t>
            </w:r>
            <w:r>
              <w:rPr>
                <w:rFonts w:ascii="STKaiti" w:eastAsia="STKaiti" w:hAnsi="STKaiti" w:cs="STKaiti"/>
                <w:spacing w:val="-17"/>
                <w:sz w:val="28"/>
                <w:szCs w:val="28"/>
              </w:rPr>
              <w:t xml:space="preserve">  </w:t>
            </w:r>
            <w:r>
              <w:rPr>
                <w:rFonts w:ascii="STKaiti" w:eastAsia="STKaiti" w:hAnsi="STKaiti" w:cs="STKaiti"/>
                <w:spacing w:val="-17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应用领</w:t>
            </w:r>
            <w:r>
              <w:rPr>
                <w:rFonts w:ascii="STKaiti" w:eastAsia="STKaiti" w:hAnsi="STKaiti" w:cs="STKaiti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STKaiti" w:eastAsia="STKaiti" w:hAnsi="STKaiti" w:cs="STKaiti"/>
                <w:spacing w:val="-2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域广，商业价值高</w:t>
            </w:r>
          </w:p>
        </w:tc>
      </w:tr>
      <w:tr>
        <w:tblPrEx>
          <w:tblW w:w="3379" w:type="dxa"/>
          <w:tblInd w:w="13778" w:type="dxa"/>
          <w:tblLayout w:type="fixed"/>
        </w:tblPrEx>
        <w:trPr>
          <w:trHeight w:val="2135"/>
        </w:trPr>
        <w:tc>
          <w:tcPr>
            <w:tcW w:w="3379" w:type="dxa"/>
            <w:vAlign w:val="top"/>
          </w:tcPr>
          <w:p>
            <w:pPr>
              <w:pStyle w:val="TableText"/>
              <w:spacing w:line="346" w:lineRule="auto"/>
            </w:pPr>
          </w:p>
          <w:p>
            <w:pPr>
              <w:pStyle w:val="TableText"/>
              <w:spacing w:before="101" w:line="198" w:lineRule="auto"/>
              <w:ind w:left="801" w:right="349" w:hanging="478"/>
              <w:rPr>
                <w:rFonts w:ascii="STKaiti" w:eastAsia="STKaiti" w:hAnsi="STKaiti" w:cs="STKaiti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•</w:t>
            </w:r>
            <w:r>
              <w:rPr>
                <w:spacing w:val="15"/>
                <w:sz w:val="28"/>
                <w:szCs w:val="28"/>
              </w:rPr>
              <w:t xml:space="preserve">    </w:t>
            </w:r>
            <w:r>
              <w:rPr>
                <w:rFonts w:ascii="STKaiti" w:eastAsia="STKaiti" w:hAnsi="STKaiti" w:cs="STKaiti"/>
                <w:spacing w:val="-8"/>
                <w:sz w:val="28"/>
                <w:szCs w:val="28"/>
                <w14:textOutline w14:w="5103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核心技术：</w:t>
            </w:r>
            <w:r>
              <w:rPr>
                <w:rFonts w:ascii="STKaiti" w:eastAsia="STKaiti" w:hAnsi="STKaiti" w:cs="STKaiti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STKaiti" w:eastAsia="STKaiti" w:hAnsi="STKaiti" w:cs="STKaiti"/>
                <w:spacing w:val="-8"/>
                <w:sz w:val="28"/>
                <w:szCs w:val="28"/>
                <w14:textOutline w14:w="5103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尚未成</w:t>
            </w:r>
            <w:r>
              <w:rPr>
                <w:rFonts w:ascii="STKaiti" w:eastAsia="STKaiti" w:hAnsi="STKaiti" w:cs="STKaiti"/>
                <w:sz w:val="28"/>
                <w:szCs w:val="28"/>
              </w:rPr>
              <w:t xml:space="preserve"> </w:t>
            </w:r>
            <w:r>
              <w:rPr>
                <w:rFonts w:ascii="STKaiti" w:eastAsia="STKaiti" w:hAnsi="STKaiti" w:cs="STKaiti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熟</w:t>
            </w:r>
          </w:p>
          <w:p>
            <w:pPr>
              <w:pStyle w:val="TableText"/>
              <w:spacing w:line="204" w:lineRule="auto"/>
              <w:ind w:left="785" w:right="350" w:hanging="462"/>
              <w:rPr>
                <w:rFonts w:ascii="STKaiti" w:eastAsia="STKaiti" w:hAnsi="STKaiti" w:cs="STKaiti"/>
                <w:sz w:val="28"/>
                <w:szCs w:val="28"/>
              </w:rPr>
            </w:pPr>
            <w:r>
              <w:rPr>
                <w:spacing w:val="-24"/>
                <w:sz w:val="28"/>
                <w:szCs w:val="28"/>
              </w:rPr>
              <w:t>•</w:t>
            </w:r>
            <w:r>
              <w:rPr>
                <w:spacing w:val="1"/>
                <w:sz w:val="28"/>
                <w:szCs w:val="28"/>
              </w:rPr>
              <w:t xml:space="preserve">     </w:t>
            </w:r>
            <w:r>
              <w:rPr>
                <w:rFonts w:ascii="STKaiti" w:eastAsia="STKaiti" w:hAnsi="STKaiti" w:cs="STKaiti"/>
                <w:spacing w:val="-24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商业价值：</w:t>
            </w:r>
            <w:r>
              <w:rPr>
                <w:rFonts w:ascii="STKaiti" w:eastAsia="STKaiti" w:hAnsi="STKaiti" w:cs="STKaiti"/>
                <w:spacing w:val="13"/>
                <w:sz w:val="28"/>
                <w:szCs w:val="28"/>
              </w:rPr>
              <w:t xml:space="preserve">  </w:t>
            </w:r>
            <w:r>
              <w:rPr>
                <w:rFonts w:ascii="STKaiti" w:eastAsia="STKaiti" w:hAnsi="STKaiti" w:cs="STKaiti"/>
                <w:spacing w:val="-24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未来商</w:t>
            </w:r>
            <w:r>
              <w:rPr>
                <w:rFonts w:ascii="STKaiti" w:eastAsia="STKaiti" w:hAnsi="STKaiti" w:cs="STKaiti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STKaiti" w:eastAsia="STKaiti" w:hAnsi="STKaiti" w:cs="STKaiti"/>
                <w:spacing w:val="-4"/>
                <w:sz w:val="28"/>
                <w:szCs w:val="28"/>
                <w14:textOutline w14:w="5094" w14:cap="sq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业前景广阔</w:t>
            </w:r>
          </w:p>
        </w:tc>
      </w:tr>
    </w:tbl>
    <w:p>
      <w:pPr>
        <w:sectPr>
          <w:headerReference w:type="default" r:id="rId17"/>
          <w:pgSz w:w="19200" w:h="10800"/>
          <w:pgMar w:top="400" w:right="19" w:bottom="0" w:left="719" w:header="0" w:footer="0" w:gutter="0"/>
          <w:pgNumType w:start="4"/>
          <w:cols w:space="708"/>
        </w:sectPr>
      </w:pPr>
    </w:p>
    <w:p>
      <w:pPr>
        <w:pStyle w:val="BodyText"/>
      </w:pPr>
    </w:p>
    <w:p>
      <w:pPr>
        <w:sectPr>
          <w:headerReference w:type="default" r:id="rId18"/>
          <w:type w:val="nextPage"/>
          <w:pgSz w:w="19200" w:h="10800"/>
          <w:pgMar w:top="400" w:right="19" w:bottom="0" w:left="719" w:header="0" w:footer="0" w:gutter="0"/>
          <w:pgNumType w:start="5"/>
          <w:cols w:space="708"/>
          <w:titlePg w:val="0"/>
        </w:sectPr>
      </w:pPr>
    </w:p>
    <w:p>
      <w:pPr>
        <w:spacing w:before="336" w:line="211" w:lineRule="auto"/>
        <w:ind w:left="49"/>
        <w:rPr>
          <w:rFonts w:ascii="STKaiti" w:eastAsia="STKaiti" w:hAnsi="STKaiti" w:cs="STKaiti"/>
          <w:sz w:val="48"/>
          <w:szCs w:val="48"/>
        </w:rPr>
      </w:pPr>
      <w: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10057114</wp:posOffset>
            </wp:positionH>
            <wp:positionV relativeFrom="page">
              <wp:posOffset>291465</wp:posOffset>
            </wp:positionV>
            <wp:extent cx="1530436" cy="448709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436" cy="448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Kaiti" w:eastAsia="STKaiti" w:hAnsi="STKaiti" w:cs="STKaiti"/>
          <w:color w:val="262626"/>
          <w:spacing w:val="-4"/>
          <w:sz w:val="48"/>
          <w:szCs w:val="48"/>
          <w14:textOutline w14:w="8708" w14:cap="sq">
            <w14:solidFill>
              <w14:srgbClr w14:val="262626"/>
            </w14:solidFill>
            <w14:prstDash w14:val="solid"/>
            <w14:miter w14:lim="10"/>
          </w14:textOutline>
        </w:rPr>
        <w:t>1、行业概述——</w:t>
      </w:r>
      <w:r>
        <w:rPr>
          <w:rFonts w:ascii="STKaiti" w:eastAsia="STKaiti" w:hAnsi="STKaiti" w:cs="STKaiti"/>
          <w:color w:val="262626"/>
          <w:spacing w:val="-77"/>
          <w:sz w:val="48"/>
          <w:szCs w:val="48"/>
        </w:rPr>
        <w:t xml:space="preserve"> </w:t>
      </w:r>
      <w:r>
        <w:rPr>
          <w:rFonts w:ascii="STKaiti" w:eastAsia="STKaiti" w:hAnsi="STKaiti" w:cs="STKaiti"/>
          <w:color w:val="2857EC"/>
          <w:spacing w:val="-4"/>
          <w:sz w:val="48"/>
          <w:szCs w:val="48"/>
          <w14:textOutline w14:w="8708" w14:cap="sq">
            <w14:solidFill>
              <w14:srgbClr w14:val="2857EC"/>
            </w14:solidFill>
            <w14:prstDash w14:val="solid"/>
            <w14:miter w14:lim="10"/>
          </w14:textOutline>
        </w:rPr>
        <w:t>发展历程及驱动因素</w:t>
      </w:r>
    </w:p>
    <w:p>
      <w:pPr>
        <w:spacing w:before="230" w:line="25" w:lineRule="exact"/>
      </w:pPr>
      <w:r>
        <w:pict>
          <v:shape id="_x0000_i1068" style="width:923.05pt;height:1.25pt;mso-position-horizontal-relative:char;mso-position-vertical-relative:line" coordorigin="0,0" coordsize="18460,25" path="m12,12l18448,12e" filled="f" strokecolor="#2857ec" strokeweight="1.25pt">
            <v:stroke joinstyle="miter" endcap="square"/>
            <w10:wrap type="none"/>
          </v:shape>
        </w:pict>
      </w:r>
    </w:p>
    <w:p>
      <w:pPr>
        <w:pStyle w:val="BodyText"/>
        <w:spacing w:line="468" w:lineRule="auto"/>
      </w:pPr>
    </w:p>
    <w:p>
      <w:pPr>
        <w:pStyle w:val="BodyText"/>
        <w:spacing w:before="102" w:line="207" w:lineRule="auto"/>
        <w:ind w:left="252"/>
        <w:rPr>
          <w:rFonts w:ascii="STKaiti" w:eastAsia="STKaiti" w:hAnsi="STKaiti" w:cs="STKaiti"/>
          <w:sz w:val="28"/>
          <w:szCs w:val="28"/>
        </w:rPr>
      </w:pPr>
      <w:r>
        <w:rPr>
          <w:spacing w:val="-1"/>
          <w:sz w:val="28"/>
          <w:szCs w:val="28"/>
        </w:rPr>
        <w:t xml:space="preserve">•    </w:t>
      </w:r>
      <w:r>
        <w:rPr>
          <w:rFonts w:ascii="STKaiti" w:eastAsia="STKaiti" w:hAnsi="STKaiti" w:cs="STKaiti"/>
          <w:spacing w:val="-1"/>
          <w:sz w:val="28"/>
          <w:szCs w:val="28"/>
        </w:rPr>
        <w:t>2015年被称为“中国商业航天元年”，中国的航</w:t>
      </w:r>
      <w:r>
        <w:rPr>
          <w:rFonts w:ascii="STKaiti" w:eastAsia="STKaiti" w:hAnsi="STKaiti" w:cs="STKaiti"/>
          <w:spacing w:val="-2"/>
          <w:sz w:val="28"/>
          <w:szCs w:val="28"/>
        </w:rPr>
        <w:t>天工业在国家主导下发展了60余年后，  首次打开了面向民营资本的大门</w:t>
      </w:r>
    </w:p>
    <w:p>
      <w:pPr>
        <w:pStyle w:val="BodyText"/>
        <w:spacing w:before="106" w:line="202" w:lineRule="auto"/>
        <w:ind w:left="727" w:right="967" w:hanging="475"/>
        <w:rPr>
          <w:rFonts w:ascii="STKaiti" w:eastAsia="STKaiti" w:hAnsi="STKaiti" w:cs="STKaiti"/>
          <w:sz w:val="28"/>
          <w:szCs w:val="28"/>
        </w:rPr>
      </w:pPr>
      <w:r>
        <w:rPr>
          <w:sz w:val="28"/>
          <w:szCs w:val="28"/>
        </w:rPr>
        <w:t xml:space="preserve">•     </w:t>
      </w:r>
      <w:r>
        <w:rPr>
          <w:rFonts w:ascii="STKaiti" w:eastAsia="STKaiti" w:hAnsi="STKaiti" w:cs="STKaiti"/>
          <w:sz w:val="28"/>
          <w:szCs w:val="28"/>
        </w:rPr>
        <w:t>商业航天经历了由政府主导向</w:t>
      </w:r>
      <w:r>
        <w:rPr>
          <w:rFonts w:ascii="STKaiti" w:eastAsia="STKaiti" w:hAnsi="STKaiti" w:cs="STKaiti"/>
          <w:spacing w:val="-1"/>
          <w:sz w:val="28"/>
          <w:szCs w:val="28"/>
        </w:rPr>
        <w:t>商业化转变的历程，短短五年就形成了初具雏形的产业体系，在各个细分领域里都有民间企业进入，在政策</w:t>
      </w:r>
      <w:r>
        <w:rPr>
          <w:rFonts w:ascii="STKaiti" w:eastAsia="STKaiti" w:hAnsi="STKaiti" w:cs="STKaiti"/>
          <w:sz w:val="28"/>
          <w:szCs w:val="28"/>
        </w:rPr>
        <w:t xml:space="preserve"> </w:t>
      </w:r>
      <w:r>
        <w:rPr>
          <w:rFonts w:ascii="STKaiti" w:eastAsia="STKaiti" w:hAnsi="STKaiti" w:cs="STKaiti"/>
          <w:spacing w:val="-1"/>
          <w:sz w:val="28"/>
          <w:szCs w:val="28"/>
        </w:rPr>
        <w:t>的宏观加持和资本的助推下，基本形成了国营为主、民营补充的完整产业链</w:t>
      </w:r>
    </w:p>
    <w:p>
      <w:pPr>
        <w:spacing w:before="37"/>
      </w:pPr>
    </w:p>
    <w:p>
      <w:pPr>
        <w:spacing w:before="37"/>
      </w:pPr>
    </w:p>
    <w:p>
      <w:pPr>
        <w:sectPr>
          <w:headerReference w:type="default" r:id="rId19"/>
          <w:pgSz w:w="19200" w:h="10800"/>
          <w:pgMar w:top="400" w:right="19" w:bottom="0" w:left="719" w:header="0" w:footer="0" w:gutter="0"/>
          <w:pgNumType w:start="6"/>
          <w:cols w:num="1" w:space="708" w:equalWidth="0">
            <w:col w:w="18461" w:space="0"/>
          </w:cols>
        </w:sectPr>
      </w:pPr>
    </w:p>
    <w:p>
      <w:pPr>
        <w:spacing w:line="1055" w:lineRule="exact"/>
        <w:ind w:firstLine="120"/>
      </w:pPr>
      <w:r>
        <w:rPr>
          <w:position w:val="-21"/>
        </w:rPr>
        <w:pict>
          <v:group id="_x0000_i1069" style="width:150.25pt;height:52.8pt;mso-position-horizontal-relative:char;mso-position-vertical-relative:line" coordorigin="0,0" coordsize="3005,1055" filled="f" stroked="f">
            <v:shape id="_x0000_s1070" style="width:3005;height:1055;position:absolute" coordorigin="0,0" coordsize="3005,1055" path="m2530,l,l474,527l,1055l2530,1055l3004,527l2530,xe" filled="t" fillcolor="#2857ec" stroked="f"/>
            <v:shape id="_x0000_s1071" type="#_x0000_t202" style="width:3045;height:10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52" w:line="206" w:lineRule="auto"/>
                      <w:ind w:left="1159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1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2015年</w:t>
                    </w:r>
                  </w:p>
                  <w:p>
                    <w:pPr>
                      <w:spacing w:before="6" w:line="211" w:lineRule="auto"/>
                      <w:ind w:left="1313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9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开端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93" w:lineRule="auto"/>
      </w:pPr>
    </w:p>
    <w:p>
      <w:pPr>
        <w:spacing w:before="88" w:line="200" w:lineRule="auto"/>
        <w:ind w:left="137" w:right="661" w:firstLine="2"/>
        <w:jc w:val="both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>“北京二号”是政府核准的</w:t>
      </w:r>
      <w:r>
        <w:rPr>
          <w:rFonts w:ascii="STKaiti" w:eastAsia="STKaiti" w:hAnsi="STKaiti" w:cs="STKaiti"/>
          <w:color w:val="445469"/>
          <w:spacing w:val="2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1"/>
          <w:sz w:val="24"/>
          <w:szCs w:val="24"/>
        </w:rPr>
        <w:t>首个民用商业卫星项目，</w:t>
      </w:r>
      <w:r>
        <w:rPr>
          <w:rFonts w:ascii="STKaiti" w:eastAsia="STKaiti" w:hAnsi="STKaiti" w:cs="STKaiti"/>
          <w:color w:val="445469"/>
          <w:spacing w:val="40"/>
          <w:w w:val="101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1"/>
          <w:sz w:val="24"/>
          <w:szCs w:val="24"/>
        </w:rPr>
        <w:t>标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4"/>
          <w:sz w:val="24"/>
          <w:szCs w:val="24"/>
        </w:rPr>
        <w:t>志着中国商业航天的起步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054" w:lineRule="exact"/>
      </w:pPr>
      <w:r>
        <w:rPr>
          <w:position w:val="-21"/>
        </w:rPr>
        <w:pict>
          <v:group id="_x0000_i1072" style="width:150.25pt;height:52.8pt;mso-position-horizontal-relative:char;mso-position-vertical-relative:line" coordorigin="0,0" coordsize="3005,1055" filled="f" stroked="f">
            <v:shape id="_x0000_s1073" style="width:3005;height:1055;position:absolute" coordorigin="0,0" coordsize="3005,1055" path="m2530,l,l474,527l,1055l2530,1055l3004,527l2530,xe" filled="t" fillcolor="#2857ec" stroked="f"/>
            <v:shape id="_x0000_s1074" type="#_x0000_t202" style="width:3045;height:10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53" w:line="209" w:lineRule="auto"/>
                      <w:ind w:left="855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1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2016-2018年</w:t>
                    </w:r>
                  </w:p>
                  <w:p>
                    <w:pPr>
                      <w:spacing w:line="206" w:lineRule="auto"/>
                      <w:ind w:left="1294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4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部署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96" w:lineRule="auto"/>
      </w:pPr>
    </w:p>
    <w:p>
      <w:pPr>
        <w:pStyle w:val="BodyText"/>
        <w:spacing w:before="87" w:line="200" w:lineRule="auto"/>
        <w:ind w:left="302" w:right="588" w:hanging="264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2"/>
          <w:sz w:val="24"/>
          <w:szCs w:val="24"/>
        </w:rPr>
        <w:t>•</w:t>
      </w:r>
      <w:r>
        <w:rPr>
          <w:color w:val="445469"/>
          <w:spacing w:val="31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 xml:space="preserve">2016年，武汉建设首个商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业航天基地；丽水一号搭</w:t>
      </w:r>
      <w:r>
        <w:rPr>
          <w:rFonts w:ascii="STKaiti" w:eastAsia="STKaiti" w:hAnsi="STKaiti" w:cs="STKaiti"/>
          <w:color w:val="445469"/>
          <w:spacing w:val="4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载长征11号火箭，中国火</w:t>
      </w:r>
      <w:r>
        <w:rPr>
          <w:rFonts w:ascii="STKaiti" w:eastAsia="STKaiti" w:hAnsi="STKaiti" w:cs="STKaiti"/>
          <w:color w:val="445469"/>
          <w:spacing w:val="1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箭首次为民营卫星企业提</w:t>
      </w:r>
      <w:r>
        <w:rPr>
          <w:rFonts w:ascii="STKaiti" w:eastAsia="STKaiti" w:hAnsi="STKaiti" w:cs="STKaiti"/>
          <w:color w:val="445469"/>
          <w:spacing w:val="6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供商业发射任务</w:t>
      </w:r>
    </w:p>
    <w:p>
      <w:pPr>
        <w:pStyle w:val="BodyText"/>
        <w:spacing w:before="43" w:line="201" w:lineRule="auto"/>
        <w:ind w:left="327" w:right="593" w:hanging="289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3"/>
          <w:sz w:val="24"/>
          <w:szCs w:val="24"/>
        </w:rPr>
        <w:t>•</w:t>
      </w:r>
      <w:r>
        <w:rPr>
          <w:color w:val="445469"/>
          <w:spacing w:val="36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 xml:space="preserve">2017年，北斗三代顺利升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>空，标志着我国正式开始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>北斗三代的全面建设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054" w:lineRule="exact"/>
      </w:pPr>
      <w:r>
        <w:rPr>
          <w:position w:val="-21"/>
        </w:rPr>
        <w:pict>
          <v:group id="_x0000_i1075" style="width:150.25pt;height:52.8pt;mso-position-horizontal-relative:char;mso-position-vertical-relative:line" coordorigin="0,0" coordsize="3005,1055" filled="f" stroked="f">
            <v:shape id="_x0000_s1076" style="width:3005;height:1055;position:absolute" coordorigin="0,0" coordsize="3005,1055" path="m2530,l,l474,527l,1055l2530,1055l3004,527l2530,xe" filled="t" fillcolor="#2857ec" stroked="f"/>
            <v:shape id="_x0000_s1077" type="#_x0000_t202" style="width:3045;height:10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53" w:line="209" w:lineRule="auto"/>
                      <w:ind w:left="1288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1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2019年</w:t>
                    </w:r>
                  </w:p>
                  <w:p>
                    <w:pPr>
                      <w:spacing w:line="216" w:lineRule="auto"/>
                      <w:ind w:left="1426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5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拐点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94" w:lineRule="auto"/>
      </w:pPr>
    </w:p>
    <w:p>
      <w:pPr>
        <w:pStyle w:val="BodyText"/>
        <w:spacing w:before="87" w:line="201" w:lineRule="auto"/>
        <w:ind w:left="345" w:right="558" w:hanging="272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2"/>
          <w:sz w:val="24"/>
          <w:szCs w:val="24"/>
        </w:rPr>
        <w:t xml:space="preserve">• 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北斗三号全球系统核心星</w:t>
      </w:r>
      <w:r>
        <w:rPr>
          <w:rFonts w:ascii="STKaiti" w:eastAsia="STKaiti" w:hAnsi="STKaiti" w:cs="STKaiti"/>
          <w:color w:val="445469"/>
          <w:spacing w:val="1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座部署完成，中国商业航</w:t>
      </w:r>
      <w:r>
        <w:rPr>
          <w:rFonts w:ascii="STKaiti" w:eastAsia="STKaiti" w:hAnsi="STKaiti" w:cs="STKaiti"/>
          <w:color w:val="445469"/>
          <w:spacing w:val="5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天进入转折点，商业公司</w:t>
      </w:r>
      <w:r>
        <w:rPr>
          <w:rFonts w:ascii="STKaiti" w:eastAsia="STKaiti" w:hAnsi="STKaiti" w:cs="STKaiti"/>
          <w:color w:val="445469"/>
          <w:spacing w:val="4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开始大规模开展业务</w:t>
      </w:r>
    </w:p>
    <w:p>
      <w:pPr>
        <w:pStyle w:val="BodyText"/>
        <w:spacing w:before="42" w:line="198" w:lineRule="auto"/>
        <w:ind w:left="353" w:right="206" w:hanging="280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5"/>
          <w:sz w:val="24"/>
          <w:szCs w:val="24"/>
        </w:rPr>
        <w:t xml:space="preserve">•   </w:t>
      </w:r>
      <w:r>
        <w:rPr>
          <w:rFonts w:ascii="STKaiti" w:eastAsia="STKaiti" w:hAnsi="STKaiti" w:cs="STKaiti"/>
          <w:color w:val="445469"/>
          <w:spacing w:val="5"/>
          <w:sz w:val="24"/>
          <w:szCs w:val="24"/>
        </w:rPr>
        <w:t>星际荣耀的“双曲线一号”</w:t>
      </w:r>
      <w:r>
        <w:rPr>
          <w:rFonts w:ascii="STKaiti" w:eastAsia="STKaiti" w:hAnsi="STKaiti" w:cs="STKaiti"/>
          <w:color w:val="445469"/>
          <w:spacing w:val="3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4"/>
          <w:sz w:val="24"/>
          <w:szCs w:val="24"/>
        </w:rPr>
        <w:t>遥一运载火箭成功发射，</w:t>
      </w:r>
    </w:p>
    <w:p>
      <w:pPr>
        <w:spacing w:line="205" w:lineRule="auto"/>
        <w:ind w:left="356" w:right="557" w:firstLine="7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color w:val="445469"/>
          <w:spacing w:val="-4"/>
          <w:sz w:val="24"/>
          <w:szCs w:val="24"/>
        </w:rPr>
        <w:t>实现中国民营商业运载火</w:t>
      </w:r>
      <w:r>
        <w:rPr>
          <w:rFonts w:ascii="STKaiti" w:eastAsia="STKaiti" w:hAnsi="STKaiti" w:cs="STKaiti"/>
          <w:color w:val="445469"/>
          <w:spacing w:val="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>箭成功入轨零的突破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054" w:lineRule="exact"/>
      </w:pPr>
      <w:r>
        <w:rPr>
          <w:position w:val="-21"/>
        </w:rPr>
        <w:pict>
          <v:group id="_x0000_i1078" style="width:150.25pt;height:52.8pt;mso-position-horizontal-relative:char;mso-position-vertical-relative:line" coordorigin="0,0" coordsize="3005,1055" filled="f" stroked="f">
            <v:shape id="_x0000_s1079" style="width:3005;height:1055;position:absolute" coordorigin="0,0" coordsize="3005,1055" path="m2530,l,l474,527l,1055l2530,1055l3004,527l2530,xe" filled="t" fillcolor="#2857ec" stroked="f"/>
            <v:shape id="_x0000_s1080" type="#_x0000_t202" style="width:3045;height:10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46" w:line="209" w:lineRule="auto"/>
                      <w:ind w:left="929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1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2020-2021年</w:t>
                    </w:r>
                  </w:p>
                  <w:p>
                    <w:pPr>
                      <w:spacing w:before="1" w:line="215" w:lineRule="auto"/>
                      <w:ind w:left="1365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4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提速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96" w:lineRule="auto"/>
      </w:pPr>
    </w:p>
    <w:p>
      <w:pPr>
        <w:pStyle w:val="BodyText"/>
        <w:spacing w:before="88" w:line="205" w:lineRule="auto"/>
        <w:ind w:left="406" w:right="445" w:hanging="299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2"/>
          <w:sz w:val="24"/>
          <w:szCs w:val="24"/>
        </w:rPr>
        <w:t>•</w:t>
      </w:r>
      <w:r>
        <w:rPr>
          <w:color w:val="445469"/>
          <w:spacing w:val="32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2020年1月银河航天发射中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5"/>
          <w:sz w:val="24"/>
          <w:szCs w:val="24"/>
        </w:rPr>
        <w:t>国首颗5G互联网卫星</w:t>
      </w:r>
    </w:p>
    <w:p>
      <w:pPr>
        <w:pStyle w:val="BodyText"/>
        <w:spacing w:before="33" w:line="200" w:lineRule="auto"/>
        <w:ind w:left="373" w:right="523" w:hanging="266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2"/>
          <w:sz w:val="24"/>
          <w:szCs w:val="24"/>
        </w:rPr>
        <w:t>•</w:t>
      </w:r>
      <w:r>
        <w:rPr>
          <w:color w:val="445469"/>
          <w:spacing w:val="31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2021年9月吉林一号高分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 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02D卫星发射升空，顺利</w:t>
      </w:r>
      <w:r>
        <w:rPr>
          <w:rFonts w:ascii="STKaiti" w:eastAsia="STKaiti" w:hAnsi="STKaiti" w:cs="STKaiti"/>
          <w:color w:val="445469"/>
          <w:spacing w:val="5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进入预定轨道，至此吉林</w:t>
      </w:r>
      <w:r>
        <w:rPr>
          <w:rFonts w:ascii="STKaiti" w:eastAsia="STKaiti" w:hAnsi="STKaiti" w:cs="STKaiti"/>
          <w:color w:val="445469"/>
          <w:spacing w:val="1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一号卫星星座在太空上共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有30颗卫星在轨运行，组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1"/>
          <w:sz w:val="24"/>
          <w:szCs w:val="24"/>
        </w:rPr>
        <w:t>成我国规模最大的商用遥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感卫星天团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054" w:lineRule="exact"/>
      </w:pPr>
      <w:r>
        <w:rPr>
          <w:position w:val="-21"/>
        </w:rPr>
        <w:pict>
          <v:group id="_x0000_i1081" style="width:150.25pt;height:52.8pt;mso-position-horizontal-relative:char;mso-position-vertical-relative:line" coordorigin="0,0" coordsize="3005,1055" filled="f" stroked="f">
            <v:shape id="_x0000_s1082" style="width:3005;height:1055;position:absolute" coordorigin="0,0" coordsize="3005,1055" path="m2530,l,l474,527l,1055l2530,1055l3004,527l2530,xe" filled="t" fillcolor="#2857ec" stroked="f"/>
            <v:shape id="_x0000_s1083" type="#_x0000_t202" style="width:3045;height:1095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243" w:line="209" w:lineRule="auto"/>
                      <w:ind w:left="936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2022年-至今</w:t>
                    </w:r>
                  </w:p>
                  <w:p>
                    <w:pPr>
                      <w:spacing w:before="1" w:line="212" w:lineRule="auto"/>
                      <w:ind w:left="1398"/>
                      <w:rPr>
                        <w:rFonts w:ascii="STKaiti" w:eastAsia="STKaiti" w:hAnsi="STKaiti" w:cs="STKaiti"/>
                        <w:sz w:val="28"/>
                        <w:szCs w:val="28"/>
                      </w:rPr>
                    </w:pPr>
                    <w:r>
                      <w:rPr>
                        <w:rFonts w:ascii="STKaiti" w:eastAsia="STKaiti" w:hAnsi="STKaiti" w:cs="STKaiti"/>
                        <w:color w:val="FFFFFF"/>
                        <w:spacing w:val="-5"/>
                        <w:sz w:val="28"/>
                        <w:szCs w:val="28"/>
                        <w14:textOutline w14:w="5094" w14:cap="sq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进取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97" w:lineRule="auto"/>
      </w:pPr>
    </w:p>
    <w:p>
      <w:pPr>
        <w:pStyle w:val="BodyText"/>
        <w:spacing w:before="87" w:line="202" w:lineRule="auto"/>
        <w:ind w:left="314" w:right="815" w:hanging="280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2"/>
          <w:sz w:val="24"/>
          <w:szCs w:val="24"/>
        </w:rPr>
        <w:t>•</w:t>
      </w:r>
      <w:r>
        <w:rPr>
          <w:color w:val="445469"/>
          <w:spacing w:val="32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2022年6月，吉利时空道宇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 xml:space="preserve">自主研制的“吉利星座01  </w:t>
      </w:r>
      <w:r>
        <w:rPr>
          <w:rFonts w:ascii="STKaiti" w:eastAsia="STKaiti" w:hAnsi="STKaiti" w:cs="STKaiti"/>
          <w:color w:val="445469"/>
          <w:spacing w:val="-15"/>
          <w:sz w:val="24"/>
          <w:szCs w:val="24"/>
        </w:rPr>
        <w:t>组”卫星发射成功，   9颗</w:t>
      </w:r>
      <w:r>
        <w:rPr>
          <w:rFonts w:ascii="STKaiti" w:eastAsia="STKaiti" w:hAnsi="STKaiti" w:cs="STKaiti"/>
          <w:color w:val="445469"/>
          <w:spacing w:val="1"/>
          <w:sz w:val="24"/>
          <w:szCs w:val="24"/>
        </w:rPr>
        <w:t xml:space="preserve">  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卫星顺利进入预定轨道</w:t>
      </w:r>
    </w:p>
    <w:p>
      <w:pPr>
        <w:pStyle w:val="BodyText"/>
        <w:spacing w:before="31" w:line="201" w:lineRule="auto"/>
        <w:ind w:left="315" w:right="858" w:hanging="281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5"/>
          <w:sz w:val="24"/>
          <w:szCs w:val="24"/>
        </w:rPr>
        <w:t>•</w:t>
      </w:r>
      <w:r>
        <w:rPr>
          <w:color w:val="445469"/>
          <w:spacing w:val="33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5"/>
          <w:sz w:val="24"/>
          <w:szCs w:val="24"/>
        </w:rPr>
        <w:t>2022年7月中科院力学所、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5"/>
          <w:sz w:val="24"/>
          <w:szCs w:val="24"/>
        </w:rPr>
        <w:t>中科宇航研制的“力箭</w:t>
      </w:r>
      <w:r>
        <w:rPr>
          <w:rFonts w:ascii="STKaiti" w:eastAsia="STKaiti" w:hAnsi="STKaiti" w:cs="STKaiti"/>
          <w:color w:val="445469"/>
          <w:spacing w:val="-30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5"/>
          <w:sz w:val="24"/>
          <w:szCs w:val="24"/>
        </w:rPr>
        <w:t xml:space="preserve">一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 xml:space="preserve">号”完成首飞，成功成为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 xml:space="preserve">我国当前最大的固体运载 </w:t>
      </w:r>
      <w:r>
        <w:rPr>
          <w:rFonts w:ascii="STKaiti" w:eastAsia="STKaiti" w:hAnsi="STKaiti" w:cs="STKaiti"/>
          <w:color w:val="445469"/>
          <w:spacing w:val="-6"/>
          <w:sz w:val="24"/>
          <w:szCs w:val="24"/>
        </w:rPr>
        <w:t>火箭</w:t>
      </w:r>
    </w:p>
    <w:p>
      <w:pPr>
        <w:pStyle w:val="BodyText"/>
        <w:spacing w:before="42" w:line="203" w:lineRule="auto"/>
        <w:ind w:left="304" w:right="809" w:hanging="270"/>
        <w:rPr>
          <w:rFonts w:ascii="STKaiti" w:eastAsia="STKaiti" w:hAnsi="STKaiti" w:cs="STKaiti"/>
          <w:sz w:val="24"/>
          <w:szCs w:val="24"/>
        </w:rPr>
        <w:sectPr>
          <w:headerReference w:type="default" r:id="rId20"/>
          <w:type w:val="continuous"/>
          <w:pgSz w:w="19200" w:h="10800"/>
          <w:pgMar w:top="400" w:right="19" w:bottom="0" w:left="719" w:header="0" w:footer="0" w:gutter="0"/>
          <w:pgNumType w:start="7"/>
          <w:cols w:num="5" w:space="708" w:equalWidth="0">
            <w:col w:w="3650" w:space="100"/>
            <w:col w:w="3529" w:space="100"/>
            <w:col w:w="3529" w:space="100"/>
            <w:col w:w="3529" w:space="100"/>
            <w:col w:w="3826" w:space="0"/>
          </w:cols>
        </w:sectPr>
      </w:pPr>
      <w:r>
        <w:rPr>
          <w:color w:val="445469"/>
          <w:spacing w:val="-2"/>
          <w:sz w:val="24"/>
          <w:szCs w:val="24"/>
        </w:rPr>
        <w:t>•</w:t>
      </w:r>
      <w:r>
        <w:rPr>
          <w:color w:val="445469"/>
          <w:spacing w:val="34"/>
          <w:w w:val="101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2023年1月，星河动力“谷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 xml:space="preserve">神星一号”遥五运载火箭 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>发射成功</w:t>
      </w:r>
    </w:p>
    <w:p>
      <w:pPr>
        <w:pStyle w:val="BodyText"/>
        <w:spacing w:before="35" w:line="187" w:lineRule="auto"/>
        <w:ind w:left="310" w:right="894" w:hanging="276"/>
        <w:rPr>
          <w:rFonts w:ascii="STKaiti" w:eastAsia="STKaiti" w:hAnsi="STKaiti" w:cs="STKaiti"/>
          <w:sz w:val="24"/>
          <w:szCs w:val="24"/>
        </w:rPr>
      </w:pPr>
      <w:r>
        <w:rPr>
          <w:color w:val="445469"/>
          <w:spacing w:val="-8"/>
          <w:sz w:val="24"/>
          <w:szCs w:val="24"/>
        </w:rPr>
        <w:t xml:space="preserve">•   </w:t>
      </w:r>
      <w:r>
        <w:rPr>
          <w:rFonts w:ascii="STKaiti" w:eastAsia="STKaiti" w:hAnsi="STKaiti" w:cs="STKaiti"/>
          <w:color w:val="445469"/>
          <w:spacing w:val="-8"/>
          <w:sz w:val="24"/>
          <w:szCs w:val="24"/>
        </w:rPr>
        <w:t>2023年12月，</w:t>
      </w:r>
      <w:r>
        <w:rPr>
          <w:rFonts w:ascii="STKaiti" w:eastAsia="STKaiti" w:hAnsi="STKaiti" w:cs="STKaiti"/>
          <w:color w:val="445469"/>
          <w:spacing w:val="51"/>
          <w:w w:val="101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8"/>
          <w:sz w:val="24"/>
          <w:szCs w:val="24"/>
        </w:rPr>
        <w:t>海南国际商</w:t>
      </w:r>
      <w:r>
        <w:rPr>
          <w:rFonts w:ascii="STKaiti" w:eastAsia="STKaiti" w:hAnsi="STKaiti" w:cs="STKaiti"/>
          <w:color w:val="445469"/>
          <w:sz w:val="24"/>
          <w:szCs w:val="24"/>
        </w:rPr>
        <w:t xml:space="preserve">  </w:t>
      </w:r>
      <w:r>
        <w:rPr>
          <w:rFonts w:ascii="STKaiti" w:eastAsia="STKaiti" w:hAnsi="STKaiti" w:cs="STKaiti"/>
          <w:color w:val="445469"/>
          <w:spacing w:val="-2"/>
          <w:sz w:val="24"/>
          <w:szCs w:val="24"/>
        </w:rPr>
        <w:t>业航天发射中心一号发射</w:t>
      </w:r>
      <w:r>
        <w:rPr>
          <w:rFonts w:ascii="STKaiti" w:eastAsia="STKaiti" w:hAnsi="STKaiti" w:cs="STKaiti"/>
          <w:color w:val="445469"/>
          <w:spacing w:val="1"/>
          <w:sz w:val="24"/>
          <w:szCs w:val="24"/>
        </w:rPr>
        <w:t xml:space="preserve"> </w:t>
      </w:r>
      <w:r>
        <w:rPr>
          <w:rFonts w:ascii="STKaiti" w:eastAsia="STKaiti" w:hAnsi="STKaiti" w:cs="STKaiti"/>
          <w:color w:val="445469"/>
          <w:spacing w:val="-3"/>
          <w:sz w:val="24"/>
          <w:szCs w:val="24"/>
        </w:rPr>
        <w:t>工位正式竣工</w:t>
      </w:r>
    </w:p>
    <w:p>
      <w:pPr>
        <w:spacing w:line="187" w:lineRule="auto"/>
        <w:rPr>
          <w:rFonts w:ascii="STKaiti" w:eastAsia="STKaiti" w:hAnsi="STKaiti" w:cs="STKaiti"/>
          <w:sz w:val="24"/>
          <w:szCs w:val="24"/>
        </w:rPr>
        <w:sectPr>
          <w:headerReference w:type="default" r:id="rId21"/>
          <w:type w:val="nextPage"/>
          <w:pgSz w:w="19200" w:h="10800"/>
          <w:pgMar w:top="400" w:right="19" w:bottom="0" w:left="719" w:header="0" w:footer="0" w:gutter="0"/>
          <w:pgNumType w:start="8"/>
          <w:cols w:num="5" w:space="708" w:equalWidth="0">
            <w:col w:w="3650" w:space="100"/>
            <w:col w:w="3529" w:space="100"/>
            <w:col w:w="3529" w:space="100"/>
            <w:col w:w="3529" w:space="100"/>
            <w:col w:w="3826" w:space="0"/>
          </w:cols>
          <w:titlePg w:val="0"/>
        </w:sectPr>
      </w:pPr>
    </w:p>
    <w:p>
      <w:pPr>
        <w:spacing w:before="336" w:line="210" w:lineRule="auto"/>
        <w:ind w:left="25"/>
        <w:rPr>
          <w:rFonts w:ascii="STKaiti" w:eastAsia="STKaiti" w:hAnsi="STKaiti" w:cs="STKaiti"/>
          <w:sz w:val="48"/>
          <w:szCs w:val="48"/>
        </w:rPr>
      </w:pPr>
      <w: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10057114</wp:posOffset>
            </wp:positionH>
            <wp:positionV relativeFrom="page">
              <wp:posOffset>291465</wp:posOffset>
            </wp:positionV>
            <wp:extent cx="1530436" cy="448709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436" cy="448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Kaiti" w:eastAsia="STKaiti" w:hAnsi="STKaiti" w:cs="STKaiti"/>
          <w:color w:val="262626"/>
          <w:spacing w:val="-5"/>
          <w:sz w:val="48"/>
          <w:szCs w:val="48"/>
          <w14:textOutline w14:w="8708">
            <w14:solidFill>
              <w14:srgbClr w14:val="262626"/>
            </w14:solidFill>
            <w14:prstDash w14:val="solid"/>
            <w14:miter w14:lim="10"/>
          </w14:textOutline>
        </w:rPr>
        <w:t>1、行业概述——</w:t>
      </w:r>
      <w:r>
        <w:rPr>
          <w:rFonts w:ascii="STKaiti" w:eastAsia="STKaiti" w:hAnsi="STKaiti" w:cs="STKaiti"/>
          <w:color w:val="262626"/>
          <w:spacing w:val="-79"/>
          <w:sz w:val="48"/>
          <w:szCs w:val="48"/>
        </w:rPr>
        <w:t xml:space="preserve"> </w:t>
      </w:r>
      <w:r>
        <w:rPr>
          <w:rFonts w:ascii="STKaiti" w:eastAsia="STKaiti" w:hAnsi="STKaiti" w:cs="STKaiti"/>
          <w:color w:val="2857EC"/>
          <w:spacing w:val="-5"/>
          <w:sz w:val="48"/>
          <w:szCs w:val="48"/>
          <w14:textOutline w14:w="8708">
            <w14:solidFill>
              <w14:srgbClr w14:val="2857EC"/>
            </w14:solidFill>
            <w14:prstDash w14:val="solid"/>
            <w14:miter w14:lim="10"/>
          </w14:textOutline>
        </w:rPr>
        <w:t>政策助力</w:t>
      </w:r>
    </w:p>
    <w:p>
      <w:pPr>
        <w:spacing w:before="233" w:line="25" w:lineRule="exact"/>
      </w:pPr>
      <w:r>
        <w:drawing>
          <wp:inline distT="0" distB="0" distL="0" distR="0">
            <wp:extent cx="11719877" cy="1587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719877" cy="1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spacing w:before="102" w:line="201" w:lineRule="auto"/>
        <w:ind w:left="252" w:right="1017" w:hanging="12"/>
        <w:rPr>
          <w:rFonts w:ascii="STKaiti" w:eastAsia="STKaiti" w:hAnsi="STKaiti" w:cs="STKaiti"/>
          <w:sz w:val="28"/>
          <w:szCs w:val="28"/>
        </w:rPr>
      </w:pPr>
      <w:r>
        <w:rPr>
          <w:rFonts w:ascii="STKaiti" w:eastAsia="STKaiti" w:hAnsi="STKaiti" w:cs="STKaiti"/>
          <w:spacing w:val="2"/>
          <w:sz w:val="28"/>
          <w:szCs w:val="28"/>
        </w:rPr>
        <w:t>近年来，全球范围内商业航天迅速崛起，国内的政策利好也为商业航天的发展带来了结构性机会，众多民营企业参与其中。在“</w:t>
      </w:r>
      <w:r>
        <w:rPr>
          <w:rFonts w:ascii="STKaiti" w:eastAsia="STKaiti" w:hAnsi="STKaiti" w:cs="STKaiti"/>
          <w:spacing w:val="1"/>
          <w:sz w:val="28"/>
          <w:szCs w:val="28"/>
        </w:rPr>
        <w:t>航天强国”</w:t>
      </w:r>
      <w:r>
        <w:rPr>
          <w:rFonts w:ascii="STKaiti" w:eastAsia="STKaiti" w:hAnsi="STKaiti" w:cs="STKaiti"/>
          <w:sz w:val="28"/>
          <w:szCs w:val="28"/>
        </w:rPr>
        <w:t xml:space="preserve"> </w:t>
      </w:r>
      <w:r>
        <w:rPr>
          <w:rFonts w:ascii="STKaiti" w:eastAsia="STKaiti" w:hAnsi="STKaiti" w:cs="STKaiti"/>
          <w:spacing w:val="-3"/>
          <w:sz w:val="28"/>
          <w:szCs w:val="28"/>
        </w:rPr>
        <w:t>的发展思路下，中国航天进入创新发展的快车道。</w:t>
      </w:r>
    </w:p>
    <w:p>
      <w:pPr>
        <w:spacing w:line="229" w:lineRule="exact"/>
      </w:pPr>
    </w:p>
    <w:tbl>
      <w:tblPr>
        <w:tblStyle w:val="TableNormal2"/>
        <w:tblW w:w="17574" w:type="dxa"/>
        <w:tblInd w:w="6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</w:tblPr>
      <w:tblGrid>
        <w:gridCol w:w="2134"/>
        <w:gridCol w:w="3214"/>
        <w:gridCol w:w="3214"/>
        <w:gridCol w:w="7309"/>
        <w:gridCol w:w="1703"/>
      </w:tblGrid>
      <w:tr>
        <w:tblPrEx>
          <w:tblW w:w="17574" w:type="dxa"/>
          <w:tblInd w:w="69" w:type="dxa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tblLayout w:type="fixed"/>
        </w:tblPrEx>
        <w:trPr>
          <w:trHeight w:val="495"/>
        </w:trPr>
        <w:tc>
          <w:tcPr>
            <w:tcW w:w="2134" w:type="dxa"/>
            <w:tcBorders>
              <w:bottom w:val="nil"/>
            </w:tcBorders>
            <w:vAlign w:val="top"/>
          </w:tcPr>
          <w:p>
            <w:pPr>
              <w:spacing w:before="128" w:line="212" w:lineRule="auto"/>
              <w:ind w:left="851"/>
              <w:rPr>
                <w:rFonts w:ascii="STKaiti" w:eastAsia="STKaiti" w:hAnsi="STKaiti" w:cs="STKaiti"/>
                <w:sz w:val="24"/>
                <w:szCs w:val="24"/>
              </w:rPr>
            </w:pPr>
            <w:r>
              <w:pict>
                <v:group id="_x0000_s1084" style="width:878.75pt;height:311.15pt;margin-top:-0.5pt;margin-left:-0.5pt;position:absolute;z-index:-251620352" coordorigin="0,0" coordsize="17575,6222" filled="f" stroked="f">
                  <v:shape id="_x0000_s1085" style="width:17575;height:505;position:absolute" coordorigin="0,0" coordsize="17575,505" path="m,505l2126,505l2126,l,l,505xem2126,505l5344,505l5344,l2126,l2126,505xem5344,505l8562,505l8562,l5344,l5344,505xem8562,505l15879,505l15879,l8562,l8562,505xem15879,505l17574,505l17574,l15879,l15879,505xe" filled="t" fillcolor="#273ce7" stroked="f"/>
                  <v:shape id="_x0000_s1086" style="width:17575;height:5717;position:absolute;top:505" coordorigin="0,0" coordsize="17575,5717" path="m,882l2126,882l2126,l,l,882xem2126,882l5344,882l5344,l2126,l2126,882xem5344,882l8562,882l8562,l5344,l5344,882xem8562,882l15879,882l15879,l8562,l8562,882xem15879,882l17574,882l17574,l15879,l15879,882xem,2506l2126,2506l2126,882l,882l,2506xem2126,2506l5344,2506l5344,882l2126,882l2126,2506xem5344,2506l8562,2506l8562,882l5344,882l5344,2506xem8562,2506l15879,2506l15879,882l8562,882l8562,2506xem15879,2506l17574,2506l17574,882l15879,882l15879,2506xem,3387l2126,3387l2126,2506l,2506l,3387xem2126,3387l5344,3387l5344,2506l2126,2506l2126,3387xem5344,3387l8562,3387l8562,2506l5344,2506l5344,3387xem8562,3387l15879,3387l15879,2506l8562,2506l8562,3387xem15879,3387l17574,3387l17574,2506l15879,2506l15879,3387xem,4831l2126,4831l2126,3387l,3387l,4831xem2126,4831l5344,4831l5344,3387l2126,3387l2126,4831xem5344,4831l8562,4831l8562,3387l5344,3387l5344,4831xem8562,4831l15879,4831l15879,3387l8562,3387l8562,4831xem15879,4831l17574,4831l17574,3387l15879,3387l15879,4831xem,5717l2126,5717l2126,4831l,4831l,5717xem2126,5717l5344,5717l5344,4831l2126,4831l2126,5717xem5344,5717l8562,5717l8562,4831l5344,4831l5344,5717xem8562,5717l15879,5717l15879,4831l8562,4831l8562,5717xem15879,5717l17574,5717l17574,4831l15879,4831l15879,5717xe" filled="t" fillcolor="#f2f2f2" stroked="f">
                    <v:fill opacity="32897f"/>
                  </v:shape>
                </v:group>
              </w:pict>
            </w:r>
            <w:r>
              <w:rPr>
                <w:rFonts w:ascii="STKaiti" w:eastAsia="STKaiti" w:hAnsi="STKaiti" w:cs="STKaiti"/>
                <w:color w:val="FFFFFF"/>
                <w:spacing w:val="-10"/>
                <w:sz w:val="24"/>
                <w:szCs w:val="24"/>
                <w14:textOutline w14:w="4354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时间</w:t>
            </w:r>
          </w:p>
        </w:tc>
        <w:tc>
          <w:tcPr>
            <w:tcW w:w="3214" w:type="dxa"/>
            <w:tcBorders>
              <w:bottom w:val="nil"/>
            </w:tcBorders>
            <w:vAlign w:val="top"/>
          </w:tcPr>
          <w:p>
            <w:pPr>
              <w:spacing w:before="128" w:line="206" w:lineRule="auto"/>
              <w:ind w:left="1126"/>
              <w:rPr>
                <w:rFonts w:ascii="STKaiti" w:eastAsia="STKaiti" w:hAnsi="STKaiti" w:cs="STKaiti"/>
                <w:sz w:val="24"/>
                <w:szCs w:val="24"/>
              </w:rPr>
            </w:pPr>
            <w:r>
              <w:rPr>
                <w:rFonts w:ascii="STKaiti" w:eastAsia="STKaiti" w:hAnsi="STKaiti" w:cs="STKaiti"/>
                <w:color w:val="FFFFFF"/>
                <w:spacing w:val="-3"/>
                <w:sz w:val="24"/>
                <w:szCs w:val="24"/>
                <w14:textOutline w14:w="4354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发布机构</w:t>
            </w:r>
          </w:p>
        </w:tc>
        <w:tc>
          <w:tcPr>
            <w:tcW w:w="3214" w:type="dxa"/>
            <w:tcBorders>
              <w:bottom w:val="nil"/>
            </w:tcBorders>
            <w:vAlign w:val="top"/>
          </w:tcPr>
          <w:p>
            <w:pPr>
              <w:spacing w:before="128" w:line="210" w:lineRule="auto"/>
              <w:ind w:left="1131"/>
              <w:rPr>
                <w:rFonts w:ascii="STKaiti" w:eastAsia="STKaiti" w:hAnsi="STKaiti" w:cs="STKaiti"/>
                <w:sz w:val="24"/>
                <w:szCs w:val="24"/>
              </w:rPr>
            </w:pPr>
            <w:r>
              <w:rPr>
                <w:rFonts w:ascii="STKaiti" w:eastAsia="STKaiti" w:hAnsi="STKaiti" w:cs="STKaiti"/>
                <w:color w:val="FFFFFF"/>
                <w:spacing w:val="-3"/>
                <w:sz w:val="24"/>
                <w:szCs w:val="24"/>
                <w14:textOutline w14:w="4354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政策名称</w:t>
            </w:r>
          </w:p>
        </w:tc>
        <w:tc>
          <w:tcPr>
            <w:tcW w:w="7309" w:type="dxa"/>
            <w:tcBorders>
              <w:bottom w:val="nil"/>
            </w:tcBorders>
            <w:vAlign w:val="top"/>
          </w:tcPr>
          <w:p>
            <w:pPr>
              <w:spacing w:before="128" w:line="206" w:lineRule="auto"/>
              <w:ind w:left="3185"/>
              <w:rPr>
                <w:rFonts w:ascii="STKaiti" w:eastAsia="STKaiti" w:hAnsi="STKaiti" w:cs="STKaiti"/>
                <w:sz w:val="24"/>
                <w:szCs w:val="24"/>
              </w:rPr>
            </w:pPr>
            <w:r>
              <w:rPr>
                <w:rFonts w:ascii="STKaiti" w:eastAsia="STKaiti" w:hAnsi="STKaiti" w:cs="STKaiti"/>
                <w:color w:val="FFFFFF"/>
                <w:spacing w:val="-3"/>
                <w:sz w:val="24"/>
                <w:szCs w:val="24"/>
                <w14:textOutline w14:w="4354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政策解读</w:t>
            </w:r>
          </w:p>
        </w:tc>
        <w:tc>
          <w:tcPr>
            <w:tcW w:w="1703" w:type="dxa"/>
            <w:tcBorders>
              <w:bottom w:val="nil"/>
            </w:tcBorders>
            <w:vAlign w:val="top"/>
          </w:tcPr>
          <w:p>
            <w:pPr>
              <w:spacing w:before="128" w:line="210" w:lineRule="auto"/>
              <w:ind w:left="384"/>
              <w:rPr>
                <w:rFonts w:ascii="STKaiti" w:eastAsia="STKaiti" w:hAnsi="STKaiti" w:cs="STKaiti"/>
                <w:sz w:val="24"/>
                <w:szCs w:val="24"/>
              </w:rPr>
            </w:pPr>
            <w:r>
              <w:rPr>
                <w:rFonts w:ascii="STKaiti" w:eastAsia="STKaiti" w:hAnsi="STKaiti" w:cs="STKaiti"/>
                <w:color w:val="FFFFFF"/>
                <w:spacing w:val="-3"/>
                <w:sz w:val="24"/>
                <w:szCs w:val="24"/>
                <w14:textOutline w14:w="4354">
                  <w14:solidFill>
                    <w14:srgbClr w14:val="FFFFFF"/>
                  </w14:solidFill>
                  <w14:prstDash w14:val="solid"/>
                  <w14:round/>
                </w14:textOutline>
              </w:rPr>
              <w:t>政策类型</w:t>
            </w:r>
          </w:p>
        </w:tc>
      </w:tr>
    </w:tbl>
    <w:p>
      <w:pPr>
        <w:pStyle w:val="BodyText"/>
        <w:spacing w:line="57" w:lineRule="exact"/>
        <w:rPr>
          <w:sz w:val="4"/>
        </w:rPr>
      </w:pPr>
    </w:p>
    <w:p>
      <w:pPr>
        <w:spacing w:line="57" w:lineRule="exact"/>
        <w:rPr>
          <w:sz w:val="4"/>
          <w:szCs w:val="4"/>
        </w:rPr>
        <w:sectPr>
          <w:headerReference w:type="default" r:id="rId23"/>
          <w:pgSz w:w="19200" w:h="10800"/>
          <w:pgMar w:top="400" w:right="0" w:bottom="0" w:left="743" w:header="0" w:footer="0" w:gutter="0"/>
          <w:pgNumType w:start="9"/>
          <w:cols w:num="1" w:space="708" w:equalWidth="0">
            <w:col w:w="18457" w:space="0"/>
          </w:cols>
        </w:sectPr>
      </w:pPr>
    </w:p>
    <w:p>
      <w:pPr>
        <w:spacing w:before="269" w:line="213" w:lineRule="auto"/>
        <w:ind w:left="679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1"/>
          <w:sz w:val="24"/>
          <w:szCs w:val="24"/>
        </w:rPr>
        <w:t>2022/6/2</w:t>
      </w:r>
    </w:p>
    <w:p>
      <w:pPr>
        <w:pStyle w:val="BodyText"/>
        <w:spacing w:line="283" w:lineRule="auto"/>
      </w:pPr>
    </w:p>
    <w:p>
      <w:pPr>
        <w:pStyle w:val="BodyText"/>
        <w:spacing w:line="283" w:lineRule="auto"/>
      </w:pPr>
    </w:p>
    <w:p>
      <w:pPr>
        <w:pStyle w:val="BodyText"/>
        <w:spacing w:line="284" w:lineRule="auto"/>
      </w:pPr>
    </w:p>
    <w:p>
      <w:pPr>
        <w:spacing w:before="87" w:line="213" w:lineRule="auto"/>
        <w:ind w:left="622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1"/>
          <w:sz w:val="24"/>
          <w:szCs w:val="24"/>
        </w:rPr>
        <w:t>2022/2/14</w:t>
      </w:r>
    </w:p>
    <w:p>
      <w:pPr>
        <w:pStyle w:val="BodyText"/>
        <w:spacing w:line="283" w:lineRule="auto"/>
      </w:pPr>
    </w:p>
    <w:p>
      <w:pPr>
        <w:pStyle w:val="BodyText"/>
        <w:spacing w:line="283" w:lineRule="auto"/>
      </w:pPr>
    </w:p>
    <w:p>
      <w:pPr>
        <w:pStyle w:val="BodyText"/>
        <w:spacing w:line="284" w:lineRule="auto"/>
      </w:pPr>
    </w:p>
    <w:p>
      <w:pPr>
        <w:spacing w:before="88" w:line="213" w:lineRule="auto"/>
        <w:ind w:left="679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1"/>
          <w:sz w:val="24"/>
          <w:szCs w:val="24"/>
        </w:rPr>
        <w:t>2022/2/8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spacing w:before="88" w:line="213" w:lineRule="auto"/>
        <w:ind w:left="622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1"/>
          <w:sz w:val="24"/>
          <w:szCs w:val="24"/>
        </w:rPr>
        <w:t>2022/1/30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23" w:line="204" w:lineRule="auto"/>
        <w:ind w:left="1102" w:right="317" w:hanging="1101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6"/>
          <w:sz w:val="24"/>
          <w:szCs w:val="24"/>
        </w:rPr>
        <w:t>人社部、工信部、国务院、</w:t>
      </w:r>
      <w:r>
        <w:rPr>
          <w:rFonts w:ascii="STKaiti" w:eastAsia="STKaiti" w:hAnsi="STKaiti" w:cs="STKaiti"/>
          <w:spacing w:val="8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9"/>
          <w:sz w:val="24"/>
          <w:szCs w:val="24"/>
        </w:rPr>
        <w:t>国资委</w:t>
      </w:r>
    </w:p>
    <w:p>
      <w:pPr>
        <w:pStyle w:val="BodyText"/>
        <w:spacing w:line="355" w:lineRule="auto"/>
      </w:pPr>
    </w:p>
    <w:p>
      <w:pPr>
        <w:pStyle w:val="BodyText"/>
        <w:spacing w:line="356" w:lineRule="auto"/>
      </w:pPr>
    </w:p>
    <w:p>
      <w:pPr>
        <w:spacing w:before="87" w:line="210" w:lineRule="auto"/>
        <w:ind w:left="1103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10"/>
          <w:sz w:val="24"/>
          <w:szCs w:val="24"/>
        </w:rPr>
        <w:t>国务院</w:t>
      </w:r>
    </w:p>
    <w:p>
      <w:pPr>
        <w:pStyle w:val="BodyText"/>
        <w:spacing w:line="355" w:lineRule="auto"/>
      </w:pPr>
    </w:p>
    <w:p>
      <w:pPr>
        <w:pStyle w:val="BodyText"/>
        <w:spacing w:line="356" w:lineRule="auto"/>
      </w:pPr>
    </w:p>
    <w:p>
      <w:pPr>
        <w:spacing w:before="88" w:line="202" w:lineRule="auto"/>
        <w:ind w:left="1316" w:right="274" w:hanging="1316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2"/>
          <w:sz w:val="24"/>
          <w:szCs w:val="24"/>
        </w:rPr>
        <w:t>工信部、发改委、生态环境</w:t>
      </w:r>
      <w:r>
        <w:rPr>
          <w:rFonts w:ascii="STKaiti" w:eastAsia="STKaiti" w:hAnsi="STKaiti" w:cs="STKaiti"/>
          <w:spacing w:val="4"/>
          <w:sz w:val="24"/>
          <w:szCs w:val="24"/>
        </w:rPr>
        <w:t xml:space="preserve"> </w:t>
      </w:r>
      <w:r>
        <w:rPr>
          <w:rFonts w:ascii="STKaiti" w:eastAsia="STKaiti" w:hAnsi="STKaiti" w:cs="STKaiti"/>
          <w:sz w:val="24"/>
          <w:szCs w:val="24"/>
        </w:rPr>
        <w:t>部</w:t>
      </w:r>
    </w:p>
    <w:p>
      <w:pPr>
        <w:pStyle w:val="BodyText"/>
        <w:spacing w:line="313" w:lineRule="auto"/>
      </w:pPr>
    </w:p>
    <w:p>
      <w:pPr>
        <w:pStyle w:val="BodyText"/>
        <w:spacing w:line="314" w:lineRule="auto"/>
      </w:pPr>
    </w:p>
    <w:p>
      <w:pPr>
        <w:spacing w:before="88" w:line="210" w:lineRule="auto"/>
        <w:ind w:left="1103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10"/>
          <w:sz w:val="24"/>
          <w:szCs w:val="24"/>
        </w:rPr>
        <w:t>国务院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24" w:line="205" w:lineRule="auto"/>
        <w:ind w:left="222" w:right="178" w:hanging="222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3"/>
          <w:sz w:val="24"/>
          <w:szCs w:val="24"/>
        </w:rPr>
        <w:t>关于印发《制造业技能根基</w:t>
      </w:r>
      <w:r>
        <w:rPr>
          <w:rFonts w:ascii="STKaiti" w:eastAsia="STKaiti" w:hAnsi="STKaiti" w:cs="STKaiti"/>
          <w:spacing w:val="3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2"/>
          <w:sz w:val="24"/>
          <w:szCs w:val="24"/>
        </w:rPr>
        <w:t>工程实施方案》的通知</w:t>
      </w:r>
    </w:p>
    <w:p>
      <w:pPr>
        <w:pStyle w:val="BodyText"/>
        <w:spacing w:line="281" w:lineRule="auto"/>
      </w:pPr>
    </w:p>
    <w:p>
      <w:pPr>
        <w:pStyle w:val="BodyText"/>
        <w:spacing w:line="282" w:lineRule="auto"/>
      </w:pPr>
    </w:p>
    <w:p>
      <w:pPr>
        <w:spacing w:before="87" w:line="205" w:lineRule="auto"/>
        <w:ind w:left="472" w:right="182" w:hanging="472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9"/>
          <w:sz w:val="24"/>
          <w:szCs w:val="24"/>
        </w:rPr>
        <w:t>关于印发“</w:t>
      </w:r>
      <w:r>
        <w:rPr>
          <w:rFonts w:ascii="STKaiti" w:eastAsia="STKaiti" w:hAnsi="STKaiti" w:cs="STKaiti"/>
          <w:spacing w:val="-30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9"/>
          <w:sz w:val="24"/>
          <w:szCs w:val="24"/>
        </w:rPr>
        <w:t>十四五</w:t>
      </w:r>
      <w:r>
        <w:rPr>
          <w:rFonts w:ascii="STKaiti" w:eastAsia="STKaiti" w:hAnsi="STKaiti" w:cs="STKaiti"/>
          <w:spacing w:val="-40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9"/>
          <w:sz w:val="24"/>
          <w:szCs w:val="24"/>
        </w:rPr>
        <w:t>”</w:t>
      </w:r>
      <w:r>
        <w:rPr>
          <w:rFonts w:ascii="STKaiti" w:eastAsia="STKaiti" w:hAnsi="STKaiti" w:cs="STKaiti"/>
          <w:spacing w:val="-39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9"/>
          <w:sz w:val="24"/>
          <w:szCs w:val="24"/>
        </w:rPr>
        <w:t>国家应</w:t>
      </w:r>
      <w:r>
        <w:rPr>
          <w:rFonts w:ascii="STKaiti" w:eastAsia="STKaiti" w:hAnsi="STKaiti" w:cs="STKaiti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4"/>
          <w:sz w:val="24"/>
          <w:szCs w:val="24"/>
        </w:rPr>
        <w:t>急体系规划的通知</w:t>
      </w:r>
    </w:p>
    <w:p>
      <w:pPr>
        <w:pStyle w:val="BodyText"/>
        <w:spacing w:line="283" w:lineRule="auto"/>
      </w:pPr>
    </w:p>
    <w:p>
      <w:pPr>
        <w:pStyle w:val="BodyText"/>
        <w:spacing w:line="284" w:lineRule="auto"/>
      </w:pPr>
    </w:p>
    <w:p>
      <w:pPr>
        <w:spacing w:before="88" w:line="203" w:lineRule="auto"/>
        <w:ind w:left="693" w:right="182" w:hanging="693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3"/>
          <w:sz w:val="24"/>
          <w:szCs w:val="24"/>
        </w:rPr>
        <w:t>关于促进钢铁工业高质量发</w:t>
      </w:r>
      <w:r>
        <w:rPr>
          <w:rFonts w:ascii="STKaiti" w:eastAsia="STKaiti" w:hAnsi="STKaiti" w:cs="STKaiti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2"/>
          <w:sz w:val="24"/>
          <w:szCs w:val="24"/>
        </w:rPr>
        <w:t>展的指导意见</w:t>
      </w:r>
    </w:p>
    <w:p>
      <w:pPr>
        <w:pStyle w:val="BodyText"/>
      </w:pPr>
    </w:p>
    <w:p>
      <w:pPr>
        <w:pStyle w:val="BodyText"/>
      </w:pPr>
    </w:p>
    <w:p>
      <w:pPr>
        <w:spacing w:before="88" w:line="198" w:lineRule="auto"/>
        <w:ind w:left="442" w:right="332" w:hanging="322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9"/>
          <w:sz w:val="24"/>
          <w:szCs w:val="24"/>
        </w:rPr>
        <w:t>关于印发计量发展规划(</w:t>
      </w:r>
      <w:r>
        <w:rPr>
          <w:rFonts w:ascii="STKaiti" w:eastAsia="STKaiti" w:hAnsi="STKaiti" w:cs="STKaiti"/>
          <w:spacing w:val="4"/>
          <w:sz w:val="24"/>
          <w:szCs w:val="24"/>
        </w:rPr>
        <w:t xml:space="preserve"> </w:t>
      </w:r>
      <w:r>
        <w:rPr>
          <w:rFonts w:ascii="STKaiti" w:eastAsia="STKaiti" w:hAnsi="STKaiti" w:cs="STKaiti"/>
          <w:spacing w:val="-1"/>
          <w:sz w:val="24"/>
          <w:szCs w:val="24"/>
        </w:rPr>
        <w:t>20212035年)的通知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5" w:line="212" w:lineRule="auto"/>
        <w:ind w:left="9" w:right="626" w:firstLine="2"/>
        <w:jc w:val="both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spacing w:val="8"/>
          <w:sz w:val="19"/>
          <w:szCs w:val="19"/>
        </w:rPr>
        <w:t>各地可突出“</w:t>
      </w:r>
      <w:r>
        <w:rPr>
          <w:rFonts w:ascii="STKaiti" w:eastAsia="STKaiti" w:hAnsi="STKaiti" w:cs="STKaiti"/>
          <w:spacing w:val="-16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8"/>
          <w:sz w:val="19"/>
          <w:szCs w:val="19"/>
        </w:rPr>
        <w:t>高精尖</w:t>
      </w:r>
      <w:r>
        <w:rPr>
          <w:rFonts w:ascii="STKaiti" w:eastAsia="STKaiti" w:hAnsi="STKaiti" w:cs="STKaiti"/>
          <w:spacing w:val="-31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8"/>
          <w:sz w:val="19"/>
          <w:szCs w:val="19"/>
        </w:rPr>
        <w:t>”导向，结合新一代信息技术和自主</w:t>
      </w:r>
      <w:r>
        <w:rPr>
          <w:rFonts w:ascii="STKaiti" w:eastAsia="STKaiti" w:hAnsi="STKaiti" w:cs="STKaiti"/>
          <w:spacing w:val="7"/>
          <w:sz w:val="19"/>
          <w:szCs w:val="19"/>
        </w:rPr>
        <w:t>信息技术产业、高端工</w:t>
      </w:r>
      <w:r>
        <w:rPr>
          <w:rFonts w:ascii="STKaiti" w:eastAsia="STKaiti" w:hAnsi="STKaiti" w:cs="STKaiti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9"/>
          <w:sz w:val="19"/>
          <w:szCs w:val="19"/>
        </w:rPr>
        <w:t>业母机和机器人、航空航天装备、关键软件、数字技能等领域以及工业和信息化</w:t>
      </w:r>
      <w:r>
        <w:rPr>
          <w:rFonts w:ascii="STKaiti" w:eastAsia="STKaiti" w:hAnsi="STKaiti" w:cs="STKaiti"/>
          <w:spacing w:val="5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5"/>
          <w:sz w:val="19"/>
          <w:szCs w:val="19"/>
        </w:rPr>
        <w:t>职业技能提升培训指导目录。</w:t>
      </w:r>
    </w:p>
    <w:p>
      <w:pPr>
        <w:spacing w:before="281" w:line="210" w:lineRule="auto"/>
        <w:ind w:left="12" w:right="622" w:hanging="12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spacing w:val="7"/>
          <w:sz w:val="19"/>
          <w:szCs w:val="19"/>
        </w:rPr>
        <w:t>稳步推进卫星遥感网建设,</w:t>
      </w:r>
      <w:r>
        <w:rPr>
          <w:rFonts w:ascii="STKaiti" w:eastAsia="STKaiti" w:hAnsi="STKaiti" w:cs="STKaiti"/>
          <w:spacing w:val="-6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7"/>
          <w:sz w:val="19"/>
          <w:szCs w:val="19"/>
        </w:rPr>
        <w:t>开发应急减灾卫星综合应用系统和自主运行管理平台，</w:t>
      </w:r>
      <w:r>
        <w:rPr>
          <w:rFonts w:ascii="STKaiti" w:eastAsia="STKaiti" w:hAnsi="STKaiti" w:cs="STKaiti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6"/>
          <w:sz w:val="19"/>
          <w:szCs w:val="19"/>
        </w:rPr>
        <w:t>推动空基卫星遥感网在防灾减灾救灾、应急救援管理中的应用</w:t>
      </w:r>
      <w:r>
        <w:rPr>
          <w:rFonts w:ascii="STKaiti" w:eastAsia="STKaiti" w:hAnsi="STKaiti" w:cs="STKaiti"/>
          <w:spacing w:val="5"/>
          <w:sz w:val="19"/>
          <w:szCs w:val="19"/>
        </w:rPr>
        <w:t>，  构建基于天通、</w:t>
      </w:r>
      <w:r>
        <w:rPr>
          <w:rFonts w:ascii="STKaiti" w:eastAsia="STKaiti" w:hAnsi="STKaiti" w:cs="STKaiti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9"/>
          <w:sz w:val="19"/>
          <w:szCs w:val="19"/>
        </w:rPr>
        <w:t>北斗、卫星互联网等技术的卫星通信管理系统，实现应急通信卫星资源的统一调</w:t>
      </w:r>
      <w:r>
        <w:rPr>
          <w:rFonts w:ascii="STKaiti" w:eastAsia="STKaiti" w:hAnsi="STKaiti" w:cs="STKaiti"/>
          <w:spacing w:val="3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9"/>
          <w:sz w:val="19"/>
          <w:szCs w:val="19"/>
        </w:rPr>
        <w:t>度和综合应用。建设高通量卫星应急管理专用系统扩容扩建卫星应急管理专用综</w:t>
      </w:r>
      <w:r>
        <w:rPr>
          <w:rFonts w:ascii="STKaiti" w:eastAsia="STKaiti" w:hAnsi="STKaiti" w:cs="STKaiti"/>
          <w:spacing w:val="3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8"/>
          <w:sz w:val="19"/>
          <w:szCs w:val="19"/>
        </w:rPr>
        <w:t>合服务系统。开展北斗系统应急管理能力示范创建。</w:t>
      </w:r>
    </w:p>
    <w:p>
      <w:pPr>
        <w:spacing w:before="285" w:line="212" w:lineRule="auto"/>
        <w:ind w:left="2" w:right="627" w:firstLine="8"/>
        <w:jc w:val="both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spacing w:val="9"/>
          <w:sz w:val="19"/>
          <w:szCs w:val="19"/>
        </w:rPr>
        <w:t>建立健全产品质量评价体系，加快推动钢材产品提质升级在航空航天等领域推进</w:t>
      </w:r>
      <w:r>
        <w:rPr>
          <w:rFonts w:ascii="STKaiti" w:eastAsia="STKaiti" w:hAnsi="STKaiti" w:cs="STKaiti"/>
          <w:spacing w:val="5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9"/>
          <w:sz w:val="19"/>
          <w:szCs w:val="19"/>
        </w:rPr>
        <w:t>质量分级分类评价持续提高产品实物质量稳定性和一致性，促进钢材产品实物质</w:t>
      </w:r>
      <w:r>
        <w:rPr>
          <w:rFonts w:ascii="STKaiti" w:eastAsia="STKaiti" w:hAnsi="STKaiti" w:cs="STKaiti"/>
          <w:spacing w:val="13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-1"/>
          <w:sz w:val="19"/>
          <w:szCs w:val="19"/>
        </w:rPr>
        <w:t>量提升。</w:t>
      </w:r>
    </w:p>
    <w:p>
      <w:pPr>
        <w:spacing w:before="190" w:line="201" w:lineRule="auto"/>
        <w:ind w:left="5" w:right="575" w:firstLine="14"/>
        <w:jc w:val="both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spacing w:val="8"/>
          <w:sz w:val="19"/>
          <w:szCs w:val="19"/>
        </w:rPr>
        <w:t>开展海上卫星导航设备技术研究</w:t>
      </w:r>
      <w:r>
        <w:rPr>
          <w:rFonts w:ascii="STKaiti" w:eastAsia="STKaiti" w:hAnsi="STKaiti" w:cs="STKaiti"/>
          <w:spacing w:val="34"/>
          <w:w w:val="101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8"/>
          <w:sz w:val="19"/>
          <w:szCs w:val="19"/>
        </w:rPr>
        <w:t>提升海洋装备数字化测量能力，推动航空装备计</w:t>
      </w:r>
      <w:r>
        <w:rPr>
          <w:rFonts w:ascii="STKaiti" w:eastAsia="STKaiti" w:hAnsi="STKaiti" w:cs="STKaiti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9"/>
          <w:sz w:val="19"/>
          <w:szCs w:val="19"/>
        </w:rPr>
        <w:t>量数字化、体系化发展，健全全产业链、全寿命周期计量评价体系，为航空装备</w:t>
      </w:r>
      <w:r>
        <w:rPr>
          <w:rFonts w:ascii="STKaiti" w:eastAsia="STKaiti" w:hAnsi="STKaiti" w:cs="STKaiti"/>
          <w:spacing w:val="5"/>
          <w:sz w:val="19"/>
          <w:szCs w:val="19"/>
        </w:rPr>
        <w:t xml:space="preserve">  </w:t>
      </w:r>
      <w:r>
        <w:rPr>
          <w:rFonts w:ascii="STKaiti" w:eastAsia="STKaiti" w:hAnsi="STKaiti" w:cs="STKaiti"/>
          <w:spacing w:val="9"/>
          <w:sz w:val="19"/>
          <w:szCs w:val="19"/>
        </w:rPr>
        <w:t>发展提供一体化计量测试技术支撑。研究建立空间计量技术体系，提升空间领域</w:t>
      </w:r>
      <w:r>
        <w:rPr>
          <w:rFonts w:ascii="STKaiti" w:eastAsia="STKaiti" w:hAnsi="STKaiti" w:cs="STKaiti"/>
          <w:spacing w:val="4"/>
          <w:sz w:val="19"/>
          <w:szCs w:val="19"/>
        </w:rPr>
        <w:t xml:space="preserve">  </w:t>
      </w:r>
      <w:r>
        <w:rPr>
          <w:rFonts w:ascii="STKaiti" w:eastAsia="STKaiti" w:hAnsi="STKaiti" w:cs="STKaiti"/>
          <w:spacing w:val="9"/>
          <w:sz w:val="19"/>
          <w:szCs w:val="19"/>
        </w:rPr>
        <w:t>计量保障能力和航天装备质量控制水平，补齐关键、特色参数指标计量测试能力</w:t>
      </w:r>
      <w:r>
        <w:rPr>
          <w:rFonts w:ascii="STKaiti" w:eastAsia="STKaiti" w:hAnsi="STKaiti" w:cs="STKaiti"/>
          <w:spacing w:val="4"/>
          <w:sz w:val="19"/>
          <w:szCs w:val="19"/>
        </w:rPr>
        <w:t xml:space="preserve">  </w:t>
      </w:r>
      <w:r>
        <w:rPr>
          <w:rFonts w:ascii="STKaiti" w:eastAsia="STKaiti" w:hAnsi="STKaiti" w:cs="STKaiti"/>
          <w:spacing w:val="-4"/>
          <w:sz w:val="19"/>
          <w:szCs w:val="19"/>
        </w:rPr>
        <w:t>短板。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68" w:line="216" w:lineRule="auto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4"/>
          <w:sz w:val="24"/>
          <w:szCs w:val="24"/>
        </w:rPr>
        <w:t>规范类</w:t>
      </w:r>
    </w:p>
    <w:p>
      <w:pPr>
        <w:pStyle w:val="BodyText"/>
        <w:spacing w:line="281" w:lineRule="auto"/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spacing w:before="87" w:line="207" w:lineRule="auto"/>
        <w:ind w:left="19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8"/>
          <w:sz w:val="24"/>
          <w:szCs w:val="24"/>
        </w:rPr>
        <w:t>支持类</w:t>
      </w: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pStyle w:val="BodyText"/>
        <w:spacing w:line="286" w:lineRule="auto"/>
      </w:pPr>
    </w:p>
    <w:p>
      <w:pPr>
        <w:spacing w:before="88" w:line="207" w:lineRule="auto"/>
        <w:ind w:left="19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8"/>
          <w:sz w:val="24"/>
          <w:szCs w:val="24"/>
        </w:rPr>
        <w:t>支持类</w:t>
      </w: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pStyle w:val="BodyText"/>
        <w:spacing w:line="257" w:lineRule="auto"/>
      </w:pPr>
    </w:p>
    <w:p>
      <w:pPr>
        <w:spacing w:before="88" w:line="207" w:lineRule="auto"/>
        <w:ind w:left="19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8"/>
          <w:sz w:val="24"/>
          <w:szCs w:val="24"/>
        </w:rPr>
        <w:t>支持类</w:t>
      </w:r>
    </w:p>
    <w:p>
      <w:pPr>
        <w:spacing w:line="207" w:lineRule="auto"/>
        <w:rPr>
          <w:rFonts w:ascii="STKaiti" w:eastAsia="STKaiti" w:hAnsi="STKaiti" w:cs="STKaiti"/>
          <w:sz w:val="24"/>
          <w:szCs w:val="24"/>
        </w:rPr>
        <w:sectPr>
          <w:headerReference w:type="default" r:id="rId24"/>
          <w:type w:val="continuous"/>
          <w:pgSz w:w="19200" w:h="10800"/>
          <w:pgMar w:top="400" w:right="0" w:bottom="0" w:left="743" w:header="0" w:footer="0" w:gutter="0"/>
          <w:pgNumType w:start="10"/>
          <w:cols w:num="5" w:space="708" w:equalWidth="0">
            <w:col w:w="2283" w:space="100"/>
            <w:col w:w="3137" w:space="100"/>
            <w:col w:w="3027" w:space="100"/>
            <w:col w:w="7610" w:space="100"/>
            <w:col w:w="2002" w:space="0"/>
          </w:cols>
        </w:sectPr>
      </w:pPr>
    </w:p>
    <w:p>
      <w:pPr>
        <w:spacing w:before="247" w:line="207" w:lineRule="auto"/>
        <w:ind w:left="8755" w:right="2728"/>
        <w:jc w:val="both"/>
        <w:rPr>
          <w:rFonts w:ascii="STKaiti" w:eastAsia="STKaiti" w:hAnsi="STKaiti" w:cs="STKaiti"/>
          <w:sz w:val="19"/>
          <w:szCs w:val="19"/>
        </w:rPr>
      </w:pPr>
      <w:r>
        <w:pict>
          <v:shape id="_x0000_s1087" type="#_x0000_t202" style="width:144.75pt;height:46.8pt;margin-top:7.78pt;margin-left:279.45pt;position:absolute;z-index:251698176" filled="f" stroked="f">
            <o:lock v:ext="edit" aspectratio="f"/>
            <v:textbox inset="0,0,0,0">
              <w:txbxContent>
                <w:p>
                  <w:pPr>
                    <w:spacing w:before="19" w:line="200" w:lineRule="auto"/>
                    <w:ind w:left="29"/>
                    <w:rPr>
                      <w:rFonts w:ascii="STKaiti" w:eastAsia="STKaiti" w:hAnsi="STKaiti" w:cs="STKaiti"/>
                      <w:sz w:val="24"/>
                      <w:szCs w:val="24"/>
                    </w:rPr>
                  </w:pPr>
                  <w:r>
                    <w:rPr>
                      <w:rFonts w:ascii="STKaiti" w:eastAsia="STKaiti" w:hAnsi="STKaiti" w:cs="STKaiti"/>
                      <w:spacing w:val="-7"/>
                      <w:sz w:val="24"/>
                      <w:szCs w:val="24"/>
                    </w:rPr>
                    <w:t>关于印发“</w:t>
                  </w:r>
                  <w:r>
                    <w:rPr>
                      <w:rFonts w:ascii="STKaiti" w:eastAsia="STKaiti" w:hAnsi="STKaiti" w:cs="STKaiti"/>
                      <w:spacing w:val="-26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STKaiti" w:eastAsia="STKaiti" w:hAnsi="STKaiti" w:cs="STKaiti"/>
                      <w:spacing w:val="-7"/>
                      <w:sz w:val="24"/>
                      <w:szCs w:val="24"/>
                    </w:rPr>
                    <w:t>十四五</w:t>
                  </w:r>
                  <w:r>
                    <w:rPr>
                      <w:rFonts w:ascii="STKaiti" w:eastAsia="STKaiti" w:hAnsi="STKaiti" w:cs="STKaiti"/>
                      <w:spacing w:val="-39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STKaiti" w:eastAsia="STKaiti" w:hAnsi="STKaiti" w:cs="STKaiti"/>
                      <w:spacing w:val="-7"/>
                      <w:sz w:val="24"/>
                      <w:szCs w:val="24"/>
                    </w:rPr>
                    <w:t>”现代综</w:t>
                  </w:r>
                </w:p>
                <w:p>
                  <w:pPr>
                    <w:spacing w:line="197" w:lineRule="auto"/>
                    <w:ind w:left="20"/>
                    <w:rPr>
                      <w:rFonts w:ascii="STKaiti" w:eastAsia="STKaiti" w:hAnsi="STKaiti" w:cs="STKaiti"/>
                      <w:sz w:val="24"/>
                      <w:szCs w:val="24"/>
                    </w:rPr>
                  </w:pPr>
                  <w:r>
                    <w:rPr>
                      <w:rFonts w:ascii="STKaiti" w:eastAsia="STKaiti" w:hAnsi="STKaiti" w:cs="STKaiti"/>
                      <w:spacing w:val="-2"/>
                      <w:sz w:val="24"/>
                      <w:szCs w:val="24"/>
                    </w:rPr>
                    <w:t>合交通运输体系发展规划的</w:t>
                  </w:r>
                </w:p>
                <w:p>
                  <w:pPr>
                    <w:spacing w:line="217" w:lineRule="auto"/>
                    <w:ind w:left="1215"/>
                    <w:rPr>
                      <w:rFonts w:ascii="STKaiti" w:eastAsia="STKaiti" w:hAnsi="STKaiti" w:cs="STKaiti"/>
                      <w:sz w:val="24"/>
                      <w:szCs w:val="24"/>
                    </w:rPr>
                  </w:pPr>
                  <w:r>
                    <w:rPr>
                      <w:rFonts w:ascii="STKaiti" w:eastAsia="STKaiti" w:hAnsi="STKaiti" w:cs="STKaiti"/>
                      <w:spacing w:val="-6"/>
                      <w:sz w:val="24"/>
                      <w:szCs w:val="24"/>
                    </w:rPr>
                    <w:t>通知</w:t>
                  </w:r>
                </w:p>
              </w:txbxContent>
            </v:textbox>
          </v:shape>
        </w:pict>
      </w:r>
      <w:r>
        <w:pict>
          <v:shape id="_x0000_s1088" type="#_x0000_t202" style="width:53.2pt;height:17.55pt;margin-top:22.33pt;margin-left:30.1pt;position:absolute;z-index:251699200" filled="f" stroked="f">
            <o:lock v:ext="edit" aspectratio="f"/>
            <v:textbox inset="0,0,0,0">
              <w:txbxContent>
                <w:p>
                  <w:pPr>
                    <w:spacing w:before="20" w:line="213" w:lineRule="auto"/>
                    <w:ind w:left="20"/>
                    <w:rPr>
                      <w:rFonts w:ascii="STKaiti" w:eastAsia="STKaiti" w:hAnsi="STKaiti" w:cs="STKaiti"/>
                      <w:sz w:val="24"/>
                      <w:szCs w:val="24"/>
                    </w:rPr>
                  </w:pPr>
                  <w:r>
                    <w:rPr>
                      <w:rFonts w:ascii="STKaiti" w:eastAsia="STKaiti" w:hAnsi="STKaiti" w:cs="STKaiti"/>
                      <w:spacing w:val="-1"/>
                      <w:sz w:val="24"/>
                      <w:szCs w:val="24"/>
                    </w:rPr>
                    <w:t>2022/1/18</w:t>
                  </w:r>
                </w:p>
              </w:txbxContent>
            </v:textbox>
          </v:shape>
        </w:pict>
      </w:r>
      <w:r>
        <w:pict>
          <v:shape id="_x0000_s1089" type="#_x0000_t202" style="width:36pt;height:17.3pt;margin-top:22.33pt;margin-left:173.28pt;position:absolute;z-index:251701248" filled="f" stroked="f">
            <o:lock v:ext="edit" aspectratio="f"/>
            <v:textbox inset="0,0,0,0">
              <w:txbxContent>
                <w:p>
                  <w:pPr>
                    <w:spacing w:before="19" w:line="210" w:lineRule="auto"/>
                    <w:ind w:left="20"/>
                    <w:rPr>
                      <w:rFonts w:ascii="STKaiti" w:eastAsia="STKaiti" w:hAnsi="STKaiti" w:cs="STKaiti"/>
                      <w:sz w:val="24"/>
                      <w:szCs w:val="24"/>
                    </w:rPr>
                  </w:pPr>
                  <w:r>
                    <w:rPr>
                      <w:rFonts w:ascii="STKaiti" w:eastAsia="STKaiti" w:hAnsi="STKaiti" w:cs="STKaiti"/>
                      <w:spacing w:val="-10"/>
                      <w:sz w:val="24"/>
                      <w:szCs w:val="24"/>
                    </w:rPr>
                    <w:t>国务院</w:t>
                  </w:r>
                </w:p>
              </w:txbxContent>
            </v:textbox>
          </v:shape>
        </w:pict>
      </w:r>
      <w:r>
        <w:pict>
          <v:shape id="_x0000_s1090" type="#_x0000_t202" style="width:36.25pt;height:17.05pt;margin-top:22.33pt;margin-left:822.73pt;position:absolute;z-index:251700224" filled="f" stroked="f">
            <o:lock v:ext="edit" aspectratio="f"/>
            <v:textbox inset="0,0,0,0">
              <w:txbxContent>
                <w:p>
                  <w:pPr>
                    <w:spacing w:before="19" w:line="207" w:lineRule="auto"/>
                    <w:ind w:left="20"/>
                    <w:rPr>
                      <w:rFonts w:ascii="STKaiti" w:eastAsia="STKaiti" w:hAnsi="STKaiti" w:cs="STKaiti"/>
                      <w:sz w:val="24"/>
                      <w:szCs w:val="24"/>
                    </w:rPr>
                  </w:pPr>
                  <w:r>
                    <w:rPr>
                      <w:rFonts w:ascii="STKaiti" w:eastAsia="STKaiti" w:hAnsi="STKaiti" w:cs="STKaiti"/>
                      <w:spacing w:val="-8"/>
                      <w:sz w:val="24"/>
                      <w:szCs w:val="24"/>
                    </w:rPr>
                    <w:t>支持类</w:t>
                  </w:r>
                </w:p>
              </w:txbxContent>
            </v:textbox>
          </v:shape>
        </w:pict>
      </w:r>
      <w:r>
        <w:rPr>
          <w:rFonts w:ascii="STKaiti" w:eastAsia="STKaiti" w:hAnsi="STKaiti" w:cs="STKaiti"/>
          <w:spacing w:val="9"/>
          <w:sz w:val="19"/>
          <w:szCs w:val="19"/>
        </w:rPr>
        <w:t>轨道交通、航空航天等技术装备领域创建中国标准、中国品牌。建设交通安全应</w:t>
      </w:r>
      <w:r>
        <w:rPr>
          <w:rFonts w:ascii="STKaiti" w:eastAsia="STKaiti" w:hAnsi="STKaiti" w:cs="STKaiti"/>
          <w:spacing w:val="5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6"/>
          <w:sz w:val="19"/>
          <w:szCs w:val="19"/>
        </w:rPr>
        <w:t>急卫星系统工程，优化综合导航服务功能，  稳步推广使用带有北斗卫星应急定位</w:t>
      </w:r>
      <w:r>
        <w:rPr>
          <w:rFonts w:ascii="STKaiti" w:eastAsia="STKaiti" w:hAnsi="STKaiti" w:cs="STKaiti"/>
          <w:spacing w:val="4"/>
          <w:sz w:val="19"/>
          <w:szCs w:val="19"/>
        </w:rPr>
        <w:t xml:space="preserve"> </w:t>
      </w:r>
      <w:r>
        <w:rPr>
          <w:rFonts w:ascii="STKaiti" w:eastAsia="STKaiti" w:hAnsi="STKaiti" w:cs="STKaiti"/>
          <w:spacing w:val="6"/>
          <w:sz w:val="19"/>
          <w:szCs w:val="19"/>
        </w:rPr>
        <w:t>功能的救生衣、救生(筏)。</w:t>
      </w:r>
    </w:p>
    <w:p>
      <w:pPr>
        <w:spacing w:before="295" w:line="165" w:lineRule="auto"/>
        <w:ind w:left="6738"/>
        <w:rPr>
          <w:rFonts w:ascii="STKaiti" w:eastAsia="STKaiti" w:hAnsi="STKaiti" w:cs="STKaiti"/>
          <w:sz w:val="24"/>
          <w:szCs w:val="24"/>
        </w:rPr>
      </w:pPr>
      <w:r>
        <w:rPr>
          <w:rFonts w:ascii="STKaiti" w:eastAsia="STKaiti" w:hAnsi="STKaiti" w:cs="STKaiti"/>
          <w:spacing w:val="-3"/>
          <w:sz w:val="24"/>
          <w:szCs w:val="24"/>
        </w:rPr>
        <w:t>图：近年来我国关于商业航天的主要政策</w:t>
      </w:r>
    </w:p>
    <w:p>
      <w:pPr>
        <w:spacing w:line="165" w:lineRule="auto"/>
        <w:rPr>
          <w:rFonts w:ascii="STKaiti" w:eastAsia="STKaiti" w:hAnsi="STKaiti" w:cs="STKaiti"/>
          <w:sz w:val="24"/>
          <w:szCs w:val="24"/>
        </w:rPr>
        <w:sectPr>
          <w:headerReference w:type="default" r:id="rId25"/>
          <w:type w:val="continuous"/>
          <w:pgSz w:w="19200" w:h="10800"/>
          <w:pgMar w:top="400" w:right="0" w:bottom="0" w:left="743" w:header="0" w:footer="0" w:gutter="0"/>
          <w:pgNumType w:start="11"/>
          <w:cols w:num="1" w:space="708" w:equalWidth="0">
            <w:col w:w="18457" w:space="0"/>
          </w:cols>
        </w:sectPr>
      </w:pPr>
    </w:p>
    <w:p>
      <w:pPr>
        <w:spacing w:before="398" w:line="212" w:lineRule="auto"/>
        <w:ind w:left="24"/>
        <w:rPr>
          <w:rFonts w:ascii="STKaiti" w:eastAsia="STKaiti" w:hAnsi="STKaiti" w:cs="STKaiti"/>
          <w:sz w:val="48"/>
          <w:szCs w:val="48"/>
        </w:rPr>
      </w:pPr>
      <w:r>
        <w:drawing>
          <wp:anchor distT="0" distB="0" distL="0" distR="0" simplePos="0" relativeHeight="251702272" behindDoc="0" locked="0" layoutInCell="0" allowOverlap="1">
            <wp:simplePos x="0" y="0"/>
            <wp:positionH relativeFrom="page">
              <wp:posOffset>10057114</wp:posOffset>
            </wp:positionH>
            <wp:positionV relativeFrom="page">
              <wp:posOffset>291465</wp:posOffset>
            </wp:positionV>
            <wp:extent cx="1530436" cy="448709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0436" cy="448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Kaiti" w:eastAsia="STKaiti" w:hAnsi="STKaiti" w:cs="STKaiti"/>
          <w:color w:val="262626"/>
          <w:spacing w:val="-14"/>
          <w:sz w:val="48"/>
          <w:szCs w:val="48"/>
          <w14:textOutline w14:w="8717" w14:cap="sq">
            <w14:solidFill>
              <w14:srgbClr w14:val="262626"/>
            </w14:solidFill>
            <w14:prstDash w14:val="solid"/>
            <w14:miter w14:lim="10"/>
          </w14:textOutline>
        </w:rPr>
        <w:t>2</w:t>
      </w:r>
      <w:r>
        <w:rPr>
          <w:rFonts w:ascii="STKaiti" w:eastAsia="STKaiti" w:hAnsi="STKaiti" w:cs="STKaiti"/>
          <w:color w:val="262626"/>
          <w:spacing w:val="-68"/>
          <w:sz w:val="48"/>
          <w:szCs w:val="48"/>
        </w:rPr>
        <w:t xml:space="preserve"> </w:t>
      </w:r>
      <w:r>
        <w:rPr>
          <w:rFonts w:ascii="STKaiti" w:eastAsia="STKaiti" w:hAnsi="STKaiti" w:cs="STKaiti"/>
          <w:color w:val="262626"/>
          <w:spacing w:val="-14"/>
          <w:sz w:val="48"/>
          <w:szCs w:val="48"/>
          <w14:textOutline w14:w="8717" w14:cap="sq">
            <w14:solidFill>
              <w14:srgbClr w14:val="262626"/>
            </w14:solidFill>
            <w14:prstDash w14:val="solid"/>
            <w14:miter w14:lim="10"/>
          </w14:textOutline>
        </w:rPr>
        <w:t>、</w:t>
      </w:r>
      <w:r>
        <w:rPr>
          <w:rFonts w:ascii="STKaiti" w:eastAsia="STKaiti" w:hAnsi="STKaiti" w:cs="STKaiti"/>
          <w:color w:val="262626"/>
          <w:spacing w:val="-91"/>
          <w:sz w:val="48"/>
          <w:szCs w:val="48"/>
        </w:rPr>
        <w:t xml:space="preserve"> </w:t>
      </w:r>
      <w:r>
        <w:rPr>
          <w:rFonts w:ascii="STKaiti" w:eastAsia="STKaiti" w:hAnsi="STKaiti" w:cs="STKaiti"/>
          <w:color w:val="262626"/>
          <w:spacing w:val="-14"/>
          <w:sz w:val="48"/>
          <w:szCs w:val="48"/>
          <w14:textOutline w14:w="8717" w14:cap="sq">
            <w14:solidFill>
              <w14:srgbClr w14:val="262626"/>
            </w14:solidFill>
            <w14:prstDash w14:val="solid"/>
            <w14:miter w14:lim="10"/>
          </w14:textOutline>
        </w:rPr>
        <w:t>行业规模</w:t>
      </w:r>
    </w:p>
    <w:p>
      <w:pPr>
        <w:spacing w:before="165" w:line="25" w:lineRule="exact"/>
      </w:pPr>
      <w:r>
        <w:pict>
          <v:shape id="_x0000_i1091" style="width:923.05pt;height:1.25pt;mso-position-horizontal-relative:char;mso-position-vertical-relative:line" coordorigin="0,0" coordsize="18460,25" path="m12,12l18448,12e" filled="f" strokecolor="#2857ec" strokeweight="1.25pt">
            <v:stroke joinstyle="miter" endcap="square"/>
            <w10:wrap type="none"/>
          </v:shape>
        </w:pict>
      </w:r>
    </w:p>
    <w:p>
      <w:pPr>
        <w:pStyle w:val="BodyText"/>
        <w:spacing w:line="409" w:lineRule="auto"/>
      </w:pPr>
    </w:p>
    <w:p>
      <w:pPr>
        <w:spacing w:before="102" w:line="202" w:lineRule="auto"/>
        <w:ind w:left="243" w:right="1164" w:firstLine="19"/>
        <w:rPr>
          <w:rFonts w:ascii="STKaiti" w:eastAsia="STKaiti" w:hAnsi="STKaiti" w:cs="STKaiti"/>
          <w:sz w:val="28"/>
          <w:szCs w:val="28"/>
        </w:rPr>
      </w:pPr>
      <w:r>
        <w:rPr>
          <w:rFonts w:ascii="STKaiti" w:eastAsia="STKaiti" w:hAnsi="STKaiti" w:cs="STKaiti"/>
          <w:spacing w:val="-2"/>
          <w:sz w:val="28"/>
          <w:szCs w:val="28"/>
        </w:rPr>
        <w:t>从规模上看，由中国商业航天产业所辐射出来的市场规模已超万亿。据中国航天工业质量协会统</w:t>
      </w:r>
      <w:r>
        <w:rPr>
          <w:rFonts w:ascii="STKaiti" w:eastAsia="STKaiti" w:hAnsi="STKaiti" w:cs="STKaiti"/>
          <w:spacing w:val="-3"/>
          <w:sz w:val="28"/>
          <w:szCs w:val="28"/>
        </w:rPr>
        <w:t>计，  商业航天市场规模逐年增长，从2015至</w:t>
      </w:r>
      <w:r>
        <w:rPr>
          <w:rFonts w:ascii="STKaiti" w:eastAsia="STKaiti" w:hAnsi="STKaiti" w:cs="STKaiti"/>
          <w:sz w:val="28"/>
          <w:szCs w:val="28"/>
        </w:rPr>
        <w:t xml:space="preserve"> </w:t>
      </w:r>
      <w:r>
        <w:rPr>
          <w:rFonts w:ascii="STKaiti" w:eastAsia="STKaiti" w:hAnsi="STKaiti" w:cs="STKaiti"/>
          <w:sz w:val="28"/>
          <w:szCs w:val="28"/>
        </w:rPr>
        <w:t>2020年，产值由3,764.2亿元突破至万亿，年均增长率达22%，预计到2024年我国商业航天市场规模将达到23,382亿元。</w:t>
      </w:r>
    </w:p>
    <w:p>
      <w:pPr>
        <w:pStyle w:val="BodyText"/>
        <w:spacing w:line="279" w:lineRule="auto"/>
      </w:pPr>
    </w:p>
    <w:p>
      <w:pPr>
        <w:pStyle w:val="BodyText"/>
        <w:spacing w:line="280" w:lineRule="auto"/>
      </w:pPr>
    </w:p>
    <w:p>
      <w:pPr>
        <w:spacing w:before="102" w:line="204" w:lineRule="auto"/>
        <w:ind w:left="6818"/>
        <w:rPr>
          <w:rFonts w:ascii="STKaiti" w:eastAsia="STKaiti" w:hAnsi="STKaiti" w:cs="STKaiti"/>
          <w:sz w:val="28"/>
          <w:szCs w:val="28"/>
        </w:rPr>
      </w:pPr>
      <w:r>
        <w:rPr>
          <w:rFonts w:ascii="STKaiti" w:eastAsia="STKaiti" w:hAnsi="STKaiti" w:cs="STKaiti"/>
          <w:color w:val="595959"/>
          <w:sz w:val="28"/>
          <w:szCs w:val="28"/>
          <w14:textOutline w14:w="5094" w14:cap="rnd">
            <w14:solidFill>
              <w14:srgbClr w14:val="595959"/>
            </w14:solidFill>
            <w14:prstDash w14:val="solid"/>
            <w14:round/>
          </w14:textOutline>
        </w:rPr>
        <w:t>2015-2024E中国商业航天市场规模</w:t>
      </w:r>
    </w:p>
    <w:p>
      <w:pPr>
        <w:spacing w:line="40" w:lineRule="exact"/>
      </w:pPr>
    </w:p>
    <w:p>
      <w:pPr>
        <w:spacing w:line="40" w:lineRule="exact"/>
        <w:sectPr>
          <w:headerReference w:type="default" r:id="rId26"/>
          <w:pgSz w:w="19200" w:h="10800"/>
          <w:pgMar w:top="400" w:right="19" w:bottom="0" w:left="719" w:header="0" w:footer="0" w:gutter="0"/>
          <w:pgNumType w:start="12"/>
          <w:cols w:num="1" w:space="708" w:equalWidth="0">
            <w:col w:w="18461" w:space="0"/>
          </w:cols>
        </w:sectPr>
      </w:pPr>
    </w:p>
    <w:p>
      <w:pPr>
        <w:spacing w:before="134" w:line="183" w:lineRule="auto"/>
        <w:ind w:left="227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595959"/>
          <w:spacing w:val="3"/>
          <w:sz w:val="19"/>
          <w:szCs w:val="19"/>
        </w:rPr>
        <w:t>25,000</w:t>
      </w:r>
    </w:p>
    <w:p>
      <w:pPr>
        <w:pStyle w:val="BodyText"/>
        <w:spacing w:line="325" w:lineRule="auto"/>
      </w:pPr>
    </w:p>
    <w:p>
      <w:pPr>
        <w:pStyle w:val="BodyText"/>
        <w:spacing w:line="326" w:lineRule="auto"/>
      </w:pPr>
    </w:p>
    <w:p>
      <w:pPr>
        <w:spacing w:before="70" w:line="182" w:lineRule="auto"/>
        <w:ind w:left="227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595959"/>
          <w:spacing w:val="3"/>
          <w:sz w:val="19"/>
          <w:szCs w:val="19"/>
        </w:rPr>
        <w:t>20,000</w:t>
      </w:r>
    </w:p>
    <w:p>
      <w:pPr>
        <w:pStyle w:val="BodyText"/>
        <w:spacing w:line="325" w:lineRule="auto"/>
      </w:pPr>
    </w:p>
    <w:p>
      <w:pPr>
        <w:pStyle w:val="BodyText"/>
        <w:spacing w:line="325" w:lineRule="auto"/>
      </w:pPr>
    </w:p>
    <w:p>
      <w:pPr>
        <w:spacing w:before="69" w:line="183" w:lineRule="auto"/>
        <w:ind w:left="238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595959"/>
          <w:spacing w:val="1"/>
          <w:sz w:val="19"/>
          <w:szCs w:val="19"/>
        </w:rPr>
        <w:t>15,000</w:t>
      </w:r>
    </w:p>
    <w:p>
      <w:pPr>
        <w:pStyle w:val="BodyText"/>
        <w:spacing w:line="325" w:lineRule="auto"/>
      </w:pPr>
    </w:p>
    <w:p>
      <w:pPr>
        <w:pStyle w:val="BodyText"/>
        <w:spacing w:line="326" w:lineRule="auto"/>
      </w:pPr>
    </w:p>
    <w:p>
      <w:pPr>
        <w:spacing w:before="70" w:line="182" w:lineRule="auto"/>
        <w:ind w:left="238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595959"/>
          <w:spacing w:val="1"/>
          <w:sz w:val="19"/>
          <w:szCs w:val="19"/>
        </w:rPr>
        <w:t>10,000</w:t>
      </w:r>
    </w:p>
    <w:p>
      <w:pPr>
        <w:pStyle w:val="BodyText"/>
        <w:spacing w:line="325" w:lineRule="auto"/>
      </w:pPr>
    </w:p>
    <w:p>
      <w:pPr>
        <w:pStyle w:val="BodyText"/>
        <w:spacing w:line="325" w:lineRule="auto"/>
      </w:pPr>
    </w:p>
    <w:p>
      <w:pPr>
        <w:spacing w:before="69" w:line="183" w:lineRule="auto"/>
        <w:ind w:left="329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595959"/>
          <w:spacing w:val="1"/>
          <w:sz w:val="19"/>
          <w:szCs w:val="19"/>
        </w:rPr>
        <w:t>5,000</w:t>
      </w:r>
    </w:p>
    <w:p>
      <w:pPr>
        <w:pStyle w:val="BodyText"/>
        <w:spacing w:line="326" w:lineRule="auto"/>
      </w:pPr>
    </w:p>
    <w:p>
      <w:pPr>
        <w:pStyle w:val="BodyText"/>
        <w:spacing w:line="326" w:lineRule="auto"/>
      </w:pPr>
    </w:p>
    <w:p>
      <w:pPr>
        <w:spacing w:before="70" w:line="180" w:lineRule="auto"/>
        <w:ind w:left="648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595959"/>
          <w:sz w:val="19"/>
          <w:szCs w:val="19"/>
        </w:rPr>
        <w:t>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8" w:line="160" w:lineRule="auto"/>
        <w:ind w:left="7467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spacing w:val="5"/>
          <w:sz w:val="19"/>
          <w:szCs w:val="19"/>
        </w:rPr>
        <w:t>单位：亿元</w:t>
      </w:r>
    </w:p>
    <w:p>
      <w:pPr>
        <w:spacing w:line="168" w:lineRule="auto"/>
        <w:ind w:left="15009"/>
        <w:rPr>
          <w:rFonts w:ascii="STKaiti" w:eastAsia="STKaiti" w:hAnsi="STKaiti" w:cs="STKaiti"/>
          <w:sz w:val="19"/>
          <w:szCs w:val="19"/>
        </w:rPr>
      </w:pPr>
      <w:r>
        <w:rPr>
          <w:rFonts w:ascii="STKaiti" w:eastAsia="STKaiti" w:hAnsi="STKaiti" w:cs="STKaiti"/>
          <w:color w:val="404040"/>
          <w:spacing w:val="3"/>
          <w:sz w:val="19"/>
          <w:szCs w:val="19"/>
        </w:rPr>
        <w:t>23,382</w:t>
      </w:r>
      <w:r>
        <w:rPr>
          <w:rFonts w:ascii="STKaiti" w:eastAsia="STKaiti" w:hAnsi="STKaiti" w:cs="STKaiti"/>
          <w:sz w:val="19"/>
          <w:szCs w:val="19"/>
        </w:rPr>
        <w:br/>
      </w:r>
      <w:r>
        <w:rPr>
          <w:rFonts w:ascii="STKaiti" w:eastAsia="STKaiti" w:hAnsi="STKaiti" w:cs="STKaiti"/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https://d.book118.com/698036051143006043</w:t>
        </w:r>
      </w:hyperlink>
    </w:p>
    <w:p>
      <w:pPr>
        <w:spacing w:line="168" w:lineRule="auto"/>
        <w:ind w:left="15009"/>
        <w:rPr>
          <w:rFonts w:ascii="STKaiti" w:eastAsia="STKaiti" w:hAnsi="STKaiti" w:cs="STKaiti"/>
          <w:sz w:val="19"/>
          <w:szCs w:val="19"/>
        </w:rPr>
      </w:pPr>
    </w:p>
    <w:sectPr>
      <w:headerReference w:type="default" r:id="rId28"/>
      <w:type w:val="continuous"/>
      <w:pgSz w:w="19200" w:h="10800"/>
      <w:pgMar w:top="400" w:right="19" w:bottom="0" w:left="719" w:header="0" w:footer="0" w:gutter="0"/>
      <w:pgNumType w:start="13"/>
      <w:cols w:num="3" w:space="708" w:equalWidth="0">
        <w:col w:w="856" w:space="100"/>
        <w:col w:w="16137" w:space="100"/>
        <w:col w:w="126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7996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7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192000" cy="6857996"/>
          <wp:effectExtent l="0" t="0" r="0" b="0"/>
          <wp:wrapNone/>
          <wp:docPr id="35602708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02708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192000" cy="68579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eader" Target="header3.xml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image" Target="media/image11.jpeg" /><Relationship Id="rId17" Type="http://schemas.openxmlformats.org/officeDocument/2006/relationships/header" Target="header4.xml" /><Relationship Id="rId18" Type="http://schemas.openxmlformats.org/officeDocument/2006/relationships/header" Target="head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image" Target="media/image12.png" /><Relationship Id="rId23" Type="http://schemas.openxmlformats.org/officeDocument/2006/relationships/header" Target="header9.xml" /><Relationship Id="rId24" Type="http://schemas.openxmlformats.org/officeDocument/2006/relationships/header" Target="header10.xml" /><Relationship Id="rId25" Type="http://schemas.openxmlformats.org/officeDocument/2006/relationships/header" Target="header11.xml" /><Relationship Id="rId26" Type="http://schemas.openxmlformats.org/officeDocument/2006/relationships/header" Target="header12.xml" /><Relationship Id="rId27" Type="http://schemas.openxmlformats.org/officeDocument/2006/relationships/hyperlink" Target="https://d.book118.com/698036051143006043" TargetMode="External" /><Relationship Id="rId28" Type="http://schemas.openxmlformats.org/officeDocument/2006/relationships/header" Target="header13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image" Target="media/image5.png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2024-03-09T16:21:55Z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2024-03-09T16:29:23Z</vt:filetime>
  </property>
  <property fmtid="{D5CDD505-2E9C-101B-9397-08002B2CF9AE}" pid="3" name="CRO">
    <vt:lpwstr>wqlLaW5nc29mdCBQREYgdG8gV1BTIDkw</vt:lpwstr>
  </property>
</Properties>
</file>