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2018-2023年桐城师范高等专科学校高职单招（数学／语文／英语）历年常考试题库含答案解析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七斤的主要性格特征是（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A.见多识广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B.憎恶复辟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D.伺机复辟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810400" cy="294353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白居易号（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A.六一居士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B.东坡居士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C.青莲居士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D.香山居士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下列细节描写中，描写南霁云的是（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A.怒则须髯张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B.拔刀断指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C.抽矢射贺兰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D.记忆超人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盛唐山水田园诗派的代表诗人是（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B.谢灵运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D.王之涣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《短歌行》中引用《诗经》成句“呦呦鹿鸣，食野之苹。我有嘉宾，鼓瑟吹笙”，所表达的心情是（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A.思慕贤才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B.优礼贤才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C.对贤才无所依托的焦虑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D.与贤才久别重逢的欣慰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《前赤壁赋》行文的内在线索是（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A.时间的推移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B.感情的变化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C.事理的逻辑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D.想象的展开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短篇小说《断魂枪》所描写的时代背景是（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A.古代社会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B.近代中国（辛亥革命前后）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C.元代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《背影》一文的结构线索是（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A.横式结构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B.纵式结构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C.自由结构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D.纵横结合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奠定郭沫若在中国现代文学史上的地位的是他于1921年出版的诗集（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A.《尝试集》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下列选项中，画线部分翻译错误的一项是（）。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A.闻道百，以为莫己若者，我之谓也以为~~莫己若者：认为没有谁如同自己一样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B.今乃弃黔首以资敌国，却宾客以业诸侯~~却宾客以业诸侯：驱逐宾客使诸侯成就功业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https://d.book118.com/698061011132006040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698061011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