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w:themeColor="background1" filled="t"/>
  </w:background>
  <w:body>
    <w:p w:rsidR="00473C68">
      <w:pPr>
        <w:rPr>
          <w:rFonts w:ascii="宋体" w:hAnsi="宋体" w:cs="宋体"/>
          <w:color w:val="000000" w:themeColor="text1"/>
        </w:rPr>
      </w:pPr>
      <w:bookmarkStart w:id="0" w:name="_GoBack"/>
      <w:bookmarkEnd w:id="0"/>
    </w:p>
    <w:p w:rsidR="00473C68">
      <w:pPr>
        <w:pStyle w:val="BodyText"/>
        <w:jc w:val="center"/>
        <w:rPr>
          <w:rFonts w:ascii="宋体" w:hAnsi="宋体" w:cs="宋体"/>
          <w:color w:val="000000" w:themeColor="text1"/>
        </w:rPr>
      </w:pPr>
      <w:r>
        <w:rPr>
          <w:rFonts w:ascii="宋体" w:hAnsi="宋体" w:cs="宋体" w:hint="eastAsia"/>
          <w:noProof/>
          <w:color w:val="000000" w:themeColor="text1"/>
        </w:rPr>
        <w:drawing>
          <wp:anchor distT="0" distB="0" distL="0" distR="0" simplePos="0" relativeHeight="251658240" behindDoc="1" locked="0" layoutInCell="1" allowOverlap="1">
            <wp:simplePos x="0" y="0"/>
            <wp:positionH relativeFrom="column">
              <wp:posOffset>239395</wp:posOffset>
            </wp:positionH>
            <wp:positionV relativeFrom="paragraph">
              <wp:posOffset>194945</wp:posOffset>
            </wp:positionV>
            <wp:extent cx="5488940" cy="2279015"/>
            <wp:effectExtent l="0" t="0" r="0" b="6985"/>
            <wp:wrapTight wrapText="bothSides">
              <wp:wrapPolygon>
                <wp:start x="7946" y="0"/>
                <wp:lineTo x="7696" y="602"/>
                <wp:lineTo x="7596" y="1204"/>
                <wp:lineTo x="7596" y="12879"/>
                <wp:lineTo x="8546" y="13481"/>
                <wp:lineTo x="10795" y="13481"/>
                <wp:lineTo x="0" y="15889"/>
                <wp:lineTo x="0" y="17333"/>
                <wp:lineTo x="10795" y="17333"/>
                <wp:lineTo x="7696" y="18296"/>
                <wp:lineTo x="7197" y="18537"/>
                <wp:lineTo x="7047" y="19740"/>
                <wp:lineTo x="6947" y="21305"/>
                <wp:lineTo x="7097" y="21425"/>
                <wp:lineTo x="7497" y="21425"/>
                <wp:lineTo x="13644" y="21425"/>
                <wp:lineTo x="14493" y="21425"/>
                <wp:lineTo x="14743" y="21305"/>
                <wp:lineTo x="14693" y="18657"/>
                <wp:lineTo x="14293" y="18416"/>
                <wp:lineTo x="10795" y="17333"/>
                <wp:lineTo x="21540" y="17333"/>
                <wp:lineTo x="21540" y="15889"/>
                <wp:lineTo x="17892" y="15166"/>
                <wp:lineTo x="16143" y="14685"/>
                <wp:lineTo x="10795" y="13481"/>
                <wp:lineTo x="12944" y="13481"/>
                <wp:lineTo x="13994" y="12879"/>
                <wp:lineTo x="13994" y="1444"/>
                <wp:lineTo x="13844" y="602"/>
                <wp:lineTo x="13594" y="0"/>
                <wp:lineTo x="7946" y="0"/>
              </wp:wrapPolygon>
            </wp:wrapTight>
            <wp:docPr id="5" name="图片 0" descr="永安A4封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0" descr="永安A4封面.png"/>
                    <pic:cNvPicPr>
                      <a:picLocks noChangeAspect="1"/>
                    </pic:cNvPicPr>
                  </pic:nvPicPr>
                  <pic:blipFill>
                    <a:blip xmlns:r="http://schemas.openxmlformats.org/officeDocument/2006/relationships" r:embed="rId5" cstate="print"/>
                    <a:stretch>
                      <a:fillRect/>
                    </a:stretch>
                  </pic:blipFill>
                  <pic:spPr>
                    <a:xfrm>
                      <a:off x="0" y="0"/>
                      <a:ext cx="5488940" cy="2279015"/>
                    </a:xfrm>
                    <a:prstGeom prst="rect">
                      <a:avLst/>
                    </a:prstGeom>
                  </pic:spPr>
                </pic:pic>
              </a:graphicData>
            </a:graphic>
          </wp:anchor>
        </w:drawing>
      </w:r>
    </w:p>
    <w:p w:rsidR="00473C68">
      <w:pPr>
        <w:pStyle w:val="BodyText"/>
        <w:jc w:val="center"/>
        <w:rPr>
          <w:rFonts w:ascii="宋体" w:hAnsi="宋体" w:cs="宋体"/>
          <w:color w:val="000000" w:themeColor="text1"/>
        </w:rPr>
      </w:pPr>
    </w:p>
    <w:p w:rsidR="00473C68">
      <w:pPr>
        <w:pStyle w:val="BodyText"/>
        <w:jc w:val="center"/>
        <w:rPr>
          <w:rFonts w:ascii="宋体" w:hAnsi="宋体" w:cs="宋体"/>
          <w:color w:val="000000" w:themeColor="text1"/>
        </w:rPr>
      </w:pPr>
    </w:p>
    <w:p w:rsidR="00473C68">
      <w:pPr>
        <w:tabs>
          <w:tab w:val="left" w:pos="720"/>
          <w:tab w:val="left" w:pos="2160"/>
          <w:tab w:val="left" w:pos="2880"/>
          <w:tab w:val="left" w:pos="3600"/>
          <w:tab w:val="left" w:pos="4320"/>
          <w:tab w:val="left" w:pos="5040"/>
          <w:tab w:val="left" w:pos="5760"/>
        </w:tabs>
        <w:autoSpaceDE w:val="0"/>
        <w:autoSpaceDN w:val="0"/>
        <w:adjustRightInd w:val="0"/>
        <w:spacing w:line="360" w:lineRule="auto"/>
        <w:ind w:right="924"/>
        <w:rPr>
          <w:rFonts w:ascii="宋体" w:hAnsi="宋体" w:cs="宋体"/>
          <w:b/>
          <w:color w:val="000000" w:themeColor="text1"/>
          <w:kern w:val="0"/>
          <w:sz w:val="84"/>
          <w:szCs w:val="84"/>
        </w:rPr>
      </w:pPr>
      <w:r>
        <w:rPr>
          <w:rFonts w:ascii="宋体" w:hAnsi="宋体" w:cs="宋体" w:hint="eastAsia"/>
          <w:b/>
          <w:color w:val="000000" w:themeColor="text1"/>
          <w:kern w:val="0"/>
          <w:sz w:val="84"/>
          <w:szCs w:val="84"/>
        </w:rPr>
        <w:t xml:space="preserve"> </w:t>
      </w:r>
    </w:p>
    <w:p w:rsidR="00473C68">
      <w:pPr>
        <w:tabs>
          <w:tab w:val="left" w:pos="720"/>
          <w:tab w:val="left" w:pos="2160"/>
          <w:tab w:val="left" w:pos="2880"/>
          <w:tab w:val="left" w:pos="3600"/>
          <w:tab w:val="left" w:pos="4320"/>
          <w:tab w:val="left" w:pos="5040"/>
          <w:tab w:val="left" w:pos="5760"/>
        </w:tabs>
        <w:autoSpaceDE w:val="0"/>
        <w:autoSpaceDN w:val="0"/>
        <w:adjustRightInd w:val="0"/>
        <w:spacing w:line="360" w:lineRule="auto"/>
        <w:ind w:right="924"/>
        <w:rPr>
          <w:rFonts w:ascii="宋体" w:hAnsi="宋体" w:cs="宋体"/>
          <w:b/>
          <w:color w:val="000000" w:themeColor="text1"/>
          <w:kern w:val="0"/>
          <w:sz w:val="84"/>
          <w:szCs w:val="84"/>
        </w:rPr>
      </w:pPr>
    </w:p>
    <w:p w:rsidR="00473C68">
      <w:pPr>
        <w:tabs>
          <w:tab w:val="left" w:pos="720"/>
          <w:tab w:val="left" w:pos="2160"/>
          <w:tab w:val="left" w:pos="2880"/>
          <w:tab w:val="left" w:pos="3600"/>
          <w:tab w:val="left" w:pos="4320"/>
          <w:tab w:val="left" w:pos="5040"/>
          <w:tab w:val="left" w:pos="5760"/>
        </w:tabs>
        <w:autoSpaceDE w:val="0"/>
        <w:autoSpaceDN w:val="0"/>
        <w:adjustRightInd w:val="0"/>
        <w:spacing w:line="360" w:lineRule="auto"/>
        <w:ind w:right="924"/>
        <w:rPr>
          <w:rFonts w:ascii="宋体" w:hAnsi="宋体" w:cs="宋体"/>
          <w:b/>
          <w:color w:val="000000" w:themeColor="text1"/>
          <w:kern w:val="0"/>
          <w:sz w:val="72"/>
          <w:szCs w:val="72"/>
        </w:rPr>
      </w:pPr>
    </w:p>
    <w:p w:rsidR="00473C68">
      <w:pPr>
        <w:tabs>
          <w:tab w:val="left" w:pos="720"/>
          <w:tab w:val="left" w:pos="2160"/>
          <w:tab w:val="left" w:pos="2880"/>
          <w:tab w:val="left" w:pos="3600"/>
          <w:tab w:val="left" w:pos="4320"/>
          <w:tab w:val="left" w:pos="5040"/>
          <w:tab w:val="left" w:pos="5760"/>
        </w:tabs>
        <w:autoSpaceDE w:val="0"/>
        <w:autoSpaceDN w:val="0"/>
        <w:adjustRightInd w:val="0"/>
        <w:spacing w:line="360" w:lineRule="auto"/>
        <w:ind w:right="924"/>
        <w:jc w:val="center"/>
        <w:rPr>
          <w:rFonts w:ascii="宋体" w:hAnsi="宋体" w:cs="宋体"/>
          <w:b/>
          <w:color w:val="000000" w:themeColor="text1"/>
          <w:kern w:val="0"/>
          <w:sz w:val="72"/>
          <w:szCs w:val="72"/>
        </w:rPr>
      </w:pPr>
      <w:r>
        <w:rPr>
          <w:rFonts w:ascii="宋体" w:hAnsi="宋体" w:cs="宋体" w:hint="eastAsia"/>
          <w:b/>
          <w:color w:val="000000" w:themeColor="text1"/>
          <w:kern w:val="0"/>
          <w:sz w:val="72"/>
          <w:szCs w:val="72"/>
        </w:rPr>
        <w:t xml:space="preserve">   政府采购招标文件</w:t>
      </w:r>
    </w:p>
    <w:p w:rsidR="00473C68">
      <w:pPr>
        <w:spacing w:line="360" w:lineRule="auto"/>
        <w:jc w:val="center"/>
        <w:rPr>
          <w:rFonts w:ascii="宋体" w:hAnsi="宋体" w:cs="宋体"/>
          <w:color w:val="000000" w:themeColor="text1"/>
          <w:kern w:val="0"/>
          <w:sz w:val="28"/>
          <w:szCs w:val="28"/>
        </w:rPr>
      </w:pPr>
      <w:r>
        <w:rPr>
          <w:rFonts w:ascii="宋体" w:hAnsi="宋体" w:cs="宋体" w:hint="eastAsia"/>
          <w:b/>
          <w:bCs/>
          <w:color w:val="000000" w:themeColor="text1"/>
          <w:kern w:val="0"/>
          <w:sz w:val="32"/>
          <w:szCs w:val="32"/>
        </w:rPr>
        <w:t>（电子招投标方式）</w:t>
      </w:r>
    </w:p>
    <w:p w:rsidR="00473C68">
      <w:pPr>
        <w:spacing w:line="360" w:lineRule="auto"/>
        <w:jc w:val="center"/>
        <w:rPr>
          <w:rFonts w:ascii="宋体" w:hAnsi="宋体" w:cs="宋体"/>
          <w:b/>
          <w:color w:val="000000" w:themeColor="text1"/>
          <w:kern w:val="0"/>
          <w:sz w:val="28"/>
          <w:szCs w:val="28"/>
        </w:rPr>
      </w:pPr>
      <w:r>
        <w:rPr>
          <w:rFonts w:ascii="宋体" w:hAnsi="宋体" w:cs="宋体" w:hint="eastAsia"/>
          <w:color w:val="000000" w:themeColor="text1"/>
          <w:kern w:val="0"/>
          <w:sz w:val="28"/>
          <w:szCs w:val="28"/>
        </w:rPr>
        <w:t>项目编号：</w:t>
      </w:r>
      <w:r>
        <w:rPr>
          <w:rFonts w:ascii="宋体" w:hAnsi="宋体" w:cs="宋体" w:hint="eastAsia"/>
          <w:color w:val="000000" w:themeColor="text1"/>
          <w:kern w:val="0"/>
          <w:sz w:val="28"/>
          <w:szCs w:val="28"/>
          <w:u w:val="single"/>
        </w:rPr>
        <w:t xml:space="preserve">tzya2023-tz54 </w:t>
      </w:r>
    </w:p>
    <w:p w:rsidR="00473C68">
      <w:pPr>
        <w:pStyle w:val="BodyText"/>
        <w:jc w:val="center"/>
        <w:rPr>
          <w:rFonts w:ascii="宋体" w:hAnsi="宋体" w:cs="宋体"/>
          <w:color w:val="000000" w:themeColor="text1"/>
        </w:rPr>
      </w:pPr>
    </w:p>
    <w:p w:rsidR="00473C68">
      <w:pPr>
        <w:pStyle w:val="BodyText"/>
        <w:jc w:val="center"/>
        <w:rPr>
          <w:rFonts w:ascii="宋体" w:hAnsi="宋体" w:cs="宋体"/>
          <w:color w:val="000000" w:themeColor="text1"/>
        </w:rPr>
      </w:pPr>
    </w:p>
    <w:p w:rsidR="00473C68">
      <w:pPr>
        <w:spacing w:line="360" w:lineRule="auto"/>
        <w:ind w:left="1400" w:hanging="1400" w:hangingChars="500"/>
        <w:jc w:val="center"/>
        <w:rPr>
          <w:rFonts w:ascii="宋体" w:hAnsi="宋体" w:cs="宋体"/>
          <w:color w:val="000000" w:themeColor="text1"/>
        </w:rPr>
      </w:pPr>
      <w:r>
        <w:rPr>
          <w:rFonts w:ascii="宋体" w:hAnsi="宋体" w:cs="宋体" w:hint="eastAsia"/>
          <w:b/>
          <w:bCs/>
          <w:color w:val="000000" w:themeColor="text1"/>
          <w:kern w:val="0"/>
          <w:sz w:val="28"/>
          <w:szCs w:val="28"/>
        </w:rPr>
        <w:t>采购项目：</w:t>
      </w:r>
      <w:r>
        <w:rPr>
          <w:rFonts w:ascii="宋体" w:hAnsi="宋体" w:cs="宋体" w:hint="eastAsia"/>
          <w:color w:val="000000" w:themeColor="text1"/>
          <w:kern w:val="0"/>
          <w:sz w:val="28"/>
          <w:szCs w:val="28"/>
          <w:u w:val="single"/>
        </w:rPr>
        <w:t>2024年学生公寓管理服务项目</w:t>
      </w:r>
    </w:p>
    <w:p w:rsidR="00473C68">
      <w:pPr>
        <w:spacing w:line="360" w:lineRule="auto"/>
        <w:jc w:val="center"/>
        <w:rPr>
          <w:rFonts w:ascii="宋体" w:hAnsi="宋体" w:cs="宋体"/>
          <w:color w:val="000000" w:themeColor="text1"/>
          <w:kern w:val="0"/>
          <w:sz w:val="28"/>
          <w:szCs w:val="28"/>
          <w:u w:val="single"/>
        </w:rPr>
      </w:pPr>
      <w:r>
        <w:rPr>
          <w:rFonts w:ascii="宋体" w:hAnsi="宋体" w:cs="宋体" w:hint="eastAsia"/>
          <w:b/>
          <w:bCs/>
          <w:color w:val="000000" w:themeColor="text1"/>
          <w:kern w:val="0"/>
          <w:sz w:val="28"/>
          <w:szCs w:val="28"/>
        </w:rPr>
        <w:t>采 购 人：</w:t>
      </w:r>
      <w:r>
        <w:rPr>
          <w:rFonts w:ascii="宋体" w:hAnsi="宋体" w:cs="宋体" w:hint="eastAsia"/>
          <w:color w:val="000000" w:themeColor="text1"/>
          <w:kern w:val="0"/>
          <w:sz w:val="28"/>
          <w:szCs w:val="28"/>
          <w:u w:val="single"/>
        </w:rPr>
        <w:t>台州市路桥中学</w:t>
      </w:r>
    </w:p>
    <w:p w:rsidR="00473C68">
      <w:pPr>
        <w:pStyle w:val="BodyText"/>
        <w:rPr>
          <w:rFonts w:ascii="宋体" w:hAnsi="宋体" w:cs="宋体"/>
          <w:color w:val="000000" w:themeColor="text1"/>
        </w:rPr>
      </w:pPr>
    </w:p>
    <w:p w:rsidR="00473C68">
      <w:pPr>
        <w:pStyle w:val="BodyText"/>
        <w:rPr>
          <w:rFonts w:ascii="宋体" w:hAnsi="宋体" w:cs="宋体"/>
          <w:color w:val="000000" w:themeColor="text1"/>
        </w:rPr>
      </w:pPr>
    </w:p>
    <w:p w:rsidR="00473C68">
      <w:pPr>
        <w:pStyle w:val="BodyText"/>
        <w:rPr>
          <w:rFonts w:ascii="宋体" w:hAnsi="宋体" w:cs="宋体"/>
          <w:color w:val="000000" w:themeColor="text1"/>
        </w:rPr>
      </w:pPr>
    </w:p>
    <w:p w:rsidR="00473C68">
      <w:pPr>
        <w:spacing w:line="360" w:lineRule="auto"/>
        <w:ind w:firstLine="1400" w:firstLineChars="500"/>
        <w:rPr>
          <w:rFonts w:ascii="宋体" w:hAnsi="宋体" w:cs="宋体"/>
          <w:color w:val="000000" w:themeColor="text1"/>
          <w:kern w:val="0"/>
          <w:sz w:val="28"/>
          <w:szCs w:val="28"/>
        </w:rPr>
      </w:pPr>
      <w:r>
        <w:rPr>
          <w:rFonts w:ascii="宋体" w:hAnsi="宋体" w:cs="宋体" w:hint="eastAsia"/>
          <w:b/>
          <w:bCs/>
          <w:color w:val="000000" w:themeColor="text1"/>
          <w:kern w:val="0"/>
          <w:sz w:val="28"/>
          <w:szCs w:val="28"/>
        </w:rPr>
        <w:t>采购代理机构：</w:t>
      </w:r>
      <w:r>
        <w:rPr>
          <w:rFonts w:ascii="宋体" w:hAnsi="宋体" w:cs="宋体" w:hint="eastAsia"/>
          <w:color w:val="000000" w:themeColor="text1"/>
          <w:kern w:val="0"/>
          <w:sz w:val="28"/>
          <w:szCs w:val="28"/>
        </w:rPr>
        <w:t>台州永安工程咨询有限公司</w:t>
      </w:r>
    </w:p>
    <w:p w:rsidR="00473C68">
      <w:pPr>
        <w:pStyle w:val="BodyText"/>
        <w:rPr>
          <w:rFonts w:ascii="宋体" w:hAnsi="宋体" w:cs="宋体"/>
          <w:color w:val="000000" w:themeColor="text1"/>
        </w:rPr>
      </w:pPr>
    </w:p>
    <w:p w:rsidR="00473C68">
      <w:pPr>
        <w:pStyle w:val="BodyText"/>
        <w:jc w:val="center"/>
        <w:rPr>
          <w:rFonts w:ascii="宋体" w:hAnsi="宋体" w:cs="宋体"/>
          <w:color w:val="000000" w:themeColor="text1"/>
          <w:kern w:val="0"/>
          <w:szCs w:val="21"/>
        </w:rPr>
      </w:pPr>
      <w:r>
        <w:rPr>
          <w:rFonts w:ascii="宋体" w:hAnsi="宋体" w:cs="宋体" w:hint="eastAsia"/>
          <w:color w:val="000000" w:themeColor="text1"/>
          <w:kern w:val="0"/>
          <w:sz w:val="28"/>
          <w:szCs w:val="28"/>
        </w:rPr>
        <w:t>二○二三年十一月</w:t>
      </w:r>
    </w:p>
    <w:p w:rsidR="00473C68">
      <w:pPr>
        <w:pStyle w:val="BodyText"/>
        <w:jc w:val="center"/>
        <w:rPr>
          <w:rFonts w:ascii="宋体" w:hAnsi="宋体" w:cs="宋体"/>
          <w:color w:val="000000" w:themeColor="text1"/>
          <w:kern w:val="0"/>
          <w:szCs w:val="21"/>
        </w:rPr>
      </w:pPr>
    </w:p>
    <w:p w:rsidR="00473C68">
      <w:pPr>
        <w:pStyle w:val="BodyText"/>
        <w:rPr>
          <w:rFonts w:ascii="宋体" w:hAnsi="宋体" w:cs="宋体"/>
          <w:color w:val="000000" w:themeColor="text1"/>
        </w:rPr>
        <w:sectPr>
          <w:headerReference w:type="default" r:id="rId6"/>
          <w:footerReference w:type="default" r:id="rId7"/>
          <w:pgSz w:w="11906" w:h="16838"/>
          <w:pgMar w:top="1440" w:right="1440" w:bottom="1440" w:left="1803" w:header="851" w:footer="992" w:gutter="0"/>
          <w:cols w:space="0"/>
          <w:docGrid w:type="lines" w:linePitch="325"/>
        </w:sectPr>
      </w:pPr>
    </w:p>
    <w:p w:rsidR="00473C68">
      <w:pPr>
        <w:spacing w:line="360" w:lineRule="auto"/>
        <w:jc w:val="center"/>
        <w:rPr>
          <w:rFonts w:ascii="宋体" w:hAnsi="宋体" w:cs="宋体"/>
          <w:b/>
          <w:bCs/>
          <w:color w:val="000000" w:themeColor="text1"/>
          <w:sz w:val="36"/>
          <w:szCs w:val="36"/>
        </w:rPr>
      </w:pPr>
      <w:r>
        <w:rPr>
          <w:rFonts w:ascii="宋体" w:hAnsi="宋体" w:cs="宋体" w:hint="eastAsia"/>
          <w:b/>
          <w:bCs/>
          <w:color w:val="000000" w:themeColor="text1"/>
          <w:sz w:val="36"/>
          <w:szCs w:val="36"/>
        </w:rPr>
        <w:t>目  录</w:t>
      </w:r>
    </w:p>
    <w:p w:rsidR="00473C68">
      <w:pPr>
        <w:spacing w:line="360" w:lineRule="auto"/>
        <w:rPr>
          <w:rFonts w:ascii="宋体" w:hAnsi="宋体" w:cs="宋体"/>
          <w:color w:val="000000" w:themeColor="text1"/>
          <w:sz w:val="28"/>
          <w:szCs w:val="28"/>
        </w:rPr>
      </w:pPr>
    </w:p>
    <w:p w:rsidR="00473C68">
      <w:pPr>
        <w:numPr>
          <w:ilvl w:val="0"/>
          <w:numId w:val="5"/>
        </w:numPr>
        <w:spacing w:line="360" w:lineRule="auto"/>
        <w:rPr>
          <w:rFonts w:ascii="宋体" w:hAnsi="宋体" w:cs="宋体"/>
          <w:b/>
          <w:color w:val="000000" w:themeColor="text1"/>
          <w:sz w:val="28"/>
          <w:szCs w:val="28"/>
        </w:rPr>
      </w:pPr>
      <w:r>
        <w:rPr>
          <w:rFonts w:ascii="宋体" w:hAnsi="宋体" w:cs="宋体" w:hint="eastAsia"/>
          <w:b/>
          <w:color w:val="000000" w:themeColor="text1"/>
          <w:sz w:val="28"/>
          <w:szCs w:val="28"/>
        </w:rPr>
        <w:t>公开招标采购公告</w:t>
      </w:r>
    </w:p>
    <w:p w:rsidR="00473C68">
      <w:pPr>
        <w:numPr>
          <w:ilvl w:val="0"/>
          <w:numId w:val="5"/>
        </w:numPr>
        <w:spacing w:line="360" w:lineRule="auto"/>
        <w:rPr>
          <w:rFonts w:ascii="宋体" w:hAnsi="宋体" w:cs="宋体"/>
          <w:b/>
          <w:color w:val="000000" w:themeColor="text1"/>
          <w:sz w:val="28"/>
          <w:szCs w:val="28"/>
        </w:rPr>
      </w:pPr>
      <w:r>
        <w:rPr>
          <w:rFonts w:ascii="宋体" w:hAnsi="宋体" w:cs="宋体" w:hint="eastAsia"/>
          <w:b/>
          <w:color w:val="000000" w:themeColor="text1"/>
          <w:sz w:val="28"/>
          <w:szCs w:val="28"/>
        </w:rPr>
        <w:t>投标人须知</w:t>
      </w:r>
    </w:p>
    <w:p w:rsidR="00473C68">
      <w:pPr>
        <w:numPr>
          <w:ilvl w:val="0"/>
          <w:numId w:val="5"/>
        </w:numPr>
        <w:spacing w:line="360" w:lineRule="auto"/>
        <w:rPr>
          <w:rFonts w:ascii="宋体" w:hAnsi="宋体" w:cs="宋体"/>
          <w:b/>
          <w:color w:val="000000" w:themeColor="text1"/>
          <w:sz w:val="28"/>
          <w:szCs w:val="28"/>
        </w:rPr>
      </w:pPr>
      <w:r>
        <w:rPr>
          <w:rFonts w:ascii="宋体" w:hAnsi="宋体" w:cs="宋体" w:hint="eastAsia"/>
          <w:b/>
          <w:color w:val="000000" w:themeColor="text1"/>
          <w:sz w:val="28"/>
          <w:szCs w:val="28"/>
        </w:rPr>
        <w:t>评标办法及评分标准</w:t>
      </w:r>
    </w:p>
    <w:p w:rsidR="00473C68">
      <w:pPr>
        <w:numPr>
          <w:ilvl w:val="0"/>
          <w:numId w:val="5"/>
        </w:numPr>
        <w:spacing w:line="360" w:lineRule="auto"/>
        <w:rPr>
          <w:rFonts w:ascii="宋体" w:hAnsi="宋体" w:cs="宋体"/>
          <w:b/>
          <w:sz w:val="28"/>
          <w:szCs w:val="28"/>
        </w:rPr>
      </w:pPr>
      <w:r>
        <w:rPr>
          <w:rFonts w:ascii="宋体" w:hAnsi="宋体" w:cs="宋体" w:hint="eastAsia"/>
          <w:b/>
          <w:color w:val="000000" w:themeColor="text1"/>
          <w:sz w:val="28"/>
          <w:szCs w:val="28"/>
        </w:rPr>
        <w:t>公开招标需求</w:t>
      </w:r>
    </w:p>
    <w:p w:rsidR="00473C68">
      <w:pPr>
        <w:numPr>
          <w:ilvl w:val="0"/>
          <w:numId w:val="5"/>
        </w:numPr>
        <w:spacing w:line="360" w:lineRule="auto"/>
        <w:rPr>
          <w:rFonts w:ascii="宋体" w:hAnsi="宋体" w:cs="宋体"/>
          <w:b/>
          <w:sz w:val="28"/>
          <w:szCs w:val="28"/>
        </w:rPr>
      </w:pPr>
      <w:r>
        <w:rPr>
          <w:rFonts w:ascii="宋体" w:hAnsi="宋体" w:cs="宋体" w:hint="eastAsia"/>
          <w:b/>
          <w:sz w:val="28"/>
          <w:szCs w:val="28"/>
        </w:rPr>
        <w:t>政府采购合同主要条款</w:t>
      </w:r>
    </w:p>
    <w:p w:rsidR="00473C68">
      <w:pPr>
        <w:numPr>
          <w:ilvl w:val="0"/>
          <w:numId w:val="5"/>
        </w:numPr>
        <w:spacing w:line="360" w:lineRule="auto"/>
        <w:rPr>
          <w:rFonts w:ascii="宋体" w:hAnsi="宋体" w:cs="宋体"/>
          <w:b/>
          <w:sz w:val="28"/>
          <w:szCs w:val="28"/>
        </w:rPr>
      </w:pPr>
      <w:r>
        <w:rPr>
          <w:rFonts w:ascii="宋体" w:hAnsi="宋体" w:cs="宋体" w:hint="eastAsia"/>
          <w:b/>
          <w:sz w:val="28"/>
          <w:szCs w:val="28"/>
        </w:rPr>
        <w:t>投标文件格式附件</w:t>
      </w: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jc w:val="center"/>
        <w:rPr>
          <w:rFonts w:ascii="宋体" w:hAnsi="宋体" w:cs="宋体"/>
        </w:rPr>
      </w:pPr>
    </w:p>
    <w:p w:rsidR="00473C68">
      <w:pPr>
        <w:pStyle w:val="BodyText"/>
        <w:rPr>
          <w:rFonts w:ascii="宋体" w:hAnsi="宋体" w:cs="宋体"/>
        </w:rPr>
        <w:sectPr>
          <w:headerReference w:type="default" r:id="rId8"/>
          <w:footerReference w:type="default" r:id="rId9"/>
          <w:type w:val="nextPage"/>
          <w:pgSz w:w="11906" w:h="16838"/>
          <w:pgMar w:top="1440" w:right="1440" w:bottom="1440" w:left="1803" w:header="851" w:footer="992" w:gutter="0"/>
          <w:pgNumType w:start="2"/>
          <w:cols w:space="0"/>
          <w:titlePg w:val="0"/>
          <w:docGrid w:type="lines" w:linePitch="325"/>
        </w:sectPr>
      </w:pPr>
    </w:p>
    <w:p w:rsidR="00473C68">
      <w:pPr>
        <w:tabs>
          <w:tab w:val="left" w:pos="180"/>
          <w:tab w:val="left" w:pos="360"/>
          <w:tab w:val="left" w:pos="540"/>
          <w:tab w:val="left" w:pos="8280"/>
        </w:tabs>
        <w:autoSpaceDE w:val="0"/>
        <w:autoSpaceDN w:val="0"/>
        <w:adjustRightInd w:val="0"/>
        <w:spacing w:line="360" w:lineRule="auto"/>
        <w:ind w:right="23"/>
        <w:jc w:val="center"/>
        <w:outlineLvl w:val="0"/>
        <w:rPr>
          <w:rFonts w:ascii="宋体" w:hAnsi="宋体" w:cs="宋体"/>
          <w:b/>
          <w:kern w:val="0"/>
          <w:sz w:val="36"/>
          <w:szCs w:val="36"/>
        </w:rPr>
      </w:pPr>
      <w:r>
        <w:rPr>
          <w:rFonts w:ascii="宋体" w:hAnsi="宋体" w:cs="宋体" w:hint="eastAsia"/>
          <w:b/>
          <w:kern w:val="0"/>
          <w:sz w:val="36"/>
          <w:szCs w:val="36"/>
        </w:rPr>
        <w:t>第一章 公开</w:t>
      </w:r>
      <w:r>
        <w:rPr>
          <w:rFonts w:ascii="宋体" w:hAnsi="宋体" w:cs="宋体" w:hint="eastAsia"/>
          <w:b/>
          <w:sz w:val="36"/>
          <w:szCs w:val="36"/>
        </w:rPr>
        <w:t>招标采购公告</w:t>
      </w:r>
    </w:p>
    <w:p w:rsidR="00473C68">
      <w:pPr>
        <w:spacing w:line="360" w:lineRule="auto"/>
        <w:ind w:firstLine="420" w:firstLineChars="200"/>
        <w:rPr>
          <w:rFonts w:ascii="宋体" w:hAnsi="宋体" w:cs="宋体"/>
          <w:szCs w:val="21"/>
        </w:rPr>
      </w:pPr>
      <w:r>
        <w:rPr>
          <w:rFonts w:ascii="宋体" w:hAnsi="宋体" w:cs="宋体" w:hint="eastAsia"/>
          <w:szCs w:val="21"/>
        </w:rPr>
        <w:t>根据《中华人民共和国政府采购法》、《中华人民共和国政府采购法实施条例》和财政部令第87号《政府采购货物和服务招标投标管理办法》等有关规定, 受</w:t>
      </w:r>
      <w:r>
        <w:rPr>
          <w:rFonts w:ascii="宋体" w:hAnsi="宋体" w:cs="宋体" w:hint="eastAsia"/>
          <w:b/>
          <w:bCs/>
          <w:szCs w:val="21"/>
        </w:rPr>
        <w:t>台州市路桥中学</w:t>
      </w:r>
      <w:r>
        <w:rPr>
          <w:rFonts w:ascii="宋体" w:hAnsi="宋体" w:cs="宋体" w:hint="eastAsia"/>
          <w:szCs w:val="21"/>
        </w:rPr>
        <w:t>委托，现就其</w:t>
      </w:r>
      <w:r>
        <w:rPr>
          <w:rFonts w:ascii="宋体" w:hAnsi="宋体" w:cs="宋体" w:hint="eastAsia"/>
          <w:b/>
          <w:bCs/>
          <w:szCs w:val="21"/>
        </w:rPr>
        <w:t>2024年学生公寓管理服务项目</w:t>
      </w:r>
      <w:r>
        <w:rPr>
          <w:rFonts w:ascii="宋体" w:hAnsi="宋体" w:cs="宋体" w:hint="eastAsia"/>
          <w:szCs w:val="21"/>
        </w:rPr>
        <w:t>进行公开招标采购，欢迎合格供应商前来投标。</w:t>
      </w:r>
    </w:p>
    <w:p w:rsidR="00473C68">
      <w:pPr>
        <w:spacing w:line="360" w:lineRule="auto"/>
        <w:ind w:firstLine="420" w:firstLineChars="200"/>
        <w:rPr>
          <w:rFonts w:ascii="宋体" w:hAnsi="宋体" w:cs="宋体"/>
          <w:b/>
          <w:bCs/>
          <w:szCs w:val="21"/>
        </w:rPr>
      </w:pPr>
      <w:r>
        <w:rPr>
          <w:rFonts w:ascii="宋体" w:hAnsi="宋体" w:cs="宋体" w:hint="eastAsia"/>
          <w:b/>
          <w:bCs/>
          <w:szCs w:val="21"/>
        </w:rPr>
        <w:t>一、项目编号：tzya2023-tz54</w:t>
      </w:r>
    </w:p>
    <w:p w:rsidR="00473C68">
      <w:pPr>
        <w:spacing w:line="360" w:lineRule="auto"/>
        <w:ind w:firstLine="420" w:firstLineChars="200"/>
        <w:rPr>
          <w:rFonts w:ascii="宋体" w:hAnsi="宋体" w:cs="宋体"/>
          <w:b/>
          <w:bCs/>
          <w:szCs w:val="21"/>
        </w:rPr>
      </w:pPr>
      <w:r>
        <w:rPr>
          <w:rFonts w:ascii="宋体" w:hAnsi="宋体" w:cs="宋体" w:hint="eastAsia"/>
          <w:b/>
          <w:bCs/>
          <w:szCs w:val="21"/>
        </w:rPr>
        <w:t>二、招标项目概况：</w:t>
      </w:r>
    </w:p>
    <w:tbl>
      <w:tblPr>
        <w:tblStyle w:val="TableNormal"/>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25"/>
        <w:gridCol w:w="2411"/>
        <w:gridCol w:w="1818"/>
        <w:gridCol w:w="863"/>
        <w:gridCol w:w="937"/>
        <w:gridCol w:w="1725"/>
        <w:gridCol w:w="1098"/>
      </w:tblGrid>
      <w:tr>
        <w:tblPrEx>
          <w:tblW w:w="95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911"/>
          <w:jc w:val="center"/>
        </w:trPr>
        <w:tc>
          <w:tcPr>
            <w:tcW w:w="725" w:type="dxa"/>
            <w:vAlign w:val="center"/>
          </w:tcPr>
          <w:p w:rsidR="00473C68">
            <w:pPr>
              <w:tabs>
                <w:tab w:val="left" w:pos="8280"/>
              </w:tabs>
              <w:autoSpaceDE w:val="0"/>
              <w:autoSpaceDN w:val="0"/>
              <w:adjustRightInd w:val="0"/>
              <w:ind w:right="25"/>
              <w:jc w:val="center"/>
              <w:rPr>
                <w:rFonts w:ascii="宋体" w:hAnsi="宋体" w:cs="宋体"/>
                <w:b/>
                <w:szCs w:val="21"/>
              </w:rPr>
            </w:pPr>
            <w:bookmarkStart w:id="1" w:name="EBc3c9f0bc06b6413d849824fe98ba274c"/>
            <w:r>
              <w:rPr>
                <w:rFonts w:ascii="宋体" w:hAnsi="宋体" w:cs="宋体" w:hint="eastAsia"/>
                <w:b/>
                <w:szCs w:val="21"/>
              </w:rPr>
              <w:t>序号</w:t>
            </w:r>
          </w:p>
        </w:tc>
        <w:tc>
          <w:tcPr>
            <w:tcW w:w="2411" w:type="dxa"/>
            <w:vAlign w:val="center"/>
          </w:tcPr>
          <w:p w:rsidR="00473C68">
            <w:pPr>
              <w:tabs>
                <w:tab w:val="left" w:pos="8280"/>
              </w:tabs>
              <w:autoSpaceDE w:val="0"/>
              <w:autoSpaceDN w:val="0"/>
              <w:adjustRightInd w:val="0"/>
              <w:ind w:right="25"/>
              <w:jc w:val="center"/>
              <w:rPr>
                <w:rFonts w:ascii="宋体" w:hAnsi="宋体" w:cs="宋体"/>
                <w:b/>
                <w:szCs w:val="21"/>
              </w:rPr>
            </w:pPr>
            <w:r>
              <w:rPr>
                <w:rFonts w:ascii="宋体" w:hAnsi="宋体" w:cs="宋体" w:hint="eastAsia"/>
                <w:b/>
                <w:szCs w:val="21"/>
              </w:rPr>
              <w:t>项目名称</w:t>
            </w:r>
          </w:p>
        </w:tc>
        <w:tc>
          <w:tcPr>
            <w:tcW w:w="1818" w:type="dxa"/>
            <w:vAlign w:val="center"/>
          </w:tcPr>
          <w:p w:rsidR="00473C68">
            <w:pPr>
              <w:tabs>
                <w:tab w:val="left" w:pos="8280"/>
              </w:tabs>
              <w:autoSpaceDE w:val="0"/>
              <w:autoSpaceDN w:val="0"/>
              <w:adjustRightInd w:val="0"/>
              <w:ind w:right="25"/>
              <w:jc w:val="center"/>
              <w:rPr>
                <w:rFonts w:ascii="宋体" w:hAnsi="宋体" w:cs="宋体"/>
                <w:b/>
                <w:szCs w:val="21"/>
              </w:rPr>
            </w:pPr>
            <w:r>
              <w:rPr>
                <w:rFonts w:ascii="宋体" w:hAnsi="宋体" w:cs="宋体" w:hint="eastAsia"/>
                <w:b/>
                <w:kern w:val="0"/>
                <w:szCs w:val="21"/>
              </w:rPr>
              <w:t>简要技术要求</w:t>
            </w:r>
          </w:p>
        </w:tc>
        <w:tc>
          <w:tcPr>
            <w:tcW w:w="863" w:type="dxa"/>
            <w:vAlign w:val="center"/>
          </w:tcPr>
          <w:p w:rsidR="00473C68">
            <w:pPr>
              <w:tabs>
                <w:tab w:val="left" w:pos="8280"/>
              </w:tabs>
              <w:autoSpaceDE w:val="0"/>
              <w:autoSpaceDN w:val="0"/>
              <w:adjustRightInd w:val="0"/>
              <w:ind w:right="25"/>
              <w:jc w:val="center"/>
              <w:rPr>
                <w:rFonts w:ascii="宋体" w:hAnsi="宋体" w:cs="宋体"/>
                <w:b/>
                <w:szCs w:val="21"/>
              </w:rPr>
            </w:pPr>
            <w:r>
              <w:rPr>
                <w:rFonts w:ascii="宋体" w:hAnsi="宋体" w:cs="宋体" w:hint="eastAsia"/>
                <w:b/>
                <w:szCs w:val="21"/>
              </w:rPr>
              <w:t>数量</w:t>
            </w:r>
          </w:p>
        </w:tc>
        <w:tc>
          <w:tcPr>
            <w:tcW w:w="937" w:type="dxa"/>
            <w:vAlign w:val="center"/>
          </w:tcPr>
          <w:p w:rsidR="00473C68">
            <w:pPr>
              <w:tabs>
                <w:tab w:val="left" w:pos="8280"/>
              </w:tabs>
              <w:autoSpaceDE w:val="0"/>
              <w:autoSpaceDN w:val="0"/>
              <w:adjustRightInd w:val="0"/>
              <w:ind w:right="25"/>
              <w:jc w:val="center"/>
              <w:rPr>
                <w:rFonts w:ascii="宋体" w:hAnsi="宋体" w:cs="宋体"/>
                <w:b/>
                <w:szCs w:val="21"/>
              </w:rPr>
            </w:pPr>
            <w:r>
              <w:rPr>
                <w:rFonts w:ascii="宋体" w:hAnsi="宋体" w:cs="宋体" w:hint="eastAsia"/>
                <w:b/>
                <w:szCs w:val="21"/>
              </w:rPr>
              <w:t>单位</w:t>
            </w:r>
          </w:p>
        </w:tc>
        <w:tc>
          <w:tcPr>
            <w:tcW w:w="1725" w:type="dxa"/>
            <w:vAlign w:val="center"/>
          </w:tcPr>
          <w:p w:rsidR="00473C68">
            <w:pPr>
              <w:tabs>
                <w:tab w:val="left" w:pos="8280"/>
              </w:tabs>
              <w:autoSpaceDE w:val="0"/>
              <w:autoSpaceDN w:val="0"/>
              <w:adjustRightInd w:val="0"/>
              <w:ind w:right="25"/>
              <w:jc w:val="center"/>
              <w:rPr>
                <w:rFonts w:ascii="宋体" w:hAnsi="宋体" w:cs="宋体"/>
                <w:b/>
                <w:szCs w:val="21"/>
              </w:rPr>
            </w:pPr>
            <w:r>
              <w:rPr>
                <w:rFonts w:ascii="宋体" w:hAnsi="宋体" w:cs="宋体" w:hint="eastAsia"/>
                <w:b/>
                <w:szCs w:val="21"/>
              </w:rPr>
              <w:t>预算/最高限价</w:t>
            </w:r>
          </w:p>
          <w:p w:rsidR="00473C68">
            <w:pPr>
              <w:tabs>
                <w:tab w:val="left" w:pos="8280"/>
              </w:tabs>
              <w:autoSpaceDE w:val="0"/>
              <w:autoSpaceDN w:val="0"/>
              <w:adjustRightInd w:val="0"/>
              <w:ind w:right="25"/>
              <w:jc w:val="center"/>
              <w:rPr>
                <w:rFonts w:ascii="宋体" w:hAnsi="宋体" w:cs="宋体"/>
              </w:rPr>
            </w:pPr>
            <w:r>
              <w:rPr>
                <w:rFonts w:ascii="宋体" w:hAnsi="宋体" w:cs="宋体" w:hint="eastAsia"/>
                <w:b/>
                <w:szCs w:val="21"/>
              </w:rPr>
              <w:t>（万元）</w:t>
            </w:r>
          </w:p>
        </w:tc>
        <w:tc>
          <w:tcPr>
            <w:tcW w:w="1098" w:type="dxa"/>
            <w:vAlign w:val="center"/>
          </w:tcPr>
          <w:p w:rsidR="00473C68">
            <w:pPr>
              <w:tabs>
                <w:tab w:val="left" w:pos="8280"/>
              </w:tabs>
              <w:autoSpaceDE w:val="0"/>
              <w:autoSpaceDN w:val="0"/>
              <w:adjustRightInd w:val="0"/>
              <w:ind w:right="25"/>
              <w:jc w:val="center"/>
              <w:rPr>
                <w:rFonts w:ascii="宋体" w:hAnsi="宋体" w:cs="宋体"/>
                <w:b/>
                <w:szCs w:val="21"/>
              </w:rPr>
            </w:pPr>
            <w:r>
              <w:rPr>
                <w:rFonts w:ascii="宋体" w:hAnsi="宋体" w:cs="宋体" w:hint="eastAsia"/>
                <w:b/>
                <w:szCs w:val="21"/>
              </w:rPr>
              <w:t>备注</w:t>
            </w:r>
          </w:p>
        </w:tc>
      </w:tr>
      <w:tr>
        <w:tblPrEx>
          <w:tblW w:w="9577" w:type="dxa"/>
          <w:jc w:val="center"/>
          <w:tblLayout w:type="fixed"/>
          <w:tblLook w:val="04A0"/>
        </w:tblPrEx>
        <w:trPr>
          <w:trHeight w:val="1114"/>
          <w:jc w:val="center"/>
        </w:trPr>
        <w:tc>
          <w:tcPr>
            <w:tcW w:w="725" w:type="dxa"/>
            <w:vAlign w:val="center"/>
          </w:tcPr>
          <w:p w:rsidR="00473C68">
            <w:pPr>
              <w:tabs>
                <w:tab w:val="left" w:pos="8280"/>
              </w:tabs>
              <w:autoSpaceDE w:val="0"/>
              <w:autoSpaceDN w:val="0"/>
              <w:adjustRightInd w:val="0"/>
              <w:ind w:right="25"/>
              <w:jc w:val="center"/>
              <w:rPr>
                <w:rFonts w:ascii="宋体" w:hAnsi="宋体" w:cs="宋体"/>
                <w:szCs w:val="21"/>
              </w:rPr>
            </w:pPr>
            <w:r>
              <w:rPr>
                <w:rFonts w:ascii="宋体" w:hAnsi="宋体" w:cs="宋体" w:hint="eastAsia"/>
                <w:szCs w:val="21"/>
              </w:rPr>
              <w:t>1</w:t>
            </w:r>
          </w:p>
        </w:tc>
        <w:tc>
          <w:tcPr>
            <w:tcW w:w="2411" w:type="dxa"/>
            <w:vAlign w:val="center"/>
          </w:tcPr>
          <w:p w:rsidR="00473C68">
            <w:pPr>
              <w:tabs>
                <w:tab w:val="left" w:pos="8280"/>
              </w:tabs>
              <w:autoSpaceDE w:val="0"/>
              <w:autoSpaceDN w:val="0"/>
              <w:adjustRightInd w:val="0"/>
              <w:ind w:right="25"/>
              <w:jc w:val="center"/>
              <w:rPr>
                <w:rFonts w:ascii="宋体" w:hAnsi="宋体" w:cs="宋体"/>
                <w:szCs w:val="21"/>
              </w:rPr>
            </w:pPr>
            <w:r>
              <w:rPr>
                <w:rFonts w:ascii="宋体" w:hAnsi="宋体" w:cs="宋体" w:hint="eastAsia"/>
                <w:szCs w:val="21"/>
              </w:rPr>
              <w:t>2024年学生公寓管理服务项目</w:t>
            </w:r>
          </w:p>
        </w:tc>
        <w:tc>
          <w:tcPr>
            <w:tcW w:w="1818" w:type="dxa"/>
            <w:vAlign w:val="center"/>
          </w:tcPr>
          <w:p w:rsidR="00473C68">
            <w:pPr>
              <w:tabs>
                <w:tab w:val="left" w:pos="8280"/>
              </w:tabs>
              <w:autoSpaceDE w:val="0"/>
              <w:autoSpaceDN w:val="0"/>
              <w:adjustRightInd w:val="0"/>
              <w:ind w:right="25"/>
              <w:jc w:val="center"/>
              <w:rPr>
                <w:rFonts w:ascii="宋体" w:hAnsi="宋体" w:cs="宋体"/>
                <w:szCs w:val="21"/>
              </w:rPr>
            </w:pPr>
            <w:r>
              <w:rPr>
                <w:rFonts w:ascii="宋体" w:hAnsi="宋体" w:cs="宋体" w:hint="eastAsia"/>
                <w:szCs w:val="21"/>
              </w:rPr>
              <w:t>详见项目需求</w:t>
            </w:r>
          </w:p>
        </w:tc>
        <w:tc>
          <w:tcPr>
            <w:tcW w:w="863" w:type="dxa"/>
            <w:vAlign w:val="center"/>
          </w:tcPr>
          <w:p w:rsidR="00473C68">
            <w:pPr>
              <w:tabs>
                <w:tab w:val="left" w:pos="8280"/>
              </w:tabs>
              <w:autoSpaceDE w:val="0"/>
              <w:autoSpaceDN w:val="0"/>
              <w:adjustRightInd w:val="0"/>
              <w:ind w:right="25"/>
              <w:jc w:val="center"/>
              <w:rPr>
                <w:rFonts w:ascii="宋体" w:hAnsi="宋体" w:cs="宋体"/>
                <w:szCs w:val="21"/>
              </w:rPr>
            </w:pPr>
            <w:r>
              <w:rPr>
                <w:rFonts w:ascii="宋体" w:hAnsi="宋体" w:cs="宋体" w:hint="eastAsia"/>
                <w:szCs w:val="21"/>
              </w:rPr>
              <w:t>1</w:t>
            </w:r>
          </w:p>
        </w:tc>
        <w:tc>
          <w:tcPr>
            <w:tcW w:w="937" w:type="dxa"/>
            <w:vAlign w:val="center"/>
          </w:tcPr>
          <w:p w:rsidR="00473C68">
            <w:pPr>
              <w:widowControl/>
              <w:jc w:val="center"/>
              <w:rPr>
                <w:rFonts w:ascii="宋体" w:hAnsi="宋体" w:cs="宋体"/>
                <w:szCs w:val="21"/>
              </w:rPr>
            </w:pPr>
            <w:r>
              <w:rPr>
                <w:rFonts w:ascii="宋体" w:hAnsi="宋体" w:cs="宋体" w:hint="eastAsia"/>
                <w:szCs w:val="21"/>
              </w:rPr>
              <w:t>项</w:t>
            </w:r>
          </w:p>
        </w:tc>
        <w:tc>
          <w:tcPr>
            <w:tcW w:w="1725" w:type="dxa"/>
            <w:vAlign w:val="center"/>
          </w:tcPr>
          <w:p w:rsidR="00473C68">
            <w:pPr>
              <w:tabs>
                <w:tab w:val="left" w:pos="8280"/>
              </w:tabs>
              <w:autoSpaceDE w:val="0"/>
              <w:autoSpaceDN w:val="0"/>
              <w:adjustRightInd w:val="0"/>
              <w:ind w:right="25"/>
              <w:jc w:val="center"/>
              <w:rPr>
                <w:rFonts w:ascii="宋体" w:hAnsi="宋体" w:cs="宋体"/>
                <w:szCs w:val="21"/>
              </w:rPr>
            </w:pPr>
            <w:r>
              <w:rPr>
                <w:rFonts w:ascii="宋体" w:hAnsi="宋体" w:cs="宋体" w:hint="eastAsia"/>
                <w:szCs w:val="21"/>
              </w:rPr>
              <w:t>78</w:t>
            </w:r>
          </w:p>
        </w:tc>
        <w:tc>
          <w:tcPr>
            <w:tcW w:w="1098" w:type="dxa"/>
            <w:vAlign w:val="center"/>
          </w:tcPr>
          <w:p w:rsidR="00473C68">
            <w:pPr>
              <w:tabs>
                <w:tab w:val="left" w:pos="8280"/>
              </w:tabs>
              <w:autoSpaceDE w:val="0"/>
              <w:autoSpaceDN w:val="0"/>
              <w:adjustRightInd w:val="0"/>
              <w:ind w:right="25"/>
              <w:jc w:val="center"/>
              <w:rPr>
                <w:rFonts w:ascii="宋体" w:hAnsi="宋体" w:cs="宋体"/>
                <w:szCs w:val="21"/>
              </w:rPr>
            </w:pPr>
          </w:p>
        </w:tc>
      </w:tr>
    </w:tbl>
    <w:bookmarkEnd w:id="1"/>
    <w:p w:rsidR="00473C68">
      <w:pPr>
        <w:widowControl/>
        <w:tabs>
          <w:tab w:val="left" w:pos="0"/>
        </w:tabs>
        <w:spacing w:line="360" w:lineRule="auto"/>
        <w:ind w:firstLine="420" w:firstLineChars="200"/>
        <w:rPr>
          <w:rFonts w:ascii="宋体" w:hAnsi="宋体" w:cs="宋体"/>
          <w:szCs w:val="21"/>
        </w:rPr>
      </w:pPr>
      <w:r>
        <w:rPr>
          <w:rFonts w:ascii="宋体" w:hAnsi="宋体" w:cs="宋体" w:hint="eastAsia"/>
          <w:b/>
          <w:szCs w:val="21"/>
          <w:u w:val="single"/>
        </w:rPr>
        <w:t>本项目采用“电子交易”的方式提交投标文件（还可以提供备份投标文件），请各投标人按照要求进行。</w:t>
      </w:r>
    </w:p>
    <w:p w:rsidR="00473C68">
      <w:pPr>
        <w:spacing w:line="360" w:lineRule="auto"/>
        <w:ind w:firstLine="420" w:firstLineChars="200"/>
        <w:rPr>
          <w:rFonts w:ascii="宋体" w:hAnsi="宋体" w:cs="宋体"/>
          <w:b/>
          <w:bCs/>
          <w:szCs w:val="21"/>
        </w:rPr>
      </w:pPr>
      <w:r>
        <w:rPr>
          <w:rFonts w:ascii="宋体" w:hAnsi="宋体" w:cs="宋体" w:hint="eastAsia"/>
          <w:b/>
          <w:bCs/>
          <w:szCs w:val="21"/>
        </w:rPr>
        <w:t>三、合格投标人的资格条件：</w:t>
      </w:r>
    </w:p>
    <w:p w:rsidR="00473C68">
      <w:pPr>
        <w:spacing w:line="360" w:lineRule="auto"/>
        <w:ind w:firstLine="420" w:firstLineChars="200"/>
        <w:rPr>
          <w:rFonts w:ascii="宋体" w:hAnsi="宋体" w:cs="宋体"/>
          <w:b/>
          <w:szCs w:val="21"/>
        </w:rPr>
      </w:pPr>
      <w:r>
        <w:rPr>
          <w:rFonts w:ascii="宋体" w:hAnsi="宋体" w:cs="宋体" w:hint="eastAsia"/>
          <w:b/>
          <w:szCs w:val="21"/>
        </w:rPr>
        <w:t>（一）符合《中华人民共和国政府采购法》第二十二条及其他法律、行政法规规定的对投标主体的要求。未被“信用中国”（</w:t>
      </w:r>
      <w:r w:rsidR="001D6950">
        <w:rPr>
          <w:rFonts w:ascii="宋体" w:hAnsi="宋体" w:cs="宋体" w:hint="eastAsia"/>
          <w:b/>
          <w:szCs w:val="21"/>
        </w:rPr>
        <w:t>sdf.lkj</w:t>
      </w:r>
      <w:r>
        <w:rPr>
          <w:rFonts w:ascii="宋体" w:hAnsi="宋体" w:cs="宋体" w:hint="eastAsia"/>
          <w:b/>
          <w:szCs w:val="21"/>
        </w:rPr>
        <w:t>creditchina.gov.cn）、中国政府采购网（</w:t>
      </w:r>
      <w:r w:rsidR="001D6950">
        <w:rPr>
          <w:rFonts w:ascii="宋体" w:hAnsi="宋体" w:cs="宋体" w:hint="eastAsia"/>
          <w:b/>
          <w:szCs w:val="21"/>
        </w:rPr>
        <w:t>sdf.lkj</w:t>
      </w:r>
      <w:r>
        <w:rPr>
          <w:rFonts w:ascii="宋体" w:hAnsi="宋体" w:cs="宋体" w:hint="eastAsia"/>
          <w:b/>
          <w:szCs w:val="21"/>
        </w:rPr>
        <w:t>ccgp.gov.cn）列入失信被执行人、重大税收违法失信主体、政府采购严重违法失信行为记录名单。</w:t>
      </w:r>
    </w:p>
    <w:p w:rsidR="00473C68">
      <w:pPr>
        <w:spacing w:line="360" w:lineRule="auto"/>
        <w:ind w:firstLine="420" w:firstLineChars="200"/>
        <w:rPr>
          <w:rFonts w:ascii="宋体" w:hAnsi="宋体" w:cs="宋体"/>
          <w:b/>
          <w:szCs w:val="21"/>
        </w:rPr>
      </w:pPr>
      <w:r>
        <w:rPr>
          <w:rFonts w:ascii="宋体" w:hAnsi="宋体" w:cs="宋体" w:hint="eastAsia"/>
          <w:b/>
          <w:szCs w:val="21"/>
        </w:rPr>
        <w:t>（二）本项目供应商特定资格要求</w:t>
      </w:r>
    </w:p>
    <w:p w:rsidR="00473C68">
      <w:pPr>
        <w:spacing w:line="360" w:lineRule="auto"/>
        <w:ind w:firstLine="630" w:firstLineChars="300"/>
        <w:rPr>
          <w:rFonts w:ascii="宋体" w:hAnsi="宋体" w:cs="宋体"/>
          <w:b/>
          <w:szCs w:val="21"/>
        </w:rPr>
      </w:pPr>
      <w:r>
        <w:rPr>
          <w:rFonts w:ascii="宋体" w:hAnsi="宋体" w:cs="宋体" w:hint="eastAsia"/>
          <w:b/>
          <w:szCs w:val="21"/>
        </w:rPr>
        <w:t>（1）本项目不接受联合体投标。</w:t>
      </w:r>
    </w:p>
    <w:p w:rsidR="00473C68">
      <w:pPr>
        <w:spacing w:line="360" w:lineRule="auto"/>
        <w:ind w:firstLine="420" w:firstLineChars="200"/>
        <w:rPr>
          <w:rFonts w:ascii="宋体" w:hAnsi="宋体" w:cs="宋体"/>
          <w:b/>
          <w:szCs w:val="21"/>
        </w:rPr>
      </w:pPr>
      <w:r>
        <w:rPr>
          <w:rFonts w:ascii="宋体" w:hAnsi="宋体" w:cs="宋体" w:hint="eastAsia"/>
          <w:b/>
          <w:szCs w:val="21"/>
        </w:rPr>
        <w:t>（三）法律、行政法规规定的其他条件：单位负责人为同一人或者存在直接控股、管理关系的不同供应商，不得同时参加同一项目投标；为本项目提供整体设计、规范编制或者项目管理、监理、检测等服务的供应商，不得再参与本项目投标。（联合体参与投标的，联合体各方均须满足该条款。）电子交易平台运营机构，以及与该机构有直接控股或者管理关系可能影响采购公正性的任何单位和个人，不得在该平台进行的政府采购项目电子交易中投标、响应和代理政府采购项目。</w:t>
      </w:r>
    </w:p>
    <w:p w:rsidR="00473C68">
      <w:pPr>
        <w:snapToGrid w:val="0"/>
        <w:spacing w:line="360" w:lineRule="auto"/>
        <w:ind w:firstLine="496" w:firstLineChars="236"/>
        <w:rPr>
          <w:rFonts w:ascii="宋体" w:hAnsi="宋体" w:cs="宋体"/>
          <w:b/>
          <w:bCs/>
          <w:szCs w:val="21"/>
        </w:rPr>
      </w:pPr>
      <w:r>
        <w:rPr>
          <w:rFonts w:ascii="宋体" w:hAnsi="宋体" w:cs="宋体" w:hint="eastAsia"/>
          <w:b/>
          <w:bCs/>
          <w:szCs w:val="21"/>
        </w:rPr>
        <w:t>四、招标文件获取的方式、时间:</w:t>
      </w:r>
    </w:p>
    <w:p w:rsidR="00473C68">
      <w:pPr>
        <w:snapToGrid w:val="0"/>
        <w:spacing w:line="360" w:lineRule="auto"/>
        <w:ind w:firstLine="420" w:firstLineChars="200"/>
        <w:rPr>
          <w:rFonts w:ascii="宋体" w:hAnsi="宋体" w:cs="宋体"/>
          <w:b/>
          <w:szCs w:val="21"/>
        </w:rPr>
        <w:sectPr>
          <w:headerReference w:type="default" r:id="rId10"/>
          <w:footerReference w:type="default" r:id="rId11"/>
          <w:type w:val="nextPage"/>
          <w:pgSz w:w="11906" w:h="16838"/>
          <w:pgMar w:top="1440" w:right="1440" w:bottom="1440" w:left="1803" w:header="851" w:footer="992" w:gutter="0"/>
          <w:pgNumType w:start="3"/>
          <w:cols w:space="0"/>
          <w:titlePg w:val="0"/>
          <w:docGrid w:type="lines" w:linePitch="325"/>
        </w:sectPr>
      </w:pPr>
      <w:r>
        <w:rPr>
          <w:rFonts w:ascii="宋体" w:hAnsi="宋体" w:cs="宋体" w:hint="eastAsia"/>
          <w:b/>
          <w:bCs/>
          <w:szCs w:val="21"/>
        </w:rPr>
        <w:t>1、</w:t>
      </w:r>
      <w:r>
        <w:rPr>
          <w:rFonts w:ascii="宋体" w:hAnsi="宋体" w:cs="宋体" w:hint="eastAsia"/>
          <w:b/>
          <w:szCs w:val="21"/>
        </w:rPr>
        <w:t>本项目招标文件实行“浙江政府采购网”</w:t>
      </w:r>
      <w:r>
        <w:rPr>
          <w:rStyle w:val="Strong"/>
          <w:rFonts w:ascii="宋体" w:hAnsi="宋体" w:cs="宋体" w:hint="eastAsia"/>
          <w:sz w:val="21"/>
          <w:szCs w:val="21"/>
        </w:rPr>
        <w:t>（</w:t>
      </w:r>
      <w:r w:rsidR="009D3099">
        <w:rPr>
          <w:rStyle w:val="Strong"/>
          <w:rFonts w:ascii="宋体" w:hAnsi="宋体" w:cs="宋体" w:hint="eastAsia"/>
          <w:sz w:val="21"/>
          <w:szCs w:val="21"/>
        </w:rPr>
        <w:t>lkj:</w:t>
      </w:r>
      <w:r>
        <w:rPr>
          <w:rStyle w:val="Strong"/>
          <w:rFonts w:ascii="宋体" w:hAnsi="宋体" w:cs="宋体" w:hint="eastAsia"/>
          <w:sz w:val="21"/>
          <w:szCs w:val="21"/>
        </w:rPr>
        <w:t>//zfcg.czt.zj.gov.cn）</w:t>
      </w:r>
      <w:r>
        <w:rPr>
          <w:rFonts w:ascii="宋体" w:hAnsi="宋体" w:cs="宋体" w:hint="eastAsia"/>
          <w:b/>
          <w:szCs w:val="21"/>
        </w:rPr>
        <w:t>在线获取，不提供招标文件纸质版。供应商获取招标文件前应先完成“浙江政府采购网”的账号注册。</w:t>
      </w:r>
    </w:p>
    <w:p w:rsidR="00473C68">
      <w:pPr>
        <w:spacing w:line="360" w:lineRule="auto"/>
        <w:ind w:firstLine="420" w:firstLineChars="200"/>
        <w:rPr>
          <w:rStyle w:val="Strong"/>
          <w:rFonts w:ascii="宋体" w:hAnsi="宋体" w:cs="宋体"/>
          <w:szCs w:val="21"/>
        </w:rPr>
      </w:pPr>
      <w:r>
        <w:rPr>
          <w:rFonts w:ascii="宋体" w:hAnsi="宋体" w:cs="宋体" w:hint="eastAsia"/>
          <w:b/>
          <w:bCs/>
          <w:szCs w:val="21"/>
        </w:rPr>
        <w:t>2、获取</w:t>
      </w:r>
      <w:r>
        <w:rPr>
          <w:rStyle w:val="Strong"/>
          <w:rFonts w:ascii="宋体" w:hAnsi="宋体" w:cs="宋体" w:hint="eastAsia"/>
          <w:sz w:val="21"/>
          <w:szCs w:val="21"/>
        </w:rPr>
        <w:t>方式：潜在供应商登陆政府采购云平台，在线申请获取招标文件</w:t>
      </w:r>
      <w:r>
        <w:rPr>
          <w:rStyle w:val="Strong"/>
          <w:rFonts w:ascii="宋体" w:hAnsi="宋体" w:cs="宋体" w:hint="eastAsia"/>
          <w:b w:val="0"/>
          <w:bCs/>
          <w:sz w:val="21"/>
          <w:szCs w:val="21"/>
        </w:rPr>
        <w:t>（进入“项目采购”应用，在获取招标文件菜单中选择项目，申请获取招标文件，本项目招标文件不收取工本费；</w:t>
      </w:r>
      <w:r>
        <w:rPr>
          <w:rStyle w:val="Strong"/>
          <w:rFonts w:ascii="宋体" w:hAnsi="宋体" w:cs="宋体" w:hint="eastAsia"/>
          <w:b w:val="0"/>
          <w:bCs/>
          <w:sz w:val="21"/>
          <w:szCs w:val="21"/>
          <w:u w:val="single"/>
        </w:rPr>
        <w:t>仅需浏览招标文件的供应商可点击“游客，浏览招标文件”直接下载招标文件浏览</w:t>
      </w:r>
      <w:r>
        <w:rPr>
          <w:rStyle w:val="Strong"/>
          <w:rFonts w:ascii="宋体" w:hAnsi="宋体" w:cs="宋体" w:hint="eastAsia"/>
          <w:b w:val="0"/>
          <w:bCs/>
          <w:sz w:val="21"/>
          <w:szCs w:val="21"/>
        </w:rPr>
        <w:t>）；</w:t>
      </w:r>
    </w:p>
    <w:p w:rsidR="00473C68">
      <w:pPr>
        <w:spacing w:line="360" w:lineRule="auto"/>
        <w:ind w:firstLine="420" w:firstLineChars="200"/>
        <w:rPr>
          <w:rFonts w:ascii="宋体" w:hAnsi="宋体" w:cs="宋体"/>
          <w:szCs w:val="21"/>
        </w:rPr>
      </w:pPr>
      <w:r>
        <w:rPr>
          <w:rStyle w:val="Strong"/>
          <w:rFonts w:ascii="宋体" w:hAnsi="宋体" w:cs="宋体" w:hint="eastAsia"/>
          <w:sz w:val="21"/>
          <w:szCs w:val="21"/>
        </w:rPr>
        <w:t>3、</w:t>
      </w:r>
      <w:r>
        <w:rPr>
          <w:rFonts w:ascii="宋体" w:hAnsi="宋体" w:cs="宋体" w:hint="eastAsia"/>
          <w:b/>
          <w:bCs/>
          <w:szCs w:val="21"/>
        </w:rPr>
        <w:t>获取（公告）时间</w:t>
      </w:r>
      <w:r>
        <w:rPr>
          <w:rFonts w:ascii="宋体" w:hAnsi="宋体" w:cs="宋体" w:hint="eastAsia"/>
          <w:szCs w:val="21"/>
        </w:rPr>
        <w:t>：自本公告发布之日起至投标文件递交截止时间止；</w:t>
      </w:r>
    </w:p>
    <w:p w:rsidR="00473C68">
      <w:pPr>
        <w:spacing w:line="360" w:lineRule="auto"/>
        <w:ind w:firstLine="420" w:firstLineChars="200"/>
        <w:rPr>
          <w:rFonts w:ascii="宋体" w:hAnsi="宋体" w:cs="宋体"/>
          <w:szCs w:val="21"/>
        </w:rPr>
      </w:pPr>
      <w:r>
        <w:rPr>
          <w:rFonts w:ascii="宋体" w:hAnsi="宋体" w:cs="宋体" w:hint="eastAsia"/>
          <w:szCs w:val="21"/>
        </w:rPr>
        <w:t>4、</w:t>
      </w:r>
      <w:r>
        <w:rPr>
          <w:rStyle w:val="Strong"/>
          <w:rFonts w:ascii="宋体" w:hAnsi="宋体" w:cs="宋体" w:hint="eastAsia"/>
          <w:b w:val="0"/>
          <w:sz w:val="21"/>
          <w:szCs w:val="21"/>
        </w:rPr>
        <w:t>供应商网上报名操作指南：“浙江政府采购网-办事指南-省采中心-网上报名”（</w:t>
      </w:r>
      <w:r w:rsidR="009D3099">
        <w:rPr>
          <w:rStyle w:val="Strong"/>
          <w:rFonts w:ascii="宋体" w:hAnsi="宋体" w:cs="宋体" w:hint="eastAsia"/>
          <w:b w:val="0"/>
          <w:sz w:val="21"/>
          <w:szCs w:val="21"/>
        </w:rPr>
        <w:t>lkj:</w:t>
      </w:r>
      <w:r>
        <w:rPr>
          <w:rStyle w:val="Strong"/>
          <w:rFonts w:ascii="宋体" w:hAnsi="宋体" w:cs="宋体" w:hint="eastAsia"/>
          <w:b w:val="0"/>
          <w:sz w:val="21"/>
          <w:szCs w:val="21"/>
        </w:rPr>
        <w:t>//zfcg.czt.zj.gov.cn/bs_other/2018-03-30/12002.html）。</w:t>
      </w:r>
    </w:p>
    <w:p w:rsidR="00473C68">
      <w:pPr>
        <w:pStyle w:val="NormalWeb"/>
        <w:spacing w:before="0" w:beforeAutospacing="0" w:after="0" w:afterAutospacing="0" w:line="360" w:lineRule="auto"/>
        <w:ind w:firstLine="480"/>
        <w:rPr>
          <w:rFonts w:cs="宋体"/>
          <w:sz w:val="21"/>
          <w:szCs w:val="21"/>
        </w:rPr>
      </w:pPr>
      <w:r>
        <w:rPr>
          <w:rStyle w:val="Strong"/>
          <w:rFonts w:ascii="宋体" w:hAnsi="宋体" w:cs="宋体" w:hint="eastAsia"/>
          <w:b w:val="0"/>
          <w:sz w:val="21"/>
          <w:szCs w:val="21"/>
        </w:rPr>
        <w:t>5、供应商获取招标文件时须提交的文件资料：无；</w:t>
      </w:r>
    </w:p>
    <w:p w:rsidR="00473C68">
      <w:pPr>
        <w:pStyle w:val="NormalWeb"/>
        <w:spacing w:before="0" w:beforeAutospacing="0" w:after="0" w:afterAutospacing="0" w:line="360" w:lineRule="auto"/>
        <w:ind w:firstLine="480"/>
        <w:rPr>
          <w:rFonts w:cs="宋体"/>
          <w:sz w:val="21"/>
          <w:szCs w:val="21"/>
        </w:rPr>
      </w:pPr>
      <w:r>
        <w:rPr>
          <w:rStyle w:val="Strong"/>
          <w:rFonts w:ascii="宋体" w:hAnsi="宋体" w:cs="宋体" w:hint="eastAsia"/>
          <w:sz w:val="21"/>
          <w:szCs w:val="21"/>
        </w:rPr>
        <w:t>6、提示：招标公告附件内的招标文件（或采购需求）仅供阅览使用，供应商只有在“政府采购云平台”完成获取招标文件申请并下载了招标文件后才视作依法获取招标文件（法律法规所指的供应商获取招标文件时间以供应商完成获取招标文件申请后下载招标文件的时间为准）。</w:t>
      </w:r>
    </w:p>
    <w:p w:rsidR="00473C68">
      <w:pPr>
        <w:pStyle w:val="NormalWeb"/>
        <w:spacing w:before="0" w:beforeAutospacing="0" w:after="0" w:afterAutospacing="0" w:line="360" w:lineRule="auto"/>
        <w:ind w:firstLine="480"/>
        <w:rPr>
          <w:rStyle w:val="Strong"/>
          <w:rFonts w:cs="宋体"/>
          <w:sz w:val="21"/>
          <w:szCs w:val="21"/>
        </w:rPr>
      </w:pPr>
      <w:r>
        <w:rPr>
          <w:rStyle w:val="Strong"/>
          <w:rFonts w:ascii="宋体" w:hAnsi="宋体" w:cs="宋体" w:hint="eastAsia"/>
          <w:sz w:val="21"/>
          <w:szCs w:val="21"/>
        </w:rPr>
        <w:t>注：请供应商按上述要求获取招标文件，如未在“政府采购云平台”系统内完成相关流程，引起的投标无效责任自负。</w:t>
      </w:r>
    </w:p>
    <w:p w:rsidR="00473C68">
      <w:pPr>
        <w:spacing w:line="360" w:lineRule="auto"/>
        <w:ind w:firstLine="420" w:firstLineChars="200"/>
        <w:rPr>
          <w:rFonts w:ascii="宋体" w:hAnsi="宋体" w:cs="宋体"/>
          <w:b/>
          <w:bCs/>
          <w:szCs w:val="21"/>
        </w:rPr>
      </w:pPr>
      <w:r>
        <w:rPr>
          <w:rFonts w:ascii="宋体" w:hAnsi="宋体" w:cs="宋体" w:hint="eastAsia"/>
          <w:b/>
          <w:bCs/>
          <w:szCs w:val="21"/>
        </w:rPr>
        <w:t>五、招标答疑会</w:t>
      </w:r>
    </w:p>
    <w:p w:rsidR="00473C68">
      <w:pPr>
        <w:spacing w:line="360" w:lineRule="auto"/>
        <w:ind w:firstLine="840" w:firstLineChars="400"/>
        <w:rPr>
          <w:rFonts w:ascii="宋体" w:hAnsi="宋体" w:cs="宋体"/>
          <w:szCs w:val="21"/>
        </w:rPr>
      </w:pPr>
      <w:r>
        <w:rPr>
          <w:rFonts w:ascii="宋体" w:hAnsi="宋体" w:cs="宋体" w:hint="eastAsia"/>
          <w:szCs w:val="21"/>
        </w:rPr>
        <w:t>无</w:t>
      </w:r>
    </w:p>
    <w:p w:rsidR="00473C68">
      <w:pPr>
        <w:spacing w:line="360" w:lineRule="auto"/>
        <w:ind w:firstLine="420" w:firstLineChars="200"/>
        <w:rPr>
          <w:rFonts w:ascii="宋体" w:hAnsi="宋体" w:cs="宋体"/>
          <w:b/>
          <w:bCs/>
          <w:szCs w:val="21"/>
        </w:rPr>
      </w:pPr>
      <w:r>
        <w:rPr>
          <w:rFonts w:ascii="宋体" w:hAnsi="宋体" w:cs="宋体" w:hint="eastAsia"/>
          <w:b/>
          <w:bCs/>
          <w:szCs w:val="21"/>
        </w:rPr>
        <w:t>六、投标须知：</w:t>
      </w:r>
    </w:p>
    <w:p w:rsidR="00473C68">
      <w:pPr>
        <w:pStyle w:val="p0"/>
        <w:snapToGrid w:val="0"/>
        <w:spacing w:line="360" w:lineRule="auto"/>
        <w:ind w:firstLine="372" w:firstLineChars="177"/>
        <w:rPr>
          <w:rFonts w:ascii="宋体" w:hAnsi="宋体"/>
        </w:rPr>
      </w:pPr>
      <w:r>
        <w:rPr>
          <w:rFonts w:ascii="宋体" w:hAnsi="宋体" w:hint="eastAsia"/>
          <w:b/>
          <w:bCs/>
        </w:rPr>
        <w:t>1、投标截止时间与地点</w:t>
      </w:r>
      <w:r>
        <w:rPr>
          <w:rFonts w:ascii="宋体" w:hAnsi="宋体" w:hint="eastAsia"/>
        </w:rPr>
        <w:t>：2023年12月15日上午9:00整，地点：通过“政府采购云平台（</w:t>
      </w:r>
      <w:r w:rsidR="001D6950">
        <w:rPr>
          <w:rFonts w:ascii="宋体" w:hAnsi="宋体" w:hint="eastAsia"/>
        </w:rPr>
        <w:t>sdf.lkj</w:t>
      </w:r>
      <w:r>
        <w:rPr>
          <w:rFonts w:ascii="宋体" w:hAnsi="宋体" w:hint="eastAsia"/>
        </w:rPr>
        <w:t xml:space="preserve">zcygov.cn）”实行在线投标响应   </w:t>
      </w:r>
    </w:p>
    <w:p w:rsidR="00473C68">
      <w:pPr>
        <w:pStyle w:val="p0"/>
        <w:snapToGrid w:val="0"/>
        <w:spacing w:line="360" w:lineRule="auto"/>
        <w:ind w:firstLine="372" w:firstLineChars="177"/>
        <w:rPr>
          <w:rFonts w:ascii="宋体" w:hAnsi="宋体"/>
        </w:rPr>
      </w:pPr>
      <w:r>
        <w:rPr>
          <w:rFonts w:ascii="宋体" w:hAnsi="宋体" w:hint="eastAsia"/>
          <w:b/>
          <w:bCs/>
        </w:rPr>
        <w:t>2、开标时间及地点</w:t>
      </w:r>
      <w:r>
        <w:rPr>
          <w:rFonts w:ascii="宋体" w:hAnsi="宋体" w:hint="eastAsia"/>
        </w:rPr>
        <w:t>：2023年12月15日上午9:00整，地点：</w:t>
      </w:r>
      <w:r>
        <w:rPr>
          <w:rFonts w:ascii="宋体" w:hAnsi="宋体" w:hint="eastAsia"/>
          <w:kern w:val="2"/>
          <w:szCs w:val="24"/>
        </w:rPr>
        <w:t>通过“政府采购云平台（</w:t>
      </w:r>
      <w:r w:rsidR="001D6950">
        <w:rPr>
          <w:rFonts w:ascii="宋体" w:hAnsi="宋体" w:hint="eastAsia"/>
          <w:kern w:val="2"/>
          <w:szCs w:val="24"/>
        </w:rPr>
        <w:t>sdf.lkj</w:t>
      </w:r>
      <w:r>
        <w:rPr>
          <w:rFonts w:ascii="宋体" w:hAnsi="宋体" w:hint="eastAsia"/>
          <w:kern w:val="2"/>
          <w:szCs w:val="24"/>
        </w:rPr>
        <w:t>zcygov.cn）”实行在线投标响应</w:t>
      </w:r>
    </w:p>
    <w:p w:rsidR="00473C68">
      <w:pPr>
        <w:pStyle w:val="p0"/>
        <w:snapToGrid w:val="0"/>
        <w:spacing w:line="360" w:lineRule="auto"/>
        <w:ind w:firstLine="372" w:firstLineChars="177"/>
        <w:rPr>
          <w:rFonts w:ascii="宋体" w:hAnsi="宋体"/>
        </w:rPr>
      </w:pPr>
      <w:r>
        <w:rPr>
          <w:rFonts w:ascii="宋体" w:hAnsi="宋体" w:hint="eastAsia"/>
          <w:b/>
          <w:bCs/>
        </w:rPr>
        <w:t>3、解密截止时间</w:t>
      </w:r>
      <w:r>
        <w:rPr>
          <w:rFonts w:ascii="宋体" w:hAnsi="宋体" w:hint="eastAsia"/>
        </w:rPr>
        <w:t>：2023年12月15日上午9:30整</w:t>
      </w:r>
    </w:p>
    <w:p w:rsidR="00473C68">
      <w:pPr>
        <w:spacing w:line="360" w:lineRule="auto"/>
        <w:ind w:firstLine="420" w:firstLineChars="200"/>
        <w:rPr>
          <w:rFonts w:ascii="宋体" w:hAnsi="宋体" w:cs="宋体"/>
          <w:b/>
          <w:szCs w:val="21"/>
        </w:rPr>
      </w:pPr>
      <w:r>
        <w:rPr>
          <w:rFonts w:ascii="宋体" w:hAnsi="宋体" w:cs="宋体" w:hint="eastAsia"/>
          <w:b/>
          <w:szCs w:val="21"/>
        </w:rPr>
        <w:t>七、在线投标响应（电子投标）说明</w:t>
      </w:r>
    </w:p>
    <w:p w:rsidR="00473C68">
      <w:pPr>
        <w:pStyle w:val="PlainText"/>
        <w:wordWrap w:val="0"/>
        <w:adjustRightInd w:val="0"/>
        <w:snapToGrid w:val="0"/>
        <w:spacing w:line="360" w:lineRule="auto"/>
        <w:ind w:firstLine="420" w:firstLineChars="200"/>
        <w:rPr>
          <w:rFonts w:hAnsi="宋体" w:cs="宋体"/>
          <w:b/>
          <w:bCs/>
          <w:kern w:val="0"/>
          <w:szCs w:val="21"/>
        </w:rPr>
      </w:pPr>
      <w:r>
        <w:rPr>
          <w:rFonts w:hAnsi="宋体" w:cs="宋体" w:hint="eastAsia"/>
          <w:b/>
          <w:bCs/>
          <w:kern w:val="0"/>
          <w:szCs w:val="21"/>
        </w:rPr>
        <w:t>1、本项目通过“政府采购云平台（</w:t>
      </w:r>
      <w:r w:rsidR="001D6950">
        <w:rPr>
          <w:rFonts w:hAnsi="宋体" w:cs="宋体" w:hint="eastAsia"/>
          <w:b/>
          <w:bCs/>
          <w:kern w:val="0"/>
          <w:szCs w:val="21"/>
        </w:rPr>
        <w:t>sdf.lkj</w:t>
      </w:r>
      <w:r>
        <w:rPr>
          <w:rFonts w:hAnsi="宋体" w:cs="宋体" w:hint="eastAsia"/>
          <w:b/>
          <w:bCs/>
          <w:kern w:val="0"/>
          <w:szCs w:val="21"/>
        </w:rPr>
        <w:t>zcygov.cn）”实行在线投标响应（电子投标），供应商应先安装“政采云电子投标客户端”，并按照本招标文件和“政府采购云平台”的要求，通过“政采云电子投标客户端”编制并加密投标文件。</w:t>
      </w:r>
      <w:r>
        <w:rPr>
          <w:rFonts w:hAnsi="宋体" w:cs="宋体" w:hint="eastAsia"/>
          <w:szCs w:val="21"/>
        </w:rPr>
        <w:t>▲</w:t>
      </w:r>
      <w:r>
        <w:rPr>
          <w:rFonts w:hAnsi="宋体" w:cs="宋体" w:hint="eastAsia"/>
          <w:b/>
          <w:bCs/>
          <w:kern w:val="0"/>
          <w:szCs w:val="21"/>
        </w:rPr>
        <w:t>供应商未按规定加密的投标文件，“政府采购云平台”将予以拒收。</w:t>
      </w:r>
    </w:p>
    <w:p w:rsidR="00473C68">
      <w:pPr>
        <w:pStyle w:val="PlainText"/>
        <w:wordWrap w:val="0"/>
        <w:adjustRightInd w:val="0"/>
        <w:snapToGrid w:val="0"/>
        <w:spacing w:line="360" w:lineRule="auto"/>
        <w:ind w:firstLine="420" w:firstLineChars="200"/>
        <w:rPr>
          <w:rFonts w:hAnsi="宋体" w:cs="宋体"/>
          <w:b/>
          <w:bCs/>
          <w:kern w:val="0"/>
          <w:szCs w:val="21"/>
        </w:rPr>
      </w:pPr>
      <w:r>
        <w:rPr>
          <w:rFonts w:hAnsi="宋体" w:cs="宋体" w:hint="eastAsia"/>
          <w:b/>
          <w:bCs/>
          <w:kern w:val="0"/>
          <w:szCs w:val="21"/>
        </w:rPr>
        <w:t>“政采云电子投标客户端”请自行前往“浙江政府采购网-下载专区-电子交易客户端”进行下载；电子投标具体操作流程详见《供应商项目采购-电子招投标操作指南》；通过“政府采购云平台”参与在线投标时如遇平台技术问题详询95763。</w:t>
      </w:r>
    </w:p>
    <w:p w:rsidR="00473C68">
      <w:pPr>
        <w:pStyle w:val="p0"/>
        <w:snapToGrid w:val="0"/>
        <w:spacing w:line="360" w:lineRule="auto"/>
        <w:ind w:firstLine="420" w:firstLineChars="200"/>
        <w:rPr>
          <w:rFonts w:ascii="宋体" w:hAnsi="宋体"/>
          <w:b/>
          <w:bCs/>
        </w:rPr>
        <w:sectPr>
          <w:headerReference w:type="default" r:id="rId12"/>
          <w:footerReference w:type="default" r:id="rId13"/>
          <w:type w:val="nextPage"/>
          <w:pgSz w:w="11906" w:h="16838"/>
          <w:pgMar w:top="1440" w:right="1440" w:bottom="1440" w:left="1803" w:header="851" w:footer="992" w:gutter="0"/>
          <w:pgNumType w:start="4"/>
          <w:cols w:space="0"/>
          <w:titlePg w:val="0"/>
          <w:docGrid w:type="lines" w:linePitch="325"/>
        </w:sectPr>
      </w:pPr>
    </w:p>
    <w:p w:rsidR="00473C68">
      <w:pPr>
        <w:pStyle w:val="p0"/>
        <w:snapToGrid w:val="0"/>
        <w:spacing w:line="360" w:lineRule="auto"/>
        <w:ind w:firstLine="420" w:firstLineChars="200"/>
        <w:rPr>
          <w:rFonts w:ascii="宋体" w:hAnsi="宋体"/>
          <w:b/>
          <w:bCs/>
        </w:rPr>
      </w:pPr>
      <w:r>
        <w:rPr>
          <w:rFonts w:ascii="宋体" w:hAnsi="宋体" w:hint="eastAsia"/>
          <w:b/>
          <w:bCs/>
        </w:rPr>
        <w:t>2、为确保网上操作合法、有效和安全，投标供应商应当在投标截止时间前完成在“政府采购云平台”的身份认证，确保在电子投标过程中能够对相关数据电文进行加密和使用电子签章。使用“政采云电子投标客户端”需要提前申领CA数字证书，申领流程请自行前往“浙江政府采购网-下载专区-电子交易客户端-</w:t>
      </w:r>
      <w:hyperlink r:id="rId14" w:tooltip="CA驱动和申领流程" w:history="1">
        <w:r>
          <w:rPr>
            <w:rFonts w:ascii="宋体" w:hAnsi="宋体" w:hint="eastAsia"/>
            <w:b/>
            <w:bCs/>
          </w:rPr>
          <w:t>CA驱动和申领流程</w:t>
        </w:r>
      </w:hyperlink>
      <w:r>
        <w:rPr>
          <w:rFonts w:ascii="宋体" w:hAnsi="宋体" w:hint="eastAsia"/>
          <w:b/>
          <w:bCs/>
        </w:rPr>
        <w:t>”进行查阅；</w:t>
      </w:r>
    </w:p>
    <w:p w:rsidR="00473C68">
      <w:pPr>
        <w:pStyle w:val="PlainText"/>
        <w:adjustRightInd w:val="0"/>
        <w:snapToGrid w:val="0"/>
        <w:spacing w:line="360" w:lineRule="auto"/>
        <w:ind w:firstLine="420" w:firstLineChars="200"/>
        <w:rPr>
          <w:rFonts w:hAnsi="宋体" w:cs="宋体"/>
          <w:b/>
          <w:bCs/>
          <w:kern w:val="0"/>
          <w:szCs w:val="21"/>
        </w:rPr>
      </w:pPr>
      <w:r>
        <w:rPr>
          <w:rFonts w:hAnsi="宋体" w:cs="宋体" w:hint="eastAsia"/>
          <w:b/>
          <w:bCs/>
          <w:kern w:val="0"/>
          <w:szCs w:val="21"/>
        </w:rPr>
        <w:t>3、投标人通过政府采购云平台电子投标工具制作投标文件，电子投标工具请供应商自行前往浙江政府采购网下载并安装，（下载网址：https://zfcg.czt.zj.gov.cn/bidClientTemplate/2021-11-01/12975.html?utm=web-government-front.a2eab82.0.0.19c58540c14611ed94855fb6758c26ac），电子投标具体流程文档详见网址：</w:t>
      </w:r>
      <w:hyperlink r:id="rId15" w:anchor="/knowledges/CW1EtGwBFdiHxlNd6I3m/6IMVAG0BFdiHx" w:history="1">
        <w:r>
          <w:rPr>
            <w:rFonts w:hAnsi="宋体" w:cs="宋体" w:hint="eastAsia"/>
            <w:b/>
            <w:bCs/>
            <w:kern w:val="0"/>
            <w:szCs w:val="21"/>
          </w:rPr>
          <w:t>https://service.zcygov.cn/#/knowledges/CW1EtGwBFdiHxlNd6I3m/6IMVAG0BFdiHx</w:t>
        </w:r>
      </w:hyperlink>
    </w:p>
    <w:p w:rsidR="00473C68">
      <w:pPr>
        <w:pStyle w:val="PlainText"/>
        <w:adjustRightInd w:val="0"/>
        <w:snapToGrid w:val="0"/>
        <w:spacing w:line="360" w:lineRule="auto"/>
        <w:rPr>
          <w:rFonts w:hAnsi="宋体" w:cs="宋体"/>
          <w:b/>
          <w:bCs/>
          <w:kern w:val="0"/>
          <w:szCs w:val="21"/>
        </w:rPr>
      </w:pPr>
      <w:r>
        <w:rPr>
          <w:rFonts w:hAnsi="宋体" w:cs="宋体" w:hint="eastAsia"/>
          <w:b/>
          <w:bCs/>
          <w:kern w:val="0"/>
          <w:szCs w:val="21"/>
        </w:rPr>
        <w:t>lNdQ8Na?keyword=%E6%8A%95%E6%A0%87。</w:t>
      </w:r>
    </w:p>
    <w:p w:rsidR="00473C68">
      <w:pPr>
        <w:pStyle w:val="PlainText"/>
        <w:adjustRightInd w:val="0"/>
        <w:snapToGrid w:val="0"/>
        <w:spacing w:line="360" w:lineRule="auto"/>
        <w:ind w:firstLine="420" w:firstLineChars="200"/>
        <w:rPr>
          <w:rFonts w:hAnsi="宋体" w:cs="宋体"/>
          <w:b/>
          <w:bCs/>
          <w:kern w:val="0"/>
          <w:szCs w:val="21"/>
        </w:rPr>
      </w:pPr>
      <w:r>
        <w:rPr>
          <w:rFonts w:hAnsi="宋体" w:cs="宋体" w:hint="eastAsia"/>
          <w:b/>
          <w:bCs/>
          <w:kern w:val="0"/>
          <w:szCs w:val="21"/>
        </w:rPr>
        <w:t>▲4、投标供应商应当在投标截止时间前，将生成的“电子加密投标文件”上传递交至“政府采购云平台”。投标截止时间前可以补充、修改或者撤回电子投标文件。补充或者修改电子投标文件的，应当先行撤回原文件，补充、修改后重新传输递交。投标截止时间前未完成传输的，视为撤回投标文件。</w:t>
      </w:r>
    </w:p>
    <w:p w:rsidR="00473C68">
      <w:pPr>
        <w:pStyle w:val="PlainText"/>
        <w:adjustRightInd w:val="0"/>
        <w:snapToGrid w:val="0"/>
        <w:spacing w:line="360" w:lineRule="auto"/>
        <w:ind w:firstLine="420" w:firstLineChars="200"/>
        <w:rPr>
          <w:rFonts w:hAnsi="宋体" w:cs="宋体"/>
          <w:b/>
          <w:bCs/>
          <w:kern w:val="0"/>
          <w:szCs w:val="21"/>
        </w:rPr>
      </w:pPr>
      <w:r>
        <w:rPr>
          <w:rFonts w:hAnsi="宋体" w:cs="宋体" w:hint="eastAsia"/>
          <w:b/>
          <w:bCs/>
          <w:kern w:val="0"/>
          <w:szCs w:val="21"/>
        </w:rPr>
        <w:t>5、供应商同时还可以提供经政采云平台加密处理的、</w:t>
      </w:r>
      <w:r>
        <w:rPr>
          <w:rFonts w:hAnsi="宋体" w:cs="宋体" w:hint="eastAsia"/>
          <w:b/>
          <w:bCs/>
          <w:szCs w:val="21"/>
        </w:rPr>
        <w:t>以介质（U盘）存储的数据电文形式的备份</w:t>
      </w:r>
      <w:r>
        <w:rPr>
          <w:rFonts w:hAnsi="宋体" w:cs="宋体" w:hint="eastAsia"/>
          <w:b/>
          <w:bCs/>
          <w:kern w:val="0"/>
          <w:szCs w:val="21"/>
        </w:rPr>
        <w:t>投标文件（不强制要求，未递交备份文件的风险由供应商自行承担）。备份投标文件应当在投标截止时间前送达并按要求密封（备份投标文件在密封袋的封口处加盖投标人公章、法定代表人代表或授权委托代理人印章或签字。封皮上写明项目编号、标项、招标项目名称、投标人名称，并注明“投标文件名称”、“开标时启封”字样）并</w:t>
      </w:r>
      <w:r>
        <w:rPr>
          <w:rFonts w:hAnsi="宋体" w:cs="宋体" w:hint="eastAsia"/>
          <w:b/>
          <w:bCs/>
          <w:szCs w:val="21"/>
        </w:rPr>
        <w:t>建议采用顺丰邮寄（或直接递交）</w:t>
      </w:r>
      <w:r>
        <w:rPr>
          <w:rFonts w:hAnsi="宋体" w:cs="宋体" w:hint="eastAsia"/>
          <w:b/>
          <w:bCs/>
          <w:kern w:val="0"/>
          <w:szCs w:val="21"/>
        </w:rPr>
        <w:t>到</w:t>
      </w:r>
      <w:r>
        <w:rPr>
          <w:rFonts w:hAnsi="宋体" w:cs="宋体" w:hint="eastAsia"/>
          <w:b/>
          <w:bCs/>
          <w:szCs w:val="21"/>
        </w:rPr>
        <w:t>台州市椒江区中环世纪6幢801室（交通银行台州分行楼上）收件人：俞雅琪；联系电话：</w:t>
      </w:r>
      <w:r>
        <w:rPr>
          <w:rFonts w:hAnsi="宋体" w:cs="宋体" w:hint="eastAsia"/>
          <w:b/>
          <w:bCs/>
          <w:kern w:val="0"/>
          <w:szCs w:val="21"/>
        </w:rPr>
        <w:t>，逾期寄达、到付或未按要求密封将被拒收。</w:t>
      </w:r>
    </w:p>
    <w:p w:rsidR="00473C68">
      <w:pPr>
        <w:pStyle w:val="PlainText"/>
        <w:adjustRightInd w:val="0"/>
        <w:snapToGrid w:val="0"/>
        <w:spacing w:line="360" w:lineRule="auto"/>
        <w:ind w:firstLine="420" w:firstLineChars="200"/>
        <w:rPr>
          <w:rFonts w:hAnsi="宋体" w:cs="宋体"/>
          <w:b/>
          <w:bCs/>
          <w:kern w:val="0"/>
          <w:szCs w:val="21"/>
        </w:rPr>
      </w:pPr>
      <w:r>
        <w:rPr>
          <w:rFonts w:hAnsi="宋体" w:cs="宋体" w:hint="eastAsia"/>
          <w:b/>
          <w:bCs/>
          <w:kern w:val="0"/>
          <w:szCs w:val="21"/>
        </w:rPr>
        <w:t>6、</w:t>
      </w:r>
      <w:r>
        <w:rPr>
          <w:rFonts w:hAnsi="宋体" w:cs="宋体" w:hint="eastAsia"/>
          <w:szCs w:val="21"/>
        </w:rPr>
        <w:t>▲</w:t>
      </w:r>
      <w:r>
        <w:rPr>
          <w:rFonts w:hAnsi="宋体" w:cs="宋体" w:hint="eastAsia"/>
          <w:b/>
          <w:bCs/>
          <w:kern w:val="0"/>
          <w:szCs w:val="21"/>
        </w:rPr>
        <w:t>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w:t>
      </w:r>
    </w:p>
    <w:p w:rsidR="00473C68">
      <w:pPr>
        <w:pStyle w:val="Date"/>
        <w:spacing w:line="360" w:lineRule="auto"/>
        <w:ind w:left="0" w:firstLine="420" w:leftChars="0" w:firstLineChars="200"/>
        <w:rPr>
          <w:rFonts w:ascii="宋体" w:eastAsia="宋体" w:hAnsi="宋体" w:cs="宋体"/>
        </w:rPr>
      </w:pPr>
      <w:r>
        <w:rPr>
          <w:rFonts w:ascii="宋体" w:eastAsia="宋体" w:hAnsi="宋体" w:cs="宋体" w:hint="eastAsia"/>
          <w:b/>
          <w:bCs/>
          <w:kern w:val="0"/>
          <w:sz w:val="21"/>
          <w:szCs w:val="21"/>
        </w:rPr>
        <w:t>7、在政府采购活动中，供应商提供的货物、工程或者服务符合下列情形的，享受本办法规定的中小企业扶持政策： ①在货物采购项目中，货物由中小企业制造，即货物由中小企业生产且使用该中小企业商号或者注册商标； ②在工程采购项目中，工程由中小企业承建，即工程施工单位为中小企业； ③在服务采购项目中，服务由中小企业承接，即提供服务的人员为中小企业依照《中华人民共和国劳动合同法》 订立劳动合同的从业人员。 在货物采购项目中，供应商提供的货物既有中小企业制 造货物，也有大型企业制造货物的，不享受本办法规定的中 小企业扶持政策。 以联合体形式参加政府采购活动，联合体各方均为中小 企业的，联合体视同中小企业。其中，联合体各方均为小微 企业的，联合体视同小微企业。</w:t>
      </w:r>
    </w:p>
    <w:p w:rsidR="00473C68">
      <w:pPr>
        <w:spacing w:line="360" w:lineRule="auto"/>
        <w:ind w:firstLine="420" w:firstLineChars="200"/>
        <w:rPr>
          <w:rFonts w:ascii="宋体" w:hAnsi="宋体" w:cs="宋体"/>
          <w:b/>
          <w:bCs/>
          <w:szCs w:val="21"/>
        </w:rPr>
        <w:sectPr>
          <w:headerReference w:type="default" r:id="rId16"/>
          <w:footerReference w:type="default" r:id="rId17"/>
          <w:type w:val="nextPage"/>
          <w:pgSz w:w="11906" w:h="16838"/>
          <w:pgMar w:top="1440" w:right="1440" w:bottom="1440" w:left="1803" w:header="851" w:footer="992" w:gutter="0"/>
          <w:pgNumType w:start="5"/>
          <w:cols w:space="0"/>
          <w:titlePg w:val="0"/>
          <w:docGrid w:type="lines" w:linePitch="325"/>
        </w:sectPr>
      </w:pPr>
    </w:p>
    <w:p w:rsidR="00473C68">
      <w:pPr>
        <w:spacing w:line="360" w:lineRule="auto"/>
        <w:ind w:firstLine="420" w:firstLineChars="200"/>
        <w:rPr>
          <w:rFonts w:ascii="宋体" w:hAnsi="宋体" w:cs="宋体"/>
          <w:b/>
          <w:bCs/>
          <w:szCs w:val="21"/>
        </w:rPr>
      </w:pPr>
      <w:r>
        <w:rPr>
          <w:rFonts w:ascii="宋体" w:hAnsi="宋体" w:cs="宋体" w:hint="eastAsia"/>
          <w:b/>
          <w:bCs/>
          <w:szCs w:val="21"/>
        </w:rPr>
        <w:t>八、投标人信用信息查询渠道及截止时点、信用信息查询记录和证据留存的具体方式、信用信息的使用规则：</w:t>
      </w:r>
    </w:p>
    <w:p w:rsidR="00473C68">
      <w:pPr>
        <w:spacing w:line="360" w:lineRule="auto"/>
        <w:ind w:firstLine="420" w:firstLineChars="200"/>
        <w:rPr>
          <w:rFonts w:ascii="宋体" w:hAnsi="宋体" w:cs="宋体"/>
          <w:szCs w:val="21"/>
        </w:rPr>
      </w:pPr>
      <w:r>
        <w:rPr>
          <w:rFonts w:ascii="宋体" w:hAnsi="宋体" w:cs="宋体" w:hint="eastAsia"/>
          <w:szCs w:val="21"/>
        </w:rPr>
        <w:t>1、查询渠道：“信用中国”（</w:t>
      </w:r>
      <w:r w:rsidR="001D6950">
        <w:rPr>
          <w:rFonts w:ascii="宋体" w:hAnsi="宋体" w:cs="宋体" w:hint="eastAsia"/>
          <w:szCs w:val="21"/>
        </w:rPr>
        <w:t>sdf.lkj</w:t>
      </w:r>
      <w:r>
        <w:rPr>
          <w:rFonts w:ascii="宋体" w:hAnsi="宋体" w:cs="宋体" w:hint="eastAsia"/>
          <w:szCs w:val="21"/>
        </w:rPr>
        <w:t>creditchina.gov.cn）、“中国政府采购网”（</w:t>
      </w:r>
      <w:r w:rsidR="001D6950">
        <w:rPr>
          <w:rFonts w:ascii="宋体" w:hAnsi="宋体" w:cs="宋体" w:hint="eastAsia"/>
          <w:szCs w:val="21"/>
        </w:rPr>
        <w:t>sdf.lkj</w:t>
      </w:r>
      <w:r>
        <w:rPr>
          <w:rFonts w:ascii="宋体" w:hAnsi="宋体" w:cs="宋体" w:hint="eastAsia"/>
          <w:szCs w:val="21"/>
        </w:rPr>
        <w:t>ccgp.gov.cn）、“浙江政府采购网（</w:t>
      </w:r>
      <w:r w:rsidR="009D3099">
        <w:rPr>
          <w:rFonts w:ascii="宋体" w:hAnsi="宋体" w:cs="宋体" w:hint="eastAsia"/>
          <w:kern w:val="0"/>
          <w:szCs w:val="21"/>
        </w:rPr>
        <w:t>lkj:</w:t>
      </w:r>
      <w:r>
        <w:rPr>
          <w:rFonts w:ascii="宋体" w:hAnsi="宋体" w:cs="宋体" w:hint="eastAsia"/>
          <w:kern w:val="0"/>
          <w:szCs w:val="21"/>
        </w:rPr>
        <w:t>//zfcg.czt.zj.gov.cn</w:t>
      </w:r>
      <w:r>
        <w:rPr>
          <w:rFonts w:ascii="宋体" w:hAnsi="宋体" w:cs="宋体" w:hint="eastAsia"/>
          <w:szCs w:val="21"/>
        </w:rPr>
        <w:t>）。</w:t>
      </w:r>
    </w:p>
    <w:p w:rsidR="00473C68">
      <w:pPr>
        <w:spacing w:line="360" w:lineRule="auto"/>
        <w:ind w:firstLine="420" w:firstLineChars="200"/>
        <w:rPr>
          <w:rFonts w:ascii="宋体" w:hAnsi="宋体" w:cs="宋体"/>
          <w:szCs w:val="21"/>
        </w:rPr>
      </w:pPr>
      <w:r>
        <w:rPr>
          <w:rFonts w:ascii="宋体" w:hAnsi="宋体" w:cs="宋体" w:hint="eastAsia"/>
          <w:szCs w:val="21"/>
        </w:rPr>
        <w:t>2、信用信息查询的截止时点：开标后评标前。</w:t>
      </w:r>
    </w:p>
    <w:p w:rsidR="00473C68">
      <w:pPr>
        <w:spacing w:line="360" w:lineRule="auto"/>
        <w:ind w:firstLine="420" w:firstLineChars="200"/>
        <w:rPr>
          <w:rFonts w:ascii="宋体" w:hAnsi="宋体" w:cs="宋体"/>
          <w:szCs w:val="21"/>
        </w:rPr>
      </w:pPr>
      <w:r>
        <w:rPr>
          <w:rFonts w:ascii="宋体" w:hAnsi="宋体" w:cs="宋体" w:hint="eastAsia"/>
          <w:szCs w:val="21"/>
        </w:rPr>
        <w:t>3、信用信息查询记录和证据留存的具体方式：由采购代理机构在规定查询时间内打印信用信息查询记录并归入项目档案。</w:t>
      </w:r>
    </w:p>
    <w:p w:rsidR="00473C68">
      <w:pPr>
        <w:spacing w:line="360" w:lineRule="auto"/>
        <w:ind w:firstLine="420" w:firstLineChars="200"/>
        <w:rPr>
          <w:rFonts w:ascii="宋体" w:hAnsi="宋体" w:cs="宋体"/>
          <w:szCs w:val="21"/>
        </w:rPr>
      </w:pPr>
      <w:r>
        <w:rPr>
          <w:rFonts w:ascii="宋体" w:hAnsi="宋体" w:cs="宋体" w:hint="eastAsia"/>
          <w:szCs w:val="21"/>
        </w:rPr>
        <w:t>4、信用信息的使用规则：对列入失信被执行人、重大税收违法失信主体、政府采购严重违法失信行为记录名单及其他不符合《中华人民共和国政府采购法》第二十二条规定条件的供应商，将被拒绝其参与政府采购活动。</w:t>
      </w:r>
    </w:p>
    <w:p w:rsidR="00473C68">
      <w:pPr>
        <w:spacing w:line="360" w:lineRule="auto"/>
        <w:ind w:firstLine="420" w:firstLineChars="200"/>
        <w:rPr>
          <w:rFonts w:ascii="宋体" w:hAnsi="宋体" w:cs="宋体"/>
          <w:b/>
          <w:bCs/>
          <w:szCs w:val="21"/>
        </w:rPr>
      </w:pPr>
      <w:r>
        <w:rPr>
          <w:rFonts w:ascii="宋体" w:hAnsi="宋体" w:cs="宋体" w:hint="eastAsia"/>
          <w:b/>
          <w:bCs/>
          <w:szCs w:val="21"/>
        </w:rPr>
        <w:t>九、相关注意事项：</w:t>
      </w:r>
    </w:p>
    <w:p w:rsidR="00473C68">
      <w:pPr>
        <w:spacing w:line="360" w:lineRule="auto"/>
        <w:ind w:firstLine="420" w:firstLineChars="200"/>
        <w:rPr>
          <w:rFonts w:ascii="宋体" w:hAnsi="宋体" w:cs="宋体"/>
          <w:szCs w:val="21"/>
        </w:rPr>
      </w:pPr>
      <w:r>
        <w:rPr>
          <w:rFonts w:ascii="宋体" w:hAnsi="宋体" w:cs="宋体" w:hint="eastAsia"/>
          <w:szCs w:val="21"/>
        </w:rPr>
        <w:t>1、《浙江省财政厅关于进一步发挥政府采购政策功能全力推动经济稳进提质的通知》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 (浙财采监(2022)8号)已分别于2022年1月29日、2022年2月1日和2022年7月1日开始实施，此前有关规定与上述文件内容不一致的，按上述文件要求执行。</w:t>
      </w:r>
    </w:p>
    <w:p w:rsidR="00473C68">
      <w:pPr>
        <w:spacing w:line="360" w:lineRule="auto"/>
        <w:ind w:firstLine="420" w:firstLineChars="200"/>
        <w:rPr>
          <w:rFonts w:ascii="宋体" w:hAnsi="宋体" w:cs="宋体"/>
          <w:szCs w:val="21"/>
        </w:rPr>
      </w:pPr>
      <w:r>
        <w:rPr>
          <w:rFonts w:ascii="宋体" w:hAnsi="宋体" w:cs="宋体" w:hint="eastAsia"/>
          <w:szCs w:val="21"/>
        </w:rPr>
        <w:t>2、根据《浙江省财政厅关于进一步促进政府采购公平竞争打造最优营商环境的通知》 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w:t>
      </w:r>
    </w:p>
    <w:p w:rsidR="00473C68">
      <w:pPr>
        <w:spacing w:line="360" w:lineRule="auto"/>
        <w:ind w:firstLine="420" w:firstLineChars="200"/>
        <w:rPr>
          <w:rFonts w:ascii="宋体" w:hAnsi="宋体" w:cs="宋体"/>
          <w:szCs w:val="21"/>
        </w:rPr>
      </w:pPr>
      <w:r>
        <w:rPr>
          <w:rFonts w:ascii="宋体" w:hAnsi="宋体" w:cs="宋体" w:hint="eastAsia"/>
          <w:szCs w:val="21"/>
        </w:rPr>
        <w:t>3、本项目公告期限为5个工作日。供应商认为采购文件使自己的权益受到损害的，可以自获取采购文件之日或采购文件公告期限届满之日起7个工作日内，以书面形式一次性向采购人和采购代理机构提出同一环节（包括采购过程、采购结果等环节也应一次性在同一环节提出）的质疑，以供应商线上提供质疑函的时间为提起质疑的时间。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p>
    <w:p w:rsidR="00473C68">
      <w:pPr>
        <w:spacing w:line="360" w:lineRule="auto"/>
        <w:ind w:firstLine="420" w:firstLineChars="200"/>
        <w:rPr>
          <w:rFonts w:ascii="宋体" w:hAnsi="宋体" w:cs="宋体"/>
          <w:szCs w:val="21"/>
        </w:rPr>
        <w:sectPr>
          <w:headerReference w:type="default" r:id="rId18"/>
          <w:footerReference w:type="default" r:id="rId19"/>
          <w:type w:val="nextPage"/>
          <w:pgSz w:w="11906" w:h="16838"/>
          <w:pgMar w:top="1440" w:right="1440" w:bottom="1440" w:left="1803" w:header="851" w:footer="992" w:gutter="0"/>
          <w:pgNumType w:start="6"/>
          <w:cols w:space="0"/>
          <w:titlePg w:val="0"/>
          <w:docGrid w:type="lines" w:linePitch="325"/>
        </w:sectPr>
      </w:pPr>
    </w:p>
    <w:p w:rsidR="00473C68">
      <w:pPr>
        <w:spacing w:line="360" w:lineRule="auto"/>
        <w:ind w:firstLine="420" w:firstLineChars="200"/>
        <w:rPr>
          <w:rFonts w:ascii="宋体" w:hAnsi="宋体" w:cs="宋体"/>
          <w:szCs w:val="21"/>
        </w:rPr>
      </w:pPr>
      <w:r>
        <w:rPr>
          <w:rFonts w:ascii="宋体" w:hAnsi="宋体" w:cs="宋体" w:hint="eastAsia"/>
          <w:szCs w:val="21"/>
        </w:rPr>
        <w:t>4、未进行供应商资格报名或登记（含网上报名登记）的供应商，应视为未参加政府采购活动，一般不得提出质疑，但因供应商资格条件受到限制、报名时间设定不符合有关规定等原因使供应商不能参加报名或登记的除外。</w:t>
      </w:r>
    </w:p>
    <w:p w:rsidR="00473C68">
      <w:pPr>
        <w:spacing w:line="360" w:lineRule="auto"/>
        <w:ind w:firstLine="420" w:firstLineChars="200"/>
        <w:rPr>
          <w:rFonts w:ascii="宋体" w:hAnsi="宋体" w:cs="宋体"/>
          <w:szCs w:val="21"/>
        </w:rPr>
      </w:pPr>
      <w:r>
        <w:rPr>
          <w:rFonts w:ascii="宋体" w:hAnsi="宋体" w:cs="宋体" w:hint="eastAsia"/>
          <w:szCs w:val="21"/>
        </w:rPr>
        <w:t>5、根据《浙江省政府采购供应商注册及诚信管理暂行办法》浙财采监【2009】28号文件，请各投标供应商及时办理浙江政府采购网“政府采购供应商注册”手续。</w:t>
      </w:r>
    </w:p>
    <w:p w:rsidR="00473C68">
      <w:pPr>
        <w:spacing w:line="360" w:lineRule="auto"/>
        <w:ind w:firstLine="420" w:firstLineChars="200"/>
        <w:rPr>
          <w:rFonts w:ascii="宋体" w:hAnsi="宋体" w:cs="宋体"/>
          <w:kern w:val="0"/>
          <w:szCs w:val="21"/>
        </w:rPr>
      </w:pPr>
      <w:r>
        <w:rPr>
          <w:rFonts w:ascii="宋体" w:hAnsi="宋体" w:cs="宋体" w:hint="eastAsia"/>
          <w:szCs w:val="21"/>
        </w:rPr>
        <w:t>6、</w:t>
      </w:r>
      <w:r>
        <w:rPr>
          <w:rFonts w:ascii="宋体" w:hAnsi="宋体" w:cs="宋体" w:hint="eastAsia"/>
          <w:kern w:val="0"/>
          <w:szCs w:val="21"/>
        </w:rPr>
        <w:t>参与政府采购项目的注册供应商，需登录浙江政府采购网（</w:t>
      </w:r>
      <w:r w:rsidR="009D3099">
        <w:rPr>
          <w:rFonts w:ascii="宋体" w:hAnsi="宋体" w:cs="宋体" w:hint="eastAsia"/>
          <w:kern w:val="0"/>
          <w:szCs w:val="21"/>
        </w:rPr>
        <w:t>lkj:</w:t>
      </w:r>
      <w:r>
        <w:rPr>
          <w:rFonts w:ascii="宋体" w:hAnsi="宋体" w:cs="宋体" w:hint="eastAsia"/>
          <w:kern w:val="0"/>
          <w:szCs w:val="21"/>
        </w:rPr>
        <w:t>//zfcg.czt.zj.gov.cn）进行网上获取文件；尚未注册的供应商应当先在浙江政府采购网上申请注册，注册终审通过后再进行网上获取文件。</w:t>
      </w:r>
    </w:p>
    <w:p w:rsidR="00473C68">
      <w:pPr>
        <w:snapToGrid w:val="0"/>
        <w:spacing w:line="360" w:lineRule="auto"/>
        <w:ind w:firstLine="420" w:firstLineChars="200"/>
        <w:rPr>
          <w:rFonts w:ascii="宋体" w:hAnsi="宋体" w:cs="宋体"/>
          <w:szCs w:val="21"/>
        </w:rPr>
      </w:pPr>
      <w:r>
        <w:rPr>
          <w:rFonts w:ascii="宋体" w:hAnsi="宋体" w:cs="宋体" w:hint="eastAsia"/>
          <w:szCs w:val="21"/>
        </w:rPr>
        <w:t>7、本项目所有公告发布网站：“浙江政府采购网”（</w:t>
      </w:r>
      <w:r w:rsidR="009D3099">
        <w:rPr>
          <w:rFonts w:ascii="宋体" w:hAnsi="宋体" w:cs="宋体" w:hint="eastAsia"/>
          <w:kern w:val="0"/>
          <w:szCs w:val="21"/>
        </w:rPr>
        <w:t>lkj:</w:t>
      </w:r>
      <w:r>
        <w:rPr>
          <w:rFonts w:ascii="宋体" w:hAnsi="宋体" w:cs="宋体" w:hint="eastAsia"/>
          <w:kern w:val="0"/>
          <w:szCs w:val="21"/>
        </w:rPr>
        <w:t>//zfcg.czt.zj.gov.cn）。</w:t>
      </w:r>
    </w:p>
    <w:p w:rsidR="00473C68">
      <w:pPr>
        <w:pStyle w:val="BodyText"/>
        <w:spacing w:after="0" w:line="360" w:lineRule="auto"/>
        <w:ind w:firstLine="420" w:firstLineChars="200"/>
        <w:jc w:val="left"/>
        <w:rPr>
          <w:rFonts w:ascii="宋体" w:hAnsi="宋体" w:cs="宋体"/>
          <w:kern w:val="0"/>
          <w:szCs w:val="21"/>
        </w:rPr>
      </w:pPr>
      <w:r>
        <w:rPr>
          <w:rFonts w:ascii="宋体" w:hAnsi="宋体" w:cs="宋体" w:hint="eastAsia"/>
          <w:szCs w:val="21"/>
        </w:rPr>
        <w:t>8、采购文件发售截止时间之后有潜在供应商提出要求获取采购文件的允许其报名获取，但对采购文件有异议应按规定的时间提出，逾期提出的，采购组织机构可不予受理、答复。</w:t>
      </w:r>
    </w:p>
    <w:p w:rsidR="00473C68">
      <w:pPr>
        <w:spacing w:line="360" w:lineRule="auto"/>
        <w:ind w:firstLine="420" w:firstLineChars="200"/>
        <w:rPr>
          <w:rFonts w:ascii="宋体" w:hAnsi="宋体" w:cs="宋体"/>
          <w:b/>
          <w:bCs/>
          <w:kern w:val="0"/>
          <w:szCs w:val="21"/>
        </w:rPr>
      </w:pPr>
      <w:r>
        <w:rPr>
          <w:rFonts w:ascii="宋体" w:hAnsi="宋体" w:cs="宋体" w:hint="eastAsia"/>
          <w:b/>
          <w:bCs/>
          <w:kern w:val="0"/>
          <w:szCs w:val="21"/>
        </w:rPr>
        <w:t>十、联系方式：</w:t>
      </w:r>
    </w:p>
    <w:p w:rsidR="00473C68">
      <w:pPr>
        <w:spacing w:line="360" w:lineRule="auto"/>
        <w:ind w:firstLine="420" w:firstLineChars="200"/>
        <w:rPr>
          <w:rFonts w:ascii="宋体" w:hAnsi="宋体" w:cs="宋体"/>
          <w:b/>
          <w:bCs/>
          <w:szCs w:val="21"/>
        </w:rPr>
      </w:pPr>
      <w:r>
        <w:rPr>
          <w:rFonts w:ascii="宋体" w:hAnsi="宋体" w:cs="宋体" w:hint="eastAsia"/>
          <w:b/>
          <w:bCs/>
          <w:szCs w:val="21"/>
        </w:rPr>
        <w:t>1、采购代理机构</w:t>
      </w:r>
    </w:p>
    <w:p w:rsidR="00473C68">
      <w:pPr>
        <w:spacing w:line="360" w:lineRule="auto"/>
        <w:ind w:firstLine="420" w:firstLineChars="200"/>
        <w:rPr>
          <w:rFonts w:ascii="宋体" w:hAnsi="宋体" w:cs="宋体"/>
          <w:szCs w:val="21"/>
        </w:rPr>
      </w:pPr>
      <w:r>
        <w:rPr>
          <w:rFonts w:ascii="宋体" w:hAnsi="宋体" w:cs="宋体" w:hint="eastAsia"/>
          <w:szCs w:val="21"/>
        </w:rPr>
        <w:t>采购代理机构名称：台州永安工程咨询有限公司</w:t>
      </w:r>
    </w:p>
    <w:p w:rsidR="00473C68">
      <w:pPr>
        <w:spacing w:line="360" w:lineRule="auto"/>
        <w:ind w:firstLine="420" w:firstLineChars="200"/>
        <w:rPr>
          <w:rFonts w:ascii="宋体" w:hAnsi="宋体" w:cs="宋体"/>
          <w:szCs w:val="21"/>
        </w:rPr>
      </w:pPr>
      <w:r>
        <w:rPr>
          <w:rFonts w:ascii="宋体" w:hAnsi="宋体" w:cs="宋体" w:hint="eastAsia"/>
          <w:szCs w:val="21"/>
        </w:rPr>
        <w:t xml:space="preserve">联系人：管女士 </w:t>
      </w:r>
    </w:p>
    <w:p w:rsidR="00473C68">
      <w:pPr>
        <w:spacing w:line="360" w:lineRule="auto"/>
        <w:ind w:firstLine="420" w:firstLineChars="200"/>
        <w:rPr>
          <w:rFonts w:ascii="宋体" w:hAnsi="宋体" w:cs="宋体"/>
          <w:szCs w:val="21"/>
        </w:rPr>
      </w:pPr>
      <w:r>
        <w:rPr>
          <w:rFonts w:ascii="宋体" w:hAnsi="宋体" w:cs="宋体" w:hint="eastAsia"/>
          <w:szCs w:val="21"/>
        </w:rPr>
        <w:t xml:space="preserve">联系电话：， </w:t>
      </w:r>
    </w:p>
    <w:p w:rsidR="00473C68">
      <w:pPr>
        <w:spacing w:line="360" w:lineRule="auto"/>
        <w:ind w:firstLine="420" w:firstLineChars="200"/>
        <w:rPr>
          <w:rFonts w:ascii="宋体" w:hAnsi="宋体" w:cs="宋体"/>
          <w:szCs w:val="21"/>
        </w:rPr>
      </w:pPr>
      <w:r>
        <w:rPr>
          <w:rFonts w:ascii="宋体" w:hAnsi="宋体" w:cs="宋体" w:hint="eastAsia"/>
          <w:szCs w:val="21"/>
        </w:rPr>
        <w:t>传真：；</w:t>
      </w:r>
    </w:p>
    <w:p w:rsidR="00473C68">
      <w:pPr>
        <w:spacing w:line="360" w:lineRule="auto"/>
        <w:ind w:firstLine="420" w:firstLineChars="200"/>
        <w:rPr>
          <w:rFonts w:ascii="宋体" w:hAnsi="宋体" w:cs="宋体"/>
          <w:szCs w:val="21"/>
        </w:rPr>
      </w:pPr>
      <w:r>
        <w:rPr>
          <w:rFonts w:ascii="宋体" w:hAnsi="宋体" w:cs="宋体" w:hint="eastAsia"/>
          <w:szCs w:val="21"/>
        </w:rPr>
        <w:t>质疑接收人：叶先生</w:t>
      </w:r>
    </w:p>
    <w:p w:rsidR="00473C68">
      <w:pPr>
        <w:spacing w:line="360" w:lineRule="auto"/>
        <w:ind w:firstLine="420" w:firstLineChars="200"/>
        <w:rPr>
          <w:rFonts w:ascii="宋体" w:hAnsi="宋体" w:cs="宋体"/>
          <w:szCs w:val="21"/>
        </w:rPr>
      </w:pPr>
      <w:r>
        <w:rPr>
          <w:rFonts w:ascii="宋体" w:hAnsi="宋体" w:cs="宋体" w:hint="eastAsia"/>
          <w:szCs w:val="21"/>
        </w:rPr>
        <w:t>联系电话：</w:t>
      </w:r>
    </w:p>
    <w:p w:rsidR="00473C68">
      <w:pPr>
        <w:spacing w:line="360" w:lineRule="auto"/>
        <w:ind w:firstLine="420" w:firstLineChars="200"/>
        <w:rPr>
          <w:rFonts w:ascii="宋体" w:hAnsi="宋体" w:cs="宋体"/>
          <w:szCs w:val="21"/>
        </w:rPr>
      </w:pPr>
      <w:r>
        <w:rPr>
          <w:rFonts w:ascii="宋体" w:hAnsi="宋体" w:cs="宋体" w:hint="eastAsia"/>
          <w:szCs w:val="21"/>
        </w:rPr>
        <w:t>地点：台州市椒江区中环世纪6幢801室（交通银行台州分行楼上）</w:t>
      </w:r>
    </w:p>
    <w:p w:rsidR="00473C68">
      <w:pPr>
        <w:spacing w:line="360" w:lineRule="auto"/>
        <w:ind w:firstLine="420" w:firstLineChars="200"/>
        <w:rPr>
          <w:rFonts w:ascii="宋体" w:hAnsi="宋体" w:cs="宋体"/>
          <w:b/>
          <w:bCs/>
          <w:szCs w:val="21"/>
        </w:rPr>
      </w:pPr>
      <w:r>
        <w:rPr>
          <w:rFonts w:ascii="宋体" w:hAnsi="宋体" w:cs="宋体" w:hint="eastAsia"/>
          <w:b/>
          <w:bCs/>
          <w:szCs w:val="21"/>
        </w:rPr>
        <w:t xml:space="preserve">2、采购人 </w:t>
      </w:r>
    </w:p>
    <w:p w:rsidR="00473C68">
      <w:pPr>
        <w:spacing w:line="360" w:lineRule="auto"/>
        <w:ind w:firstLine="420" w:firstLineChars="200"/>
        <w:rPr>
          <w:rFonts w:ascii="宋体" w:hAnsi="宋体" w:cs="宋体"/>
          <w:szCs w:val="21"/>
        </w:rPr>
      </w:pPr>
      <w:r>
        <w:rPr>
          <w:rFonts w:ascii="宋体" w:hAnsi="宋体" w:cs="宋体" w:hint="eastAsia"/>
          <w:szCs w:val="21"/>
        </w:rPr>
        <w:t>采购人名称：台州市路桥中学</w:t>
      </w:r>
    </w:p>
    <w:p w:rsidR="00473C68">
      <w:pPr>
        <w:spacing w:line="360" w:lineRule="auto"/>
        <w:ind w:firstLine="420" w:firstLineChars="200"/>
        <w:rPr>
          <w:rFonts w:ascii="宋体" w:hAnsi="宋体" w:cs="宋体"/>
          <w:szCs w:val="21"/>
        </w:rPr>
      </w:pPr>
      <w:r>
        <w:rPr>
          <w:rFonts w:ascii="宋体" w:hAnsi="宋体" w:cs="宋体" w:hint="eastAsia"/>
          <w:szCs w:val="21"/>
        </w:rPr>
        <w:t xml:space="preserve">联系人：曾老师     </w:t>
      </w:r>
    </w:p>
    <w:p w:rsidR="00473C68">
      <w:pPr>
        <w:spacing w:line="360" w:lineRule="auto"/>
        <w:ind w:firstLine="420" w:firstLineChars="200"/>
        <w:rPr>
          <w:rFonts w:ascii="宋体" w:hAnsi="宋体" w:cs="宋体"/>
          <w:szCs w:val="21"/>
        </w:rPr>
      </w:pPr>
      <w:r>
        <w:rPr>
          <w:rFonts w:ascii="宋体" w:hAnsi="宋体" w:cs="宋体" w:hint="eastAsia"/>
          <w:szCs w:val="21"/>
        </w:rPr>
        <w:t>联系电话：</w:t>
      </w:r>
    </w:p>
    <w:p w:rsidR="00473C68">
      <w:pPr>
        <w:spacing w:line="360" w:lineRule="auto"/>
        <w:ind w:firstLine="420" w:firstLineChars="200"/>
        <w:rPr>
          <w:rFonts w:ascii="宋体" w:hAnsi="宋体" w:cs="宋体"/>
          <w:szCs w:val="21"/>
        </w:rPr>
      </w:pPr>
      <w:r>
        <w:rPr>
          <w:rFonts w:ascii="宋体" w:hAnsi="宋体" w:cs="宋体" w:hint="eastAsia"/>
          <w:szCs w:val="21"/>
        </w:rPr>
        <w:t>采购人地址：</w:t>
      </w:r>
      <w:r>
        <w:rPr>
          <w:rFonts w:asciiTheme="minorEastAsia" w:eastAsiaTheme="minorEastAsia" w:hAnsiTheme="minorEastAsia" w:cstheme="minorEastAsia" w:hint="eastAsia"/>
          <w:szCs w:val="21"/>
        </w:rPr>
        <w:t>台州市路桥区银安街99号</w:t>
      </w:r>
    </w:p>
    <w:p w:rsidR="00473C68">
      <w:pPr>
        <w:spacing w:line="360" w:lineRule="auto"/>
        <w:ind w:firstLine="420" w:firstLineChars="200"/>
        <w:rPr>
          <w:rFonts w:ascii="宋体" w:hAnsi="宋体" w:cs="宋体"/>
          <w:szCs w:val="21"/>
        </w:rPr>
      </w:pPr>
      <w:r>
        <w:rPr>
          <w:rFonts w:ascii="宋体" w:hAnsi="宋体" w:cs="宋体" w:hint="eastAsia"/>
          <w:b/>
          <w:bCs/>
          <w:szCs w:val="21"/>
        </w:rPr>
        <w:t>3、同级政府采购监督管理部门</w:t>
      </w:r>
    </w:p>
    <w:p w:rsidR="00473C68">
      <w:pPr>
        <w:spacing w:line="360" w:lineRule="auto"/>
        <w:ind w:firstLine="420" w:firstLineChars="200"/>
        <w:rPr>
          <w:rFonts w:ascii="宋体" w:hAnsi="宋体" w:cs="宋体"/>
          <w:szCs w:val="21"/>
        </w:rPr>
      </w:pPr>
      <w:r>
        <w:rPr>
          <w:rFonts w:ascii="宋体" w:hAnsi="宋体" w:cs="宋体" w:hint="eastAsia"/>
          <w:szCs w:val="21"/>
        </w:rPr>
        <w:t>同级政府采购监督管理部门名称：台州市财政局政府采购监管处</w:t>
      </w:r>
    </w:p>
    <w:p w:rsidR="00473C68">
      <w:pPr>
        <w:spacing w:line="360" w:lineRule="auto"/>
        <w:ind w:firstLine="420" w:firstLineChars="200"/>
        <w:rPr>
          <w:rFonts w:ascii="宋体" w:hAnsi="宋体" w:cs="宋体"/>
          <w:szCs w:val="21"/>
        </w:rPr>
      </w:pPr>
      <w:r>
        <w:rPr>
          <w:rFonts w:ascii="宋体" w:hAnsi="宋体" w:cs="宋体" w:hint="eastAsia"/>
          <w:szCs w:val="21"/>
        </w:rPr>
        <w:t>联系人：陈老师，李老师</w:t>
      </w:r>
    </w:p>
    <w:p w:rsidR="00473C68">
      <w:pPr>
        <w:spacing w:line="360" w:lineRule="auto"/>
        <w:ind w:firstLine="420" w:firstLineChars="200"/>
        <w:rPr>
          <w:rFonts w:ascii="宋体" w:hAnsi="宋体" w:cs="宋体"/>
          <w:szCs w:val="21"/>
        </w:rPr>
      </w:pPr>
      <w:r>
        <w:rPr>
          <w:rFonts w:ascii="宋体" w:hAnsi="宋体" w:cs="宋体" w:hint="eastAsia"/>
          <w:szCs w:val="21"/>
        </w:rPr>
        <w:t>监督投诉电话：，</w:t>
      </w:r>
    </w:p>
    <w:p w:rsidR="00473C68">
      <w:pPr>
        <w:spacing w:line="360" w:lineRule="auto"/>
        <w:ind w:firstLine="420" w:firstLineChars="200"/>
        <w:rPr>
          <w:rFonts w:ascii="宋体" w:hAnsi="宋体" w:cs="宋体"/>
          <w:szCs w:val="21"/>
        </w:rPr>
        <w:sectPr>
          <w:headerReference w:type="default" r:id="rId20"/>
          <w:footerReference w:type="default" r:id="rId21"/>
          <w:type w:val="nextPage"/>
          <w:pgSz w:w="11906" w:h="16838"/>
          <w:pgMar w:top="1440" w:right="1440" w:bottom="1440" w:left="1803" w:header="851" w:footer="992" w:gutter="0"/>
          <w:pgNumType w:start="7"/>
          <w:cols w:space="0"/>
          <w:titlePg w:val="0"/>
          <w:docGrid w:type="lines" w:linePitch="325"/>
        </w:sectPr>
      </w:pPr>
      <w:r>
        <w:rPr>
          <w:rFonts w:ascii="宋体" w:hAnsi="宋体" w:cs="宋体" w:hint="eastAsia"/>
          <w:szCs w:val="21"/>
        </w:rPr>
        <w:t>地址：台州市椒江区纬一路66号</w:t>
      </w:r>
    </w:p>
    <w:p w:rsidR="00473C68">
      <w:pPr>
        <w:pStyle w:val="BodyTextFirstIndent"/>
        <w:spacing w:line="360" w:lineRule="auto"/>
        <w:ind w:firstLine="0" w:firstLineChars="0"/>
        <w:rPr>
          <w:rFonts w:ascii="宋体" w:hAnsi="宋体" w:cs="宋体"/>
          <w:b/>
          <w:bCs/>
          <w:szCs w:val="21"/>
        </w:rPr>
      </w:pPr>
      <w:r>
        <w:rPr>
          <w:rFonts w:ascii="宋体" w:hAnsi="宋体" w:cs="宋体" w:hint="eastAsia"/>
          <w:b/>
          <w:bCs/>
          <w:szCs w:val="21"/>
        </w:rPr>
        <w:t>4、银行（中标项目贷款咨询）</w:t>
      </w:r>
    </w:p>
    <w:p w:rsidR="00473C68">
      <w:pPr>
        <w:rPr>
          <w:rFonts w:ascii="宋体" w:hAnsi="宋体" w:cs="宋体"/>
          <w:sz w:val="32"/>
          <w:szCs w:val="32"/>
        </w:rPr>
      </w:pPr>
      <w:r>
        <w:rPr>
          <w:rFonts w:ascii="宋体" w:hAnsi="宋体" w:cs="宋体" w:hint="eastAsia"/>
          <w:szCs w:val="21"/>
        </w:rPr>
        <w:t>（1）合同履约保函联系方式</w:t>
      </w:r>
    </w:p>
    <w:tbl>
      <w:tblPr>
        <w:tblStyle w:val="TableGrid0"/>
        <w:tblW w:w="8575"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387"/>
        <w:gridCol w:w="2288"/>
        <w:gridCol w:w="1276"/>
        <w:gridCol w:w="1624"/>
      </w:tblGrid>
      <w:tr>
        <w:tblPrEx>
          <w:tblW w:w="8575"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47"/>
        </w:trPr>
        <w:tc>
          <w:tcPr>
            <w:tcW w:w="3387" w:type="dxa"/>
            <w:vAlign w:val="center"/>
          </w:tcPr>
          <w:p w:rsidR="00473C68">
            <w:pPr>
              <w:jc w:val="center"/>
              <w:rPr>
                <w:rFonts w:ascii="宋体" w:hAnsi="宋体" w:cs="宋体"/>
                <w:b/>
                <w:bCs/>
                <w:szCs w:val="21"/>
              </w:rPr>
            </w:pPr>
            <w:r>
              <w:rPr>
                <w:rFonts w:ascii="宋体" w:hAnsi="宋体" w:cs="宋体" w:hint="eastAsia"/>
                <w:b/>
                <w:bCs/>
                <w:szCs w:val="21"/>
              </w:rPr>
              <w:t>保险公司名称</w:t>
            </w:r>
          </w:p>
        </w:tc>
        <w:tc>
          <w:tcPr>
            <w:tcW w:w="2288" w:type="dxa"/>
            <w:vAlign w:val="center"/>
          </w:tcPr>
          <w:p w:rsidR="00473C68">
            <w:pPr>
              <w:jc w:val="center"/>
              <w:rPr>
                <w:rFonts w:ascii="宋体" w:hAnsi="宋体" w:cs="宋体"/>
                <w:b/>
                <w:bCs/>
                <w:szCs w:val="21"/>
              </w:rPr>
            </w:pPr>
            <w:r>
              <w:rPr>
                <w:rFonts w:ascii="宋体" w:hAnsi="宋体" w:cs="宋体" w:hint="eastAsia"/>
                <w:b/>
                <w:bCs/>
                <w:szCs w:val="21"/>
              </w:rPr>
              <w:t>保费率</w:t>
            </w:r>
          </w:p>
        </w:tc>
        <w:tc>
          <w:tcPr>
            <w:tcW w:w="1276" w:type="dxa"/>
            <w:vAlign w:val="center"/>
          </w:tcPr>
          <w:p w:rsidR="00473C68">
            <w:pPr>
              <w:jc w:val="center"/>
              <w:rPr>
                <w:rFonts w:ascii="宋体" w:hAnsi="宋体" w:cs="宋体"/>
                <w:b/>
                <w:bCs/>
                <w:szCs w:val="21"/>
              </w:rPr>
            </w:pPr>
            <w:r>
              <w:rPr>
                <w:rFonts w:ascii="宋体" w:hAnsi="宋体" w:cs="宋体" w:hint="eastAsia"/>
                <w:b/>
                <w:bCs/>
                <w:szCs w:val="21"/>
              </w:rPr>
              <w:t>联系人</w:t>
            </w:r>
          </w:p>
        </w:tc>
        <w:tc>
          <w:tcPr>
            <w:tcW w:w="1624" w:type="dxa"/>
            <w:vAlign w:val="center"/>
          </w:tcPr>
          <w:p w:rsidR="00473C68">
            <w:pPr>
              <w:jc w:val="center"/>
              <w:rPr>
                <w:rFonts w:ascii="宋体" w:hAnsi="宋体" w:cs="宋体"/>
                <w:b/>
                <w:bCs/>
                <w:szCs w:val="21"/>
              </w:rPr>
            </w:pPr>
            <w:r>
              <w:rPr>
                <w:rFonts w:ascii="宋体" w:hAnsi="宋体" w:cs="宋体" w:hint="eastAsia"/>
                <w:b/>
                <w:bCs/>
                <w:szCs w:val="21"/>
              </w:rPr>
              <w:t>联系电话</w:t>
            </w:r>
          </w:p>
        </w:tc>
      </w:tr>
      <w:tr>
        <w:tblPrEx>
          <w:tblW w:w="8575" w:type="dxa"/>
          <w:tblInd w:w="144" w:type="dxa"/>
          <w:tblLayout w:type="fixed"/>
          <w:tblLook w:val="04A0"/>
        </w:tblPrEx>
        <w:tc>
          <w:tcPr>
            <w:tcW w:w="3387" w:type="dxa"/>
            <w:vAlign w:val="center"/>
          </w:tcPr>
          <w:p w:rsidR="00473C68">
            <w:pPr>
              <w:jc w:val="left"/>
              <w:rPr>
                <w:rFonts w:ascii="宋体" w:hAnsi="宋体" w:cs="宋体"/>
                <w:szCs w:val="21"/>
              </w:rPr>
            </w:pPr>
            <w:r>
              <w:rPr>
                <w:rFonts w:ascii="宋体" w:hAnsi="宋体" w:cs="宋体" w:hint="eastAsia"/>
                <w:szCs w:val="21"/>
              </w:rPr>
              <w:t>中国人寿财产保险股份有限公司台州中心支公司</w:t>
            </w:r>
          </w:p>
        </w:tc>
        <w:tc>
          <w:tcPr>
            <w:tcW w:w="2288" w:type="dxa"/>
            <w:vAlign w:val="center"/>
          </w:tcPr>
          <w:p w:rsidR="00473C68">
            <w:pPr>
              <w:jc w:val="left"/>
              <w:rPr>
                <w:rFonts w:ascii="宋体" w:hAnsi="宋体" w:cs="宋体"/>
                <w:szCs w:val="21"/>
              </w:rPr>
            </w:pPr>
            <w:r>
              <w:rPr>
                <w:rFonts w:ascii="宋体" w:hAnsi="宋体" w:cs="宋体" w:hint="eastAsia"/>
                <w:szCs w:val="21"/>
              </w:rPr>
              <w:t>年费率1%，最低保费500元</w:t>
            </w:r>
          </w:p>
        </w:tc>
        <w:tc>
          <w:tcPr>
            <w:tcW w:w="1276" w:type="dxa"/>
            <w:vAlign w:val="center"/>
          </w:tcPr>
          <w:p w:rsidR="00473C68">
            <w:pPr>
              <w:jc w:val="center"/>
              <w:rPr>
                <w:rFonts w:ascii="宋体" w:hAnsi="宋体" w:cs="宋体"/>
                <w:szCs w:val="21"/>
              </w:rPr>
            </w:pPr>
            <w:r>
              <w:rPr>
                <w:rFonts w:ascii="宋体" w:hAnsi="宋体" w:cs="宋体" w:hint="eastAsia"/>
                <w:szCs w:val="21"/>
              </w:rPr>
              <w:t>徐凌</w:t>
            </w:r>
          </w:p>
        </w:tc>
        <w:tc>
          <w:tcPr>
            <w:tcW w:w="1624" w:type="dxa"/>
            <w:vAlign w:val="center"/>
          </w:tcPr>
          <w:p w:rsidR="00473C68">
            <w:pPr>
              <w:jc w:val="center"/>
              <w:rPr>
                <w:rFonts w:ascii="宋体" w:hAnsi="宋体" w:cs="宋体"/>
                <w:szCs w:val="21"/>
              </w:rPr>
            </w:pPr>
          </w:p>
        </w:tc>
      </w:tr>
      <w:tr>
        <w:tblPrEx>
          <w:tblW w:w="8575" w:type="dxa"/>
          <w:tblInd w:w="144" w:type="dxa"/>
          <w:tblLayout w:type="fixed"/>
          <w:tblLook w:val="04A0"/>
        </w:tblPrEx>
        <w:tc>
          <w:tcPr>
            <w:tcW w:w="3387" w:type="dxa"/>
            <w:vAlign w:val="center"/>
          </w:tcPr>
          <w:p w:rsidR="00473C68">
            <w:pPr>
              <w:jc w:val="left"/>
              <w:rPr>
                <w:rFonts w:ascii="宋体" w:hAnsi="宋体" w:cs="宋体"/>
                <w:szCs w:val="21"/>
              </w:rPr>
            </w:pPr>
            <w:r>
              <w:rPr>
                <w:rFonts w:ascii="宋体" w:hAnsi="宋体" w:cs="宋体" w:hint="eastAsia"/>
                <w:szCs w:val="21"/>
              </w:rPr>
              <w:t>永诚财产保险股份有限公司台州分公司</w:t>
            </w:r>
          </w:p>
        </w:tc>
        <w:tc>
          <w:tcPr>
            <w:tcW w:w="2288" w:type="dxa"/>
            <w:vAlign w:val="center"/>
          </w:tcPr>
          <w:p w:rsidR="00473C68">
            <w:pPr>
              <w:jc w:val="left"/>
              <w:rPr>
                <w:rFonts w:ascii="宋体" w:hAnsi="宋体" w:cs="宋体"/>
                <w:szCs w:val="21"/>
              </w:rPr>
            </w:pPr>
            <w:r>
              <w:rPr>
                <w:rFonts w:ascii="宋体" w:hAnsi="宋体" w:cs="宋体" w:hint="eastAsia"/>
                <w:szCs w:val="21"/>
              </w:rPr>
              <w:t>年费率1%，最低保费1000元</w:t>
            </w:r>
          </w:p>
        </w:tc>
        <w:tc>
          <w:tcPr>
            <w:tcW w:w="1276" w:type="dxa"/>
            <w:vAlign w:val="center"/>
          </w:tcPr>
          <w:p w:rsidR="00473C68">
            <w:pPr>
              <w:jc w:val="center"/>
              <w:rPr>
                <w:rFonts w:ascii="宋体" w:hAnsi="宋体" w:cs="宋体"/>
                <w:szCs w:val="21"/>
              </w:rPr>
            </w:pPr>
            <w:r>
              <w:rPr>
                <w:rFonts w:ascii="宋体" w:hAnsi="宋体" w:cs="宋体" w:hint="eastAsia"/>
                <w:szCs w:val="21"/>
              </w:rPr>
              <w:t>尹刚强</w:t>
            </w:r>
          </w:p>
        </w:tc>
        <w:tc>
          <w:tcPr>
            <w:tcW w:w="1624" w:type="dxa"/>
            <w:vAlign w:val="center"/>
          </w:tcPr>
          <w:p w:rsidR="00473C68">
            <w:pPr>
              <w:jc w:val="center"/>
              <w:rPr>
                <w:rFonts w:ascii="宋体" w:hAnsi="宋体" w:cs="宋体"/>
                <w:szCs w:val="21"/>
              </w:rPr>
            </w:pPr>
          </w:p>
        </w:tc>
      </w:tr>
      <w:tr>
        <w:tblPrEx>
          <w:tblW w:w="8575" w:type="dxa"/>
          <w:tblInd w:w="144" w:type="dxa"/>
          <w:tblLayout w:type="fixed"/>
          <w:tblLook w:val="04A0"/>
        </w:tblPrEx>
        <w:tc>
          <w:tcPr>
            <w:tcW w:w="3387" w:type="dxa"/>
            <w:vAlign w:val="center"/>
          </w:tcPr>
          <w:p w:rsidR="00473C68">
            <w:pPr>
              <w:jc w:val="left"/>
              <w:rPr>
                <w:rFonts w:ascii="宋体" w:hAnsi="宋体" w:cs="宋体"/>
                <w:szCs w:val="21"/>
              </w:rPr>
            </w:pPr>
            <w:r>
              <w:rPr>
                <w:rFonts w:ascii="宋体" w:hAnsi="宋体" w:cs="宋体" w:hint="eastAsia"/>
                <w:szCs w:val="21"/>
              </w:rPr>
              <w:t>华泰财产保险有限公司台州中心支公司</w:t>
            </w:r>
          </w:p>
        </w:tc>
        <w:tc>
          <w:tcPr>
            <w:tcW w:w="2288" w:type="dxa"/>
            <w:vAlign w:val="center"/>
          </w:tcPr>
          <w:p w:rsidR="00473C68">
            <w:pPr>
              <w:jc w:val="left"/>
              <w:rPr>
                <w:rFonts w:ascii="宋体" w:hAnsi="宋体" w:cs="宋体"/>
                <w:szCs w:val="21"/>
              </w:rPr>
            </w:pPr>
            <w:r>
              <w:rPr>
                <w:rFonts w:ascii="宋体" w:hAnsi="宋体" w:cs="宋体" w:hint="eastAsia"/>
                <w:szCs w:val="21"/>
              </w:rPr>
              <w:t>年费率0.5%，最低保费1000元</w:t>
            </w:r>
          </w:p>
        </w:tc>
        <w:tc>
          <w:tcPr>
            <w:tcW w:w="1276" w:type="dxa"/>
            <w:vAlign w:val="center"/>
          </w:tcPr>
          <w:p w:rsidR="00473C68">
            <w:pPr>
              <w:jc w:val="center"/>
              <w:rPr>
                <w:rFonts w:ascii="宋体" w:hAnsi="宋体" w:cs="宋体"/>
                <w:szCs w:val="21"/>
              </w:rPr>
            </w:pPr>
            <w:r>
              <w:rPr>
                <w:rFonts w:ascii="宋体" w:hAnsi="宋体" w:cs="宋体" w:hint="eastAsia"/>
                <w:szCs w:val="21"/>
              </w:rPr>
              <w:t>王灵芳</w:t>
            </w:r>
          </w:p>
        </w:tc>
        <w:tc>
          <w:tcPr>
            <w:tcW w:w="1624" w:type="dxa"/>
            <w:vAlign w:val="center"/>
          </w:tcPr>
          <w:p w:rsidR="00473C68">
            <w:pPr>
              <w:jc w:val="center"/>
              <w:rPr>
                <w:rFonts w:ascii="宋体" w:hAnsi="宋体" w:cs="宋体"/>
                <w:szCs w:val="21"/>
              </w:rPr>
            </w:pPr>
            <w:r>
              <w:rPr>
                <w:rFonts w:ascii="宋体" w:hAnsi="宋体" w:cs="宋体" w:hint="eastAsia"/>
                <w:szCs w:val="21"/>
              </w:rPr>
              <w:t xml:space="preserve">88869818 </w:t>
            </w:r>
          </w:p>
        </w:tc>
      </w:tr>
      <w:tr>
        <w:tblPrEx>
          <w:tblW w:w="8575" w:type="dxa"/>
          <w:tblInd w:w="144" w:type="dxa"/>
          <w:tblLayout w:type="fixed"/>
          <w:tblLook w:val="04A0"/>
        </w:tblPrEx>
        <w:tc>
          <w:tcPr>
            <w:tcW w:w="3387" w:type="dxa"/>
            <w:vAlign w:val="center"/>
          </w:tcPr>
          <w:p w:rsidR="00473C68">
            <w:pPr>
              <w:jc w:val="left"/>
              <w:rPr>
                <w:rFonts w:ascii="宋体" w:hAnsi="宋体" w:cs="宋体"/>
                <w:szCs w:val="21"/>
              </w:rPr>
            </w:pPr>
            <w:r>
              <w:rPr>
                <w:rFonts w:ascii="宋体" w:hAnsi="宋体" w:cs="宋体" w:hint="eastAsia"/>
                <w:szCs w:val="21"/>
              </w:rPr>
              <w:t>中国大地财产保险股份有限公司台州中心支公司</w:t>
            </w:r>
          </w:p>
        </w:tc>
        <w:tc>
          <w:tcPr>
            <w:tcW w:w="2288" w:type="dxa"/>
            <w:vAlign w:val="center"/>
          </w:tcPr>
          <w:p w:rsidR="00473C68">
            <w:pPr>
              <w:jc w:val="left"/>
              <w:rPr>
                <w:rFonts w:ascii="宋体" w:hAnsi="宋体" w:cs="宋体"/>
                <w:szCs w:val="21"/>
              </w:rPr>
            </w:pPr>
            <w:r>
              <w:rPr>
                <w:rFonts w:ascii="宋体" w:hAnsi="宋体" w:cs="宋体" w:hint="eastAsia"/>
                <w:szCs w:val="21"/>
              </w:rPr>
              <w:t>年费率1.5%，最低保费1000元</w:t>
            </w:r>
          </w:p>
        </w:tc>
        <w:tc>
          <w:tcPr>
            <w:tcW w:w="1276" w:type="dxa"/>
            <w:vAlign w:val="center"/>
          </w:tcPr>
          <w:p w:rsidR="00473C68">
            <w:pPr>
              <w:jc w:val="center"/>
              <w:rPr>
                <w:rFonts w:ascii="宋体" w:hAnsi="宋体" w:cs="宋体"/>
                <w:szCs w:val="21"/>
              </w:rPr>
            </w:pPr>
            <w:r>
              <w:rPr>
                <w:rFonts w:ascii="宋体" w:hAnsi="宋体" w:cs="宋体" w:hint="eastAsia"/>
                <w:szCs w:val="21"/>
              </w:rPr>
              <w:t>徐小明</w:t>
            </w:r>
          </w:p>
        </w:tc>
        <w:tc>
          <w:tcPr>
            <w:tcW w:w="1624" w:type="dxa"/>
            <w:vAlign w:val="center"/>
          </w:tcPr>
          <w:p w:rsidR="00473C68">
            <w:pPr>
              <w:jc w:val="center"/>
              <w:rPr>
                <w:rFonts w:ascii="宋体" w:hAnsi="宋体" w:cs="宋体"/>
                <w:szCs w:val="21"/>
              </w:rPr>
            </w:pPr>
            <w:r>
              <w:rPr>
                <w:rFonts w:ascii="宋体" w:hAnsi="宋体" w:cs="宋体" w:hint="eastAsia"/>
                <w:szCs w:val="21"/>
              </w:rPr>
              <w:t xml:space="preserve">88552788      </w:t>
            </w:r>
          </w:p>
        </w:tc>
      </w:tr>
      <w:tr>
        <w:tblPrEx>
          <w:tblW w:w="8575" w:type="dxa"/>
          <w:tblInd w:w="144" w:type="dxa"/>
          <w:tblLayout w:type="fixed"/>
          <w:tblLook w:val="04A0"/>
        </w:tblPrEx>
        <w:tc>
          <w:tcPr>
            <w:tcW w:w="3387" w:type="dxa"/>
            <w:vAlign w:val="center"/>
          </w:tcPr>
          <w:p w:rsidR="00473C68">
            <w:pPr>
              <w:jc w:val="left"/>
              <w:rPr>
                <w:rFonts w:ascii="宋体" w:hAnsi="宋体" w:cs="宋体"/>
                <w:szCs w:val="21"/>
              </w:rPr>
            </w:pPr>
            <w:r>
              <w:rPr>
                <w:rFonts w:ascii="宋体" w:hAnsi="宋体" w:cs="宋体" w:hint="eastAsia"/>
                <w:szCs w:val="21"/>
              </w:rPr>
              <w:t>阳光保险台州中心支公司</w:t>
            </w:r>
          </w:p>
        </w:tc>
        <w:tc>
          <w:tcPr>
            <w:tcW w:w="2288" w:type="dxa"/>
            <w:vAlign w:val="center"/>
          </w:tcPr>
          <w:p w:rsidR="00473C68">
            <w:pPr>
              <w:jc w:val="left"/>
              <w:rPr>
                <w:rFonts w:ascii="宋体" w:hAnsi="宋体" w:cs="宋体"/>
                <w:szCs w:val="21"/>
              </w:rPr>
            </w:pPr>
            <w:r>
              <w:rPr>
                <w:rFonts w:ascii="宋体" w:hAnsi="宋体" w:cs="宋体" w:hint="eastAsia"/>
                <w:szCs w:val="21"/>
              </w:rPr>
              <w:t>年费率1%，最低保费500元</w:t>
            </w:r>
          </w:p>
        </w:tc>
        <w:tc>
          <w:tcPr>
            <w:tcW w:w="1276" w:type="dxa"/>
            <w:vAlign w:val="center"/>
          </w:tcPr>
          <w:p w:rsidR="00473C68">
            <w:pPr>
              <w:jc w:val="center"/>
              <w:rPr>
                <w:rFonts w:ascii="宋体" w:hAnsi="宋体" w:cs="宋体"/>
                <w:szCs w:val="21"/>
              </w:rPr>
            </w:pPr>
            <w:r>
              <w:rPr>
                <w:rFonts w:ascii="宋体" w:hAnsi="宋体" w:cs="宋体" w:hint="eastAsia"/>
                <w:szCs w:val="21"/>
              </w:rPr>
              <w:t>林高明</w:t>
            </w:r>
          </w:p>
        </w:tc>
        <w:tc>
          <w:tcPr>
            <w:tcW w:w="1624" w:type="dxa"/>
            <w:vAlign w:val="center"/>
          </w:tcPr>
          <w:p w:rsidR="00473C68">
            <w:pPr>
              <w:jc w:val="center"/>
              <w:rPr>
                <w:rFonts w:ascii="宋体" w:hAnsi="宋体" w:cs="宋体"/>
                <w:szCs w:val="21"/>
              </w:rPr>
            </w:pPr>
          </w:p>
        </w:tc>
      </w:tr>
      <w:tr>
        <w:tblPrEx>
          <w:tblW w:w="8575" w:type="dxa"/>
          <w:tblInd w:w="144" w:type="dxa"/>
          <w:tblLayout w:type="fixed"/>
          <w:tblLook w:val="04A0"/>
        </w:tblPrEx>
        <w:tc>
          <w:tcPr>
            <w:tcW w:w="3387" w:type="dxa"/>
            <w:vAlign w:val="center"/>
          </w:tcPr>
          <w:p w:rsidR="00473C68">
            <w:pPr>
              <w:jc w:val="left"/>
              <w:rPr>
                <w:rFonts w:ascii="宋体" w:hAnsi="宋体" w:cs="宋体"/>
                <w:szCs w:val="21"/>
              </w:rPr>
            </w:pPr>
            <w:r>
              <w:rPr>
                <w:rFonts w:ascii="宋体" w:hAnsi="宋体" w:cs="宋体" w:hint="eastAsia"/>
                <w:szCs w:val="21"/>
              </w:rPr>
              <w:t>中华联合财产保险股份有限公司台州中心支公司</w:t>
            </w:r>
          </w:p>
        </w:tc>
        <w:tc>
          <w:tcPr>
            <w:tcW w:w="2288" w:type="dxa"/>
            <w:vAlign w:val="center"/>
          </w:tcPr>
          <w:p w:rsidR="00473C68">
            <w:pPr>
              <w:jc w:val="left"/>
              <w:rPr>
                <w:rFonts w:ascii="宋体" w:hAnsi="宋体" w:cs="宋体"/>
                <w:szCs w:val="21"/>
              </w:rPr>
            </w:pPr>
            <w:r>
              <w:rPr>
                <w:rFonts w:ascii="宋体" w:hAnsi="宋体" w:cs="宋体" w:hint="eastAsia"/>
                <w:szCs w:val="21"/>
              </w:rPr>
              <w:t>年费率2%，最低保费500元</w:t>
            </w:r>
          </w:p>
        </w:tc>
        <w:tc>
          <w:tcPr>
            <w:tcW w:w="1276" w:type="dxa"/>
            <w:vAlign w:val="center"/>
          </w:tcPr>
          <w:p w:rsidR="00473C68">
            <w:pPr>
              <w:jc w:val="center"/>
              <w:rPr>
                <w:rFonts w:ascii="宋体" w:hAnsi="宋体" w:cs="宋体"/>
                <w:szCs w:val="21"/>
              </w:rPr>
            </w:pPr>
            <w:r>
              <w:rPr>
                <w:rFonts w:ascii="宋体" w:hAnsi="宋体" w:cs="宋体" w:hint="eastAsia"/>
                <w:szCs w:val="21"/>
              </w:rPr>
              <w:t>王仙高</w:t>
            </w:r>
          </w:p>
        </w:tc>
        <w:tc>
          <w:tcPr>
            <w:tcW w:w="1624" w:type="dxa"/>
            <w:vAlign w:val="center"/>
          </w:tcPr>
          <w:p w:rsidR="00473C68">
            <w:pPr>
              <w:jc w:val="center"/>
              <w:rPr>
                <w:rFonts w:ascii="宋体" w:hAnsi="宋体" w:cs="宋体"/>
                <w:szCs w:val="21"/>
              </w:rPr>
            </w:pPr>
          </w:p>
        </w:tc>
      </w:tr>
      <w:tr>
        <w:tblPrEx>
          <w:tblW w:w="8575" w:type="dxa"/>
          <w:tblInd w:w="144" w:type="dxa"/>
          <w:tblLayout w:type="fixed"/>
          <w:tblLook w:val="04A0"/>
        </w:tblPrEx>
        <w:tc>
          <w:tcPr>
            <w:tcW w:w="3387" w:type="dxa"/>
            <w:vAlign w:val="center"/>
          </w:tcPr>
          <w:p w:rsidR="00473C68">
            <w:pPr>
              <w:jc w:val="left"/>
              <w:rPr>
                <w:rFonts w:ascii="宋体" w:hAnsi="宋体" w:cs="宋体"/>
                <w:szCs w:val="21"/>
              </w:rPr>
            </w:pPr>
            <w:r>
              <w:rPr>
                <w:rFonts w:ascii="宋体" w:hAnsi="宋体" w:cs="宋体" w:hint="eastAsia"/>
                <w:szCs w:val="21"/>
              </w:rPr>
              <w:t>中国人民财产保险股份有限公司台州中心支公司</w:t>
            </w:r>
          </w:p>
        </w:tc>
        <w:tc>
          <w:tcPr>
            <w:tcW w:w="2288" w:type="dxa"/>
            <w:vAlign w:val="center"/>
          </w:tcPr>
          <w:p w:rsidR="00473C68">
            <w:pPr>
              <w:jc w:val="left"/>
              <w:rPr>
                <w:rFonts w:ascii="宋体" w:hAnsi="宋体" w:cs="宋体"/>
                <w:szCs w:val="21"/>
              </w:rPr>
            </w:pPr>
            <w:r>
              <w:rPr>
                <w:rFonts w:ascii="宋体" w:hAnsi="宋体" w:cs="宋体" w:hint="eastAsia"/>
                <w:szCs w:val="21"/>
              </w:rPr>
              <w:t>年费率0.3%，最低保费1000元</w:t>
            </w:r>
          </w:p>
        </w:tc>
        <w:tc>
          <w:tcPr>
            <w:tcW w:w="1276" w:type="dxa"/>
            <w:vAlign w:val="center"/>
          </w:tcPr>
          <w:p w:rsidR="00473C68">
            <w:pPr>
              <w:jc w:val="center"/>
              <w:rPr>
                <w:rFonts w:ascii="宋体" w:hAnsi="宋体" w:cs="宋体"/>
                <w:szCs w:val="21"/>
              </w:rPr>
            </w:pPr>
            <w:r>
              <w:rPr>
                <w:rFonts w:ascii="宋体" w:hAnsi="宋体" w:cs="宋体" w:hint="eastAsia"/>
                <w:szCs w:val="21"/>
              </w:rPr>
              <w:t>王仙春</w:t>
            </w:r>
          </w:p>
        </w:tc>
        <w:tc>
          <w:tcPr>
            <w:tcW w:w="1624" w:type="dxa"/>
            <w:vAlign w:val="center"/>
          </w:tcPr>
          <w:p w:rsidR="00473C68">
            <w:pPr>
              <w:jc w:val="center"/>
              <w:rPr>
                <w:rFonts w:ascii="宋体" w:hAnsi="宋体" w:cs="宋体"/>
                <w:szCs w:val="21"/>
              </w:rPr>
            </w:pPr>
          </w:p>
        </w:tc>
      </w:tr>
      <w:tr>
        <w:tblPrEx>
          <w:tblW w:w="8575" w:type="dxa"/>
          <w:tblInd w:w="144" w:type="dxa"/>
          <w:tblLayout w:type="fixed"/>
          <w:tblLook w:val="04A0"/>
        </w:tblPrEx>
        <w:tc>
          <w:tcPr>
            <w:tcW w:w="3387" w:type="dxa"/>
            <w:vAlign w:val="center"/>
          </w:tcPr>
          <w:p w:rsidR="00473C68">
            <w:pPr>
              <w:jc w:val="left"/>
              <w:rPr>
                <w:rFonts w:ascii="宋体" w:hAnsi="宋体" w:cs="宋体"/>
                <w:szCs w:val="21"/>
              </w:rPr>
            </w:pPr>
            <w:r>
              <w:rPr>
                <w:rFonts w:ascii="宋体" w:hAnsi="宋体" w:cs="宋体" w:hint="eastAsia"/>
                <w:szCs w:val="21"/>
              </w:rPr>
              <w:t>永安财产保险股份有限公司台州中心支公司</w:t>
            </w:r>
          </w:p>
        </w:tc>
        <w:tc>
          <w:tcPr>
            <w:tcW w:w="2288" w:type="dxa"/>
            <w:vAlign w:val="center"/>
          </w:tcPr>
          <w:p w:rsidR="00473C68">
            <w:pPr>
              <w:jc w:val="left"/>
              <w:rPr>
                <w:rFonts w:ascii="宋体" w:hAnsi="宋体" w:cs="宋体"/>
                <w:szCs w:val="21"/>
              </w:rPr>
            </w:pPr>
            <w:r>
              <w:rPr>
                <w:rFonts w:ascii="宋体" w:hAnsi="宋体" w:cs="宋体" w:hint="eastAsia"/>
                <w:szCs w:val="21"/>
              </w:rPr>
              <w:t>年费率0.3%，最低保费1000元</w:t>
            </w:r>
          </w:p>
        </w:tc>
        <w:tc>
          <w:tcPr>
            <w:tcW w:w="1276" w:type="dxa"/>
            <w:vAlign w:val="center"/>
          </w:tcPr>
          <w:p w:rsidR="00473C68">
            <w:pPr>
              <w:jc w:val="center"/>
              <w:rPr>
                <w:rFonts w:ascii="宋体" w:hAnsi="宋体" w:cs="宋体"/>
                <w:szCs w:val="21"/>
              </w:rPr>
            </w:pPr>
            <w:r>
              <w:rPr>
                <w:rFonts w:ascii="宋体" w:hAnsi="宋体" w:cs="宋体" w:hint="eastAsia"/>
                <w:szCs w:val="21"/>
              </w:rPr>
              <w:t>王春宇</w:t>
            </w:r>
          </w:p>
        </w:tc>
        <w:tc>
          <w:tcPr>
            <w:tcW w:w="1624" w:type="dxa"/>
            <w:vAlign w:val="center"/>
          </w:tcPr>
          <w:p w:rsidR="00473C68">
            <w:pPr>
              <w:jc w:val="center"/>
              <w:rPr>
                <w:rFonts w:ascii="宋体" w:hAnsi="宋体" w:cs="宋体"/>
                <w:szCs w:val="21"/>
              </w:rPr>
            </w:pPr>
          </w:p>
        </w:tc>
      </w:tr>
    </w:tbl>
    <w:p w:rsidR="00473C68">
      <w:pPr>
        <w:rPr>
          <w:rFonts w:ascii="宋体" w:hAnsi="宋体" w:cs="宋体"/>
          <w:b/>
          <w:bCs/>
          <w:szCs w:val="21"/>
        </w:rPr>
      </w:pPr>
    </w:p>
    <w:p w:rsidR="00473C68">
      <w:pPr>
        <w:rPr>
          <w:rFonts w:ascii="宋体" w:hAnsi="宋体" w:cs="宋体"/>
          <w:szCs w:val="21"/>
        </w:rPr>
      </w:pPr>
      <w:r>
        <w:rPr>
          <w:rFonts w:ascii="宋体" w:hAnsi="宋体" w:cs="宋体" w:hint="eastAsia"/>
          <w:szCs w:val="21"/>
        </w:rPr>
        <w:t>（2）预付款保函联系方式</w:t>
      </w:r>
    </w:p>
    <w:tbl>
      <w:tblPr>
        <w:tblStyle w:val="TableGrid0"/>
        <w:tblW w:w="8562"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87"/>
        <w:gridCol w:w="2288"/>
        <w:gridCol w:w="1287"/>
        <w:gridCol w:w="1600"/>
      </w:tblGrid>
      <w:tr>
        <w:tblPrEx>
          <w:tblW w:w="8562" w:type="dxa"/>
          <w:tblInd w:w="1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458"/>
        </w:trPr>
        <w:tc>
          <w:tcPr>
            <w:tcW w:w="3387" w:type="dxa"/>
            <w:vAlign w:val="center"/>
          </w:tcPr>
          <w:p w:rsidR="00473C68">
            <w:pPr>
              <w:jc w:val="center"/>
              <w:rPr>
                <w:rFonts w:ascii="宋体" w:hAnsi="宋体" w:cs="宋体"/>
                <w:b/>
                <w:bCs/>
                <w:szCs w:val="21"/>
              </w:rPr>
            </w:pPr>
            <w:r>
              <w:rPr>
                <w:rFonts w:ascii="宋体" w:hAnsi="宋体" w:cs="宋体" w:hint="eastAsia"/>
                <w:b/>
                <w:bCs/>
                <w:szCs w:val="21"/>
              </w:rPr>
              <w:t>保险公司名称</w:t>
            </w:r>
          </w:p>
        </w:tc>
        <w:tc>
          <w:tcPr>
            <w:tcW w:w="2288" w:type="dxa"/>
            <w:vAlign w:val="center"/>
          </w:tcPr>
          <w:p w:rsidR="00473C68">
            <w:pPr>
              <w:jc w:val="center"/>
              <w:rPr>
                <w:rFonts w:ascii="宋体" w:hAnsi="宋体" w:cs="宋体"/>
                <w:b/>
                <w:bCs/>
                <w:szCs w:val="21"/>
              </w:rPr>
            </w:pPr>
            <w:r>
              <w:rPr>
                <w:rFonts w:ascii="宋体" w:hAnsi="宋体" w:cs="宋体" w:hint="eastAsia"/>
                <w:b/>
                <w:bCs/>
                <w:szCs w:val="21"/>
              </w:rPr>
              <w:t>保费率</w:t>
            </w:r>
          </w:p>
        </w:tc>
        <w:tc>
          <w:tcPr>
            <w:tcW w:w="1287" w:type="dxa"/>
            <w:vAlign w:val="center"/>
          </w:tcPr>
          <w:p w:rsidR="00473C68">
            <w:pPr>
              <w:jc w:val="center"/>
              <w:rPr>
                <w:rFonts w:ascii="宋体" w:hAnsi="宋体" w:cs="宋体"/>
                <w:b/>
                <w:bCs/>
                <w:szCs w:val="21"/>
              </w:rPr>
            </w:pPr>
            <w:r>
              <w:rPr>
                <w:rFonts w:ascii="宋体" w:hAnsi="宋体" w:cs="宋体" w:hint="eastAsia"/>
                <w:b/>
                <w:bCs/>
                <w:szCs w:val="21"/>
              </w:rPr>
              <w:t>联系人</w:t>
            </w:r>
          </w:p>
        </w:tc>
        <w:tc>
          <w:tcPr>
            <w:tcW w:w="1600" w:type="dxa"/>
            <w:vAlign w:val="center"/>
          </w:tcPr>
          <w:p w:rsidR="00473C68">
            <w:pPr>
              <w:jc w:val="center"/>
              <w:rPr>
                <w:rFonts w:ascii="宋体" w:hAnsi="宋体" w:cs="宋体"/>
                <w:b/>
                <w:bCs/>
                <w:szCs w:val="21"/>
              </w:rPr>
            </w:pPr>
            <w:r>
              <w:rPr>
                <w:rFonts w:ascii="宋体" w:hAnsi="宋体" w:cs="宋体" w:hint="eastAsia"/>
                <w:b/>
                <w:bCs/>
                <w:szCs w:val="21"/>
              </w:rPr>
              <w:t>联系电话</w:t>
            </w:r>
          </w:p>
        </w:tc>
      </w:tr>
      <w:tr>
        <w:tblPrEx>
          <w:tblW w:w="8562" w:type="dxa"/>
          <w:tblInd w:w="144" w:type="dxa"/>
          <w:tblLook w:val="04A0"/>
        </w:tblPrEx>
        <w:tc>
          <w:tcPr>
            <w:tcW w:w="3387" w:type="dxa"/>
            <w:vAlign w:val="center"/>
          </w:tcPr>
          <w:p w:rsidR="00473C68">
            <w:pPr>
              <w:jc w:val="left"/>
              <w:rPr>
                <w:rFonts w:ascii="宋体" w:hAnsi="宋体" w:cs="宋体"/>
                <w:szCs w:val="21"/>
              </w:rPr>
            </w:pPr>
            <w:r>
              <w:rPr>
                <w:rFonts w:ascii="宋体" w:hAnsi="宋体" w:cs="宋体" w:hint="eastAsia"/>
                <w:szCs w:val="21"/>
              </w:rPr>
              <w:t>中国人寿财产保险股份有限公司台州中心支公司</w:t>
            </w:r>
          </w:p>
        </w:tc>
        <w:tc>
          <w:tcPr>
            <w:tcW w:w="2288" w:type="dxa"/>
          </w:tcPr>
          <w:p w:rsidR="00473C68">
            <w:pPr>
              <w:jc w:val="left"/>
              <w:rPr>
                <w:rFonts w:ascii="宋体" w:hAnsi="宋体" w:cs="宋体"/>
                <w:szCs w:val="21"/>
              </w:rPr>
            </w:pPr>
            <w:r>
              <w:rPr>
                <w:rFonts w:ascii="宋体" w:hAnsi="宋体" w:cs="宋体" w:hint="eastAsia"/>
                <w:szCs w:val="21"/>
              </w:rPr>
              <w:t>年费率3%，最低保费500元</w:t>
            </w:r>
          </w:p>
        </w:tc>
        <w:tc>
          <w:tcPr>
            <w:tcW w:w="1287" w:type="dxa"/>
            <w:vAlign w:val="center"/>
          </w:tcPr>
          <w:p w:rsidR="00473C68">
            <w:pPr>
              <w:jc w:val="center"/>
              <w:rPr>
                <w:rFonts w:ascii="宋体" w:hAnsi="宋体" w:cs="宋体"/>
                <w:szCs w:val="21"/>
              </w:rPr>
            </w:pPr>
            <w:r>
              <w:rPr>
                <w:rFonts w:ascii="宋体" w:hAnsi="宋体" w:cs="宋体" w:hint="eastAsia"/>
                <w:szCs w:val="21"/>
              </w:rPr>
              <w:t>徐凌</w:t>
            </w:r>
          </w:p>
        </w:tc>
        <w:tc>
          <w:tcPr>
            <w:tcW w:w="1600" w:type="dxa"/>
            <w:vAlign w:val="center"/>
          </w:tcPr>
          <w:p w:rsidR="00473C68">
            <w:pPr>
              <w:jc w:val="center"/>
              <w:rPr>
                <w:rFonts w:ascii="宋体" w:hAnsi="宋体" w:cs="宋体"/>
                <w:szCs w:val="21"/>
              </w:rPr>
            </w:pPr>
          </w:p>
        </w:tc>
      </w:tr>
      <w:tr>
        <w:tblPrEx>
          <w:tblW w:w="8562" w:type="dxa"/>
          <w:tblInd w:w="144" w:type="dxa"/>
          <w:tblLook w:val="04A0"/>
        </w:tblPrEx>
        <w:tc>
          <w:tcPr>
            <w:tcW w:w="3387" w:type="dxa"/>
            <w:vAlign w:val="center"/>
          </w:tcPr>
          <w:p w:rsidR="00473C68">
            <w:pPr>
              <w:jc w:val="left"/>
              <w:rPr>
                <w:rFonts w:ascii="宋体" w:hAnsi="宋体" w:cs="宋体"/>
                <w:szCs w:val="21"/>
              </w:rPr>
            </w:pPr>
            <w:r>
              <w:rPr>
                <w:rFonts w:ascii="宋体" w:hAnsi="宋体" w:cs="宋体" w:hint="eastAsia"/>
                <w:szCs w:val="21"/>
              </w:rPr>
              <w:t>阳光保险台州中心支公司</w:t>
            </w:r>
          </w:p>
        </w:tc>
        <w:tc>
          <w:tcPr>
            <w:tcW w:w="2288" w:type="dxa"/>
          </w:tcPr>
          <w:p w:rsidR="00473C68">
            <w:pPr>
              <w:jc w:val="left"/>
              <w:rPr>
                <w:rFonts w:ascii="宋体" w:hAnsi="宋体" w:cs="宋体"/>
                <w:szCs w:val="21"/>
              </w:rPr>
            </w:pPr>
            <w:r>
              <w:rPr>
                <w:rFonts w:ascii="宋体" w:hAnsi="宋体" w:cs="宋体" w:hint="eastAsia"/>
                <w:szCs w:val="21"/>
              </w:rPr>
              <w:t>年费率1%，最低保费500元</w:t>
            </w:r>
          </w:p>
        </w:tc>
        <w:tc>
          <w:tcPr>
            <w:tcW w:w="1287" w:type="dxa"/>
            <w:vAlign w:val="center"/>
          </w:tcPr>
          <w:p w:rsidR="00473C68">
            <w:pPr>
              <w:jc w:val="center"/>
              <w:rPr>
                <w:rFonts w:ascii="宋体" w:hAnsi="宋体" w:cs="宋体"/>
                <w:szCs w:val="21"/>
              </w:rPr>
            </w:pPr>
            <w:r>
              <w:rPr>
                <w:rFonts w:ascii="宋体" w:hAnsi="宋体" w:cs="宋体" w:hint="eastAsia"/>
                <w:szCs w:val="21"/>
              </w:rPr>
              <w:t>林高明</w:t>
            </w:r>
          </w:p>
        </w:tc>
        <w:tc>
          <w:tcPr>
            <w:tcW w:w="1600" w:type="dxa"/>
            <w:vAlign w:val="center"/>
          </w:tcPr>
          <w:p w:rsidR="00473C68">
            <w:pPr>
              <w:jc w:val="center"/>
              <w:rPr>
                <w:rFonts w:ascii="宋体" w:hAnsi="宋体" w:cs="宋体"/>
                <w:szCs w:val="21"/>
              </w:rPr>
            </w:pPr>
          </w:p>
        </w:tc>
      </w:tr>
      <w:tr>
        <w:tblPrEx>
          <w:tblW w:w="8562" w:type="dxa"/>
          <w:tblInd w:w="144" w:type="dxa"/>
          <w:tblLook w:val="04A0"/>
        </w:tblPrEx>
        <w:tc>
          <w:tcPr>
            <w:tcW w:w="3387" w:type="dxa"/>
            <w:vAlign w:val="center"/>
          </w:tcPr>
          <w:p w:rsidR="00473C68">
            <w:pPr>
              <w:jc w:val="left"/>
              <w:rPr>
                <w:rFonts w:ascii="宋体" w:hAnsi="宋体" w:cs="宋体"/>
                <w:szCs w:val="21"/>
              </w:rPr>
            </w:pPr>
            <w:r>
              <w:rPr>
                <w:rFonts w:ascii="宋体" w:hAnsi="宋体" w:cs="宋体" w:hint="eastAsia"/>
                <w:szCs w:val="21"/>
              </w:rPr>
              <w:t>天安财产保险股份有限公司台州中心支公司</w:t>
            </w:r>
          </w:p>
        </w:tc>
        <w:tc>
          <w:tcPr>
            <w:tcW w:w="2288" w:type="dxa"/>
          </w:tcPr>
          <w:p w:rsidR="00473C68">
            <w:pPr>
              <w:jc w:val="left"/>
              <w:rPr>
                <w:rFonts w:ascii="宋体" w:hAnsi="宋体" w:cs="宋体"/>
                <w:szCs w:val="21"/>
              </w:rPr>
            </w:pPr>
            <w:r>
              <w:rPr>
                <w:rFonts w:ascii="宋体" w:hAnsi="宋体" w:cs="宋体" w:hint="eastAsia"/>
                <w:szCs w:val="21"/>
              </w:rPr>
              <w:t>年费率1%-2%，最低保费500元</w:t>
            </w:r>
          </w:p>
        </w:tc>
        <w:tc>
          <w:tcPr>
            <w:tcW w:w="1287" w:type="dxa"/>
            <w:vAlign w:val="center"/>
          </w:tcPr>
          <w:p w:rsidR="00473C68">
            <w:pPr>
              <w:jc w:val="center"/>
              <w:rPr>
                <w:rFonts w:ascii="宋体" w:hAnsi="宋体" w:cs="宋体"/>
                <w:szCs w:val="21"/>
              </w:rPr>
            </w:pPr>
            <w:r>
              <w:rPr>
                <w:rFonts w:ascii="宋体" w:hAnsi="宋体" w:cs="宋体" w:hint="eastAsia"/>
                <w:szCs w:val="21"/>
              </w:rPr>
              <w:t>罗赛</w:t>
            </w:r>
          </w:p>
        </w:tc>
        <w:tc>
          <w:tcPr>
            <w:tcW w:w="1600" w:type="dxa"/>
            <w:vAlign w:val="center"/>
          </w:tcPr>
          <w:p w:rsidR="00473C68">
            <w:pPr>
              <w:jc w:val="center"/>
              <w:rPr>
                <w:rFonts w:ascii="宋体" w:hAnsi="宋体" w:cs="宋体"/>
                <w:szCs w:val="21"/>
              </w:rPr>
            </w:pPr>
          </w:p>
        </w:tc>
      </w:tr>
    </w:tbl>
    <w:p w:rsidR="00473C68">
      <w:pPr>
        <w:spacing w:line="360" w:lineRule="auto"/>
        <w:rPr>
          <w:rFonts w:ascii="宋体" w:hAnsi="宋体" w:cs="宋体"/>
          <w:szCs w:val="21"/>
          <w:highlight w:val="yellow"/>
        </w:rPr>
      </w:pPr>
      <w:r>
        <w:rPr>
          <w:rFonts w:ascii="宋体" w:hAnsi="宋体" w:cs="宋体" w:hint="eastAsia"/>
          <w:szCs w:val="21"/>
        </w:rPr>
        <w:t>（3）中标供应商如有融资需求，可使用以下银行的政采贷服务。</w:t>
      </w:r>
    </w:p>
    <w:tbl>
      <w:tblPr>
        <w:tblStyle w:val="TableGrid0"/>
        <w:tblW w:w="0" w:type="auto"/>
        <w:tblLook w:val="04A0"/>
      </w:tblPr>
      <w:tblGrid>
        <w:gridCol w:w="3369"/>
        <w:gridCol w:w="1334"/>
        <w:gridCol w:w="1688"/>
        <w:gridCol w:w="2131"/>
      </w:tblGrid>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银行</w:t>
            </w:r>
          </w:p>
        </w:tc>
        <w:tc>
          <w:tcPr>
            <w:tcW w:w="1334" w:type="dxa"/>
            <w:vAlign w:val="center"/>
          </w:tcPr>
          <w:p w:rsidR="00473C68">
            <w:pPr>
              <w:jc w:val="center"/>
              <w:rPr>
                <w:rFonts w:ascii="宋体" w:hAnsi="宋体" w:cs="宋体"/>
                <w:szCs w:val="21"/>
              </w:rPr>
            </w:pPr>
            <w:r>
              <w:rPr>
                <w:rFonts w:ascii="宋体" w:hAnsi="宋体" w:cs="宋体" w:hint="eastAsia"/>
                <w:szCs w:val="21"/>
              </w:rPr>
              <w:t>贷款年利率</w:t>
            </w:r>
          </w:p>
        </w:tc>
        <w:tc>
          <w:tcPr>
            <w:tcW w:w="1688" w:type="dxa"/>
            <w:vAlign w:val="center"/>
          </w:tcPr>
          <w:p w:rsidR="00473C68">
            <w:pPr>
              <w:jc w:val="center"/>
              <w:rPr>
                <w:rFonts w:ascii="宋体" w:hAnsi="宋体" w:cs="宋体"/>
                <w:szCs w:val="21"/>
              </w:rPr>
            </w:pPr>
            <w:r>
              <w:rPr>
                <w:rFonts w:ascii="宋体" w:hAnsi="宋体" w:cs="宋体" w:hint="eastAsia"/>
                <w:szCs w:val="21"/>
              </w:rPr>
              <w:t>联系人</w:t>
            </w:r>
          </w:p>
        </w:tc>
        <w:tc>
          <w:tcPr>
            <w:tcW w:w="2131" w:type="dxa"/>
            <w:vAlign w:val="center"/>
          </w:tcPr>
          <w:p w:rsidR="00473C68">
            <w:pPr>
              <w:jc w:val="center"/>
              <w:rPr>
                <w:rFonts w:ascii="宋体" w:hAnsi="宋体" w:cs="宋体"/>
                <w:szCs w:val="21"/>
              </w:rPr>
            </w:pPr>
            <w:r>
              <w:rPr>
                <w:rFonts w:ascii="宋体" w:hAnsi="宋体" w:cs="宋体" w:hint="eastAsia"/>
                <w:szCs w:val="21"/>
              </w:rPr>
              <w:t>联系电话</w:t>
            </w: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中国工商银行</w:t>
            </w:r>
          </w:p>
        </w:tc>
        <w:tc>
          <w:tcPr>
            <w:tcW w:w="1334" w:type="dxa"/>
            <w:vAlign w:val="center"/>
          </w:tcPr>
          <w:p w:rsidR="00473C68">
            <w:pPr>
              <w:jc w:val="center"/>
              <w:rPr>
                <w:rFonts w:ascii="宋体" w:hAnsi="宋体" w:cs="宋体"/>
                <w:szCs w:val="21"/>
              </w:rPr>
            </w:pPr>
            <w:r>
              <w:rPr>
                <w:rFonts w:ascii="宋体" w:hAnsi="宋体" w:cs="宋体" w:hint="eastAsia"/>
                <w:szCs w:val="21"/>
              </w:rPr>
              <w:t>3.8%起</w:t>
            </w:r>
          </w:p>
        </w:tc>
        <w:tc>
          <w:tcPr>
            <w:tcW w:w="1688" w:type="dxa"/>
            <w:vAlign w:val="center"/>
          </w:tcPr>
          <w:p w:rsidR="00473C68">
            <w:pPr>
              <w:jc w:val="center"/>
              <w:rPr>
                <w:rFonts w:ascii="宋体" w:hAnsi="宋体" w:cs="宋体"/>
                <w:szCs w:val="21"/>
              </w:rPr>
            </w:pPr>
            <w:r>
              <w:rPr>
                <w:rFonts w:ascii="宋体" w:hAnsi="宋体" w:cs="宋体" w:hint="eastAsia"/>
                <w:szCs w:val="21"/>
              </w:rPr>
              <w:t>卢嘉诚</w:t>
            </w:r>
          </w:p>
        </w:tc>
        <w:tc>
          <w:tcPr>
            <w:tcW w:w="2131" w:type="dxa"/>
            <w:vAlign w:val="center"/>
          </w:tcPr>
          <w:p w:rsidR="00473C68">
            <w:pPr>
              <w:jc w:val="center"/>
              <w:rPr>
                <w:rFonts w:ascii="宋体" w:hAnsi="宋体" w:cs="宋体"/>
                <w:szCs w:val="21"/>
              </w:rPr>
            </w:pPr>
            <w:r>
              <w:rPr>
                <w:rFonts w:ascii="宋体" w:hAnsi="宋体" w:cs="宋体" w:hint="eastAsia"/>
                <w:szCs w:val="21"/>
              </w:rPr>
              <w:t xml:space="preserve">88588246  </w:t>
            </w: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中国农业银行</w:t>
            </w:r>
          </w:p>
        </w:tc>
        <w:tc>
          <w:tcPr>
            <w:tcW w:w="1334" w:type="dxa"/>
            <w:vAlign w:val="center"/>
          </w:tcPr>
          <w:p w:rsidR="00473C68">
            <w:pPr>
              <w:jc w:val="center"/>
              <w:rPr>
                <w:rFonts w:ascii="宋体" w:hAnsi="宋体" w:cs="宋体"/>
                <w:szCs w:val="21"/>
              </w:rPr>
            </w:pPr>
            <w:r>
              <w:rPr>
                <w:rFonts w:ascii="宋体" w:hAnsi="宋体" w:cs="宋体" w:hint="eastAsia"/>
                <w:szCs w:val="21"/>
              </w:rPr>
              <w:t>3.8%起</w:t>
            </w:r>
          </w:p>
        </w:tc>
        <w:tc>
          <w:tcPr>
            <w:tcW w:w="1688" w:type="dxa"/>
            <w:vAlign w:val="center"/>
          </w:tcPr>
          <w:p w:rsidR="00473C68">
            <w:pPr>
              <w:jc w:val="center"/>
              <w:rPr>
                <w:rFonts w:ascii="宋体" w:hAnsi="宋体" w:cs="宋体"/>
                <w:szCs w:val="21"/>
              </w:rPr>
            </w:pPr>
            <w:r>
              <w:rPr>
                <w:rFonts w:ascii="宋体" w:hAnsi="宋体" w:cs="宋体" w:hint="eastAsia"/>
                <w:szCs w:val="21"/>
              </w:rPr>
              <w:t>龚盛</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中国建设银行</w:t>
            </w:r>
          </w:p>
        </w:tc>
        <w:tc>
          <w:tcPr>
            <w:tcW w:w="1334" w:type="dxa"/>
            <w:vAlign w:val="center"/>
          </w:tcPr>
          <w:p w:rsidR="00473C68">
            <w:pPr>
              <w:jc w:val="center"/>
              <w:rPr>
                <w:rFonts w:ascii="宋体" w:hAnsi="宋体" w:cs="宋体"/>
                <w:szCs w:val="21"/>
              </w:rPr>
            </w:pPr>
            <w:r>
              <w:rPr>
                <w:rFonts w:ascii="宋体" w:hAnsi="宋体" w:cs="宋体" w:hint="eastAsia"/>
                <w:szCs w:val="21"/>
              </w:rPr>
              <w:t>3.8%起</w:t>
            </w:r>
          </w:p>
        </w:tc>
        <w:tc>
          <w:tcPr>
            <w:tcW w:w="1688" w:type="dxa"/>
            <w:vAlign w:val="center"/>
          </w:tcPr>
          <w:p w:rsidR="00473C68">
            <w:pPr>
              <w:jc w:val="center"/>
              <w:rPr>
                <w:rFonts w:ascii="宋体" w:hAnsi="宋体" w:cs="宋体"/>
                <w:szCs w:val="21"/>
              </w:rPr>
            </w:pPr>
            <w:r>
              <w:rPr>
                <w:rFonts w:ascii="宋体" w:hAnsi="宋体" w:cs="宋体" w:hint="eastAsia"/>
                <w:szCs w:val="21"/>
              </w:rPr>
              <w:t>梅晶晶</w:t>
            </w:r>
          </w:p>
        </w:tc>
        <w:tc>
          <w:tcPr>
            <w:tcW w:w="2131" w:type="dxa"/>
            <w:vAlign w:val="center"/>
          </w:tcPr>
          <w:p w:rsidR="00473C68">
            <w:pPr>
              <w:jc w:val="center"/>
              <w:rPr>
                <w:rFonts w:ascii="宋体" w:hAnsi="宋体" w:cs="宋体"/>
                <w:szCs w:val="21"/>
              </w:rPr>
            </w:pPr>
            <w:r>
              <w:rPr>
                <w:rFonts w:ascii="宋体" w:hAnsi="宋体" w:cs="宋体" w:hint="eastAsia"/>
                <w:szCs w:val="21"/>
              </w:rPr>
              <w:t>88525339</w:t>
            </w:r>
          </w:p>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中国银行</w:t>
            </w:r>
          </w:p>
        </w:tc>
        <w:tc>
          <w:tcPr>
            <w:tcW w:w="1334" w:type="dxa"/>
            <w:vAlign w:val="center"/>
          </w:tcPr>
          <w:p w:rsidR="00473C68">
            <w:pPr>
              <w:jc w:val="center"/>
              <w:rPr>
                <w:rFonts w:ascii="宋体" w:hAnsi="宋体" w:cs="宋体"/>
                <w:szCs w:val="21"/>
              </w:rPr>
            </w:pPr>
            <w:r>
              <w:rPr>
                <w:rFonts w:ascii="宋体" w:hAnsi="宋体" w:cs="宋体" w:hint="eastAsia"/>
                <w:szCs w:val="21"/>
              </w:rPr>
              <w:t>3.75%起</w:t>
            </w:r>
          </w:p>
        </w:tc>
        <w:tc>
          <w:tcPr>
            <w:tcW w:w="1688" w:type="dxa"/>
            <w:vAlign w:val="center"/>
          </w:tcPr>
          <w:p w:rsidR="00473C68">
            <w:pPr>
              <w:jc w:val="center"/>
              <w:rPr>
                <w:rFonts w:ascii="宋体" w:hAnsi="宋体" w:cs="宋体"/>
                <w:szCs w:val="21"/>
              </w:rPr>
            </w:pPr>
            <w:r>
              <w:rPr>
                <w:rFonts w:ascii="宋体" w:hAnsi="宋体" w:cs="宋体" w:hint="eastAsia"/>
                <w:szCs w:val="21"/>
              </w:rPr>
              <w:t>王海</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浦发银行台州分行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4.05%起</w:t>
            </w:r>
          </w:p>
        </w:tc>
        <w:tc>
          <w:tcPr>
            <w:tcW w:w="1688" w:type="dxa"/>
            <w:vAlign w:val="center"/>
          </w:tcPr>
          <w:p w:rsidR="00473C68">
            <w:pPr>
              <w:jc w:val="center"/>
              <w:rPr>
                <w:rFonts w:ascii="宋体" w:hAnsi="宋体" w:cs="宋体"/>
                <w:szCs w:val="21"/>
              </w:rPr>
            </w:pPr>
            <w:r>
              <w:rPr>
                <w:rFonts w:ascii="宋体" w:hAnsi="宋体" w:cs="宋体" w:hint="eastAsia"/>
                <w:szCs w:val="21"/>
              </w:rPr>
              <w:t>王渊</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浦发银行椒江分行</w:t>
            </w:r>
          </w:p>
        </w:tc>
        <w:tc>
          <w:tcPr>
            <w:tcW w:w="1334" w:type="dxa"/>
            <w:vAlign w:val="center"/>
          </w:tcPr>
          <w:p w:rsidR="00473C68">
            <w:pPr>
              <w:jc w:val="center"/>
              <w:rPr>
                <w:rFonts w:ascii="宋体" w:hAnsi="宋体" w:cs="宋体"/>
                <w:szCs w:val="21"/>
              </w:rPr>
            </w:pPr>
            <w:r>
              <w:rPr>
                <w:rFonts w:ascii="宋体" w:hAnsi="宋体" w:cs="宋体" w:hint="eastAsia"/>
                <w:szCs w:val="21"/>
              </w:rPr>
              <w:t>4.05%起</w:t>
            </w:r>
          </w:p>
        </w:tc>
        <w:tc>
          <w:tcPr>
            <w:tcW w:w="1688" w:type="dxa"/>
            <w:vAlign w:val="center"/>
          </w:tcPr>
          <w:p w:rsidR="00473C68">
            <w:pPr>
              <w:jc w:val="center"/>
              <w:rPr>
                <w:rFonts w:ascii="宋体" w:hAnsi="宋体" w:cs="宋体"/>
                <w:szCs w:val="21"/>
              </w:rPr>
            </w:pPr>
            <w:r>
              <w:rPr>
                <w:rFonts w:ascii="宋体" w:hAnsi="宋体" w:cs="宋体" w:hint="eastAsia"/>
                <w:szCs w:val="21"/>
              </w:rPr>
              <w:t>孙瑞华</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交通银行台州分行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3.75%起</w:t>
            </w:r>
          </w:p>
        </w:tc>
        <w:tc>
          <w:tcPr>
            <w:tcW w:w="1688" w:type="dxa"/>
            <w:vAlign w:val="center"/>
          </w:tcPr>
          <w:p w:rsidR="00473C68">
            <w:pPr>
              <w:jc w:val="center"/>
              <w:rPr>
                <w:rFonts w:ascii="宋体" w:hAnsi="宋体" w:cs="宋体"/>
                <w:szCs w:val="21"/>
              </w:rPr>
            </w:pPr>
            <w:r>
              <w:rPr>
                <w:rFonts w:ascii="宋体" w:hAnsi="宋体" w:cs="宋体" w:hint="eastAsia"/>
                <w:szCs w:val="21"/>
              </w:rPr>
              <w:t>周翔宇</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招商银行台州分行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4.32%起</w:t>
            </w:r>
          </w:p>
        </w:tc>
        <w:tc>
          <w:tcPr>
            <w:tcW w:w="1688" w:type="dxa"/>
            <w:vAlign w:val="center"/>
          </w:tcPr>
          <w:p w:rsidR="00473C68">
            <w:pPr>
              <w:jc w:val="center"/>
              <w:rPr>
                <w:rFonts w:ascii="宋体" w:hAnsi="宋体" w:cs="宋体"/>
                <w:szCs w:val="21"/>
              </w:rPr>
            </w:pPr>
            <w:r>
              <w:rPr>
                <w:rFonts w:ascii="宋体" w:hAnsi="宋体" w:cs="宋体" w:hint="eastAsia"/>
                <w:szCs w:val="21"/>
              </w:rPr>
              <w:t>王海玲</w:t>
            </w:r>
          </w:p>
        </w:tc>
        <w:tc>
          <w:tcPr>
            <w:tcW w:w="2131" w:type="dxa"/>
            <w:vAlign w:val="center"/>
          </w:tcPr>
          <w:p w:rsidR="00473C68">
            <w:pPr>
              <w:jc w:val="center"/>
              <w:rPr>
                <w:rFonts w:ascii="宋体" w:hAnsi="宋体" w:cs="宋体"/>
                <w:szCs w:val="21"/>
              </w:rPr>
            </w:pPr>
          </w:p>
        </w:tc>
      </w:tr>
    </w:tbl>
    <w:p>
      <w:pPr>
        <w:sectPr>
          <w:headerReference w:type="default" r:id="rId22"/>
          <w:footerReference w:type="default" r:id="rId23"/>
          <w:type w:val="nextPage"/>
          <w:pgSz w:w="11906" w:h="16838"/>
          <w:pgMar w:top="1440" w:right="1440" w:bottom="1440" w:left="1803" w:header="851" w:footer="992" w:gutter="0"/>
          <w:pgNumType w:start="8"/>
          <w:cols w:space="0"/>
          <w:titlePg w:val="0"/>
          <w:docGrid w:type="lines" w:linePitch="325"/>
        </w:sectPr>
      </w:pPr>
    </w:p>
    <w:tbl>
      <w:tblPr>
        <w:tblStyle w:val="TableGrid1"/>
        <w:tblW w:w="0" w:type="auto"/>
        <w:tblLook w:val="04A0"/>
      </w:tblPr>
      <w:tblGrid>
        <w:gridCol w:w="3369"/>
        <w:gridCol w:w="1334"/>
        <w:gridCol w:w="1688"/>
        <w:gridCol w:w="2131"/>
      </w:tblGrid>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浙商银行台州分行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5.01%起</w:t>
            </w:r>
          </w:p>
        </w:tc>
        <w:tc>
          <w:tcPr>
            <w:tcW w:w="1688" w:type="dxa"/>
            <w:vAlign w:val="center"/>
          </w:tcPr>
          <w:p w:rsidR="00473C68">
            <w:pPr>
              <w:jc w:val="center"/>
              <w:rPr>
                <w:rFonts w:ascii="宋体" w:hAnsi="宋体" w:cs="宋体"/>
                <w:szCs w:val="21"/>
              </w:rPr>
            </w:pPr>
            <w:r>
              <w:rPr>
                <w:rFonts w:ascii="宋体" w:hAnsi="宋体" w:cs="宋体" w:hint="eastAsia"/>
                <w:szCs w:val="21"/>
              </w:rPr>
              <w:t>章涉漪</w:t>
            </w:r>
          </w:p>
        </w:tc>
        <w:tc>
          <w:tcPr>
            <w:tcW w:w="2131" w:type="dxa"/>
            <w:vAlign w:val="center"/>
          </w:tcPr>
          <w:p w:rsidR="00473C68">
            <w:pPr>
              <w:jc w:val="center"/>
              <w:rPr>
                <w:rFonts w:ascii="宋体" w:hAnsi="宋体" w:cs="宋体"/>
                <w:szCs w:val="21"/>
              </w:rPr>
            </w:pPr>
            <w:r>
              <w:rPr>
                <w:rFonts w:ascii="宋体" w:hAnsi="宋体" w:cs="宋体" w:hint="eastAsia"/>
                <w:szCs w:val="21"/>
              </w:rPr>
              <w:t>81880185</w:t>
            </w:r>
          </w:p>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中信银行台州分行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4.15%起</w:t>
            </w:r>
          </w:p>
        </w:tc>
        <w:tc>
          <w:tcPr>
            <w:tcW w:w="1688" w:type="dxa"/>
            <w:vAlign w:val="center"/>
          </w:tcPr>
          <w:p w:rsidR="00473C68">
            <w:pPr>
              <w:jc w:val="center"/>
              <w:rPr>
                <w:rFonts w:ascii="宋体" w:hAnsi="宋体" w:cs="宋体"/>
                <w:szCs w:val="21"/>
              </w:rPr>
            </w:pPr>
            <w:r>
              <w:rPr>
                <w:rFonts w:ascii="宋体" w:hAnsi="宋体" w:cs="宋体" w:hint="eastAsia"/>
                <w:szCs w:val="21"/>
              </w:rPr>
              <w:t>陈金园</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华夏银行台州分行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4.5%起</w:t>
            </w:r>
          </w:p>
        </w:tc>
        <w:tc>
          <w:tcPr>
            <w:tcW w:w="1688" w:type="dxa"/>
            <w:vAlign w:val="center"/>
          </w:tcPr>
          <w:p w:rsidR="00473C68">
            <w:pPr>
              <w:jc w:val="center"/>
              <w:rPr>
                <w:rFonts w:ascii="宋体" w:hAnsi="宋体" w:cs="宋体"/>
                <w:szCs w:val="21"/>
              </w:rPr>
            </w:pPr>
            <w:r>
              <w:rPr>
                <w:rFonts w:ascii="宋体" w:hAnsi="宋体" w:cs="宋体" w:hint="eastAsia"/>
                <w:szCs w:val="21"/>
              </w:rPr>
              <w:t>邱明达</w:t>
            </w:r>
          </w:p>
        </w:tc>
        <w:tc>
          <w:tcPr>
            <w:tcW w:w="2131" w:type="dxa"/>
            <w:vAlign w:val="center"/>
          </w:tcPr>
          <w:p w:rsidR="00473C68">
            <w:pPr>
              <w:jc w:val="center"/>
              <w:rPr>
                <w:rFonts w:ascii="宋体" w:hAnsi="宋体" w:cs="宋体"/>
                <w:szCs w:val="21"/>
              </w:rPr>
            </w:pPr>
            <w:r>
              <w:rPr>
                <w:rFonts w:ascii="宋体" w:hAnsi="宋体" w:cs="宋体" w:hint="eastAsia"/>
                <w:szCs w:val="21"/>
              </w:rPr>
              <w:t>81871518</w:t>
            </w:r>
          </w:p>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泰隆银行开发区支行</w:t>
            </w:r>
          </w:p>
        </w:tc>
        <w:tc>
          <w:tcPr>
            <w:tcW w:w="1334" w:type="dxa"/>
            <w:vAlign w:val="center"/>
          </w:tcPr>
          <w:p w:rsidR="00473C68">
            <w:pPr>
              <w:jc w:val="center"/>
              <w:rPr>
                <w:rFonts w:ascii="宋体" w:hAnsi="宋体" w:cs="宋体"/>
                <w:szCs w:val="21"/>
              </w:rPr>
            </w:pPr>
            <w:r>
              <w:rPr>
                <w:rFonts w:ascii="宋体" w:hAnsi="宋体" w:cs="宋体" w:hint="eastAsia"/>
                <w:szCs w:val="21"/>
              </w:rPr>
              <w:t>5.6%起</w:t>
            </w:r>
          </w:p>
        </w:tc>
        <w:tc>
          <w:tcPr>
            <w:tcW w:w="1688" w:type="dxa"/>
            <w:vAlign w:val="center"/>
          </w:tcPr>
          <w:p w:rsidR="00473C68">
            <w:pPr>
              <w:jc w:val="center"/>
              <w:rPr>
                <w:rFonts w:ascii="宋体" w:hAnsi="宋体" w:cs="宋体"/>
                <w:szCs w:val="21"/>
              </w:rPr>
            </w:pPr>
            <w:r>
              <w:rPr>
                <w:rFonts w:ascii="宋体" w:hAnsi="宋体" w:cs="宋体" w:hint="eastAsia"/>
                <w:szCs w:val="21"/>
              </w:rPr>
              <w:t>梁宛莉</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民泰银行椒江支行</w:t>
            </w:r>
          </w:p>
        </w:tc>
        <w:tc>
          <w:tcPr>
            <w:tcW w:w="1334" w:type="dxa"/>
            <w:vAlign w:val="center"/>
          </w:tcPr>
          <w:p w:rsidR="00473C68">
            <w:pPr>
              <w:jc w:val="center"/>
              <w:rPr>
                <w:rFonts w:ascii="宋体" w:hAnsi="宋体" w:cs="宋体"/>
                <w:szCs w:val="21"/>
              </w:rPr>
            </w:pPr>
            <w:r>
              <w:rPr>
                <w:rFonts w:ascii="宋体" w:hAnsi="宋体" w:cs="宋体" w:hint="eastAsia"/>
                <w:szCs w:val="21"/>
              </w:rPr>
              <w:t>5.8%起</w:t>
            </w:r>
          </w:p>
        </w:tc>
        <w:tc>
          <w:tcPr>
            <w:tcW w:w="1688" w:type="dxa"/>
            <w:vAlign w:val="center"/>
          </w:tcPr>
          <w:p w:rsidR="00473C68">
            <w:pPr>
              <w:jc w:val="center"/>
              <w:rPr>
                <w:rFonts w:ascii="宋体" w:hAnsi="宋体" w:cs="宋体"/>
                <w:szCs w:val="21"/>
              </w:rPr>
            </w:pPr>
            <w:r>
              <w:rPr>
                <w:rFonts w:ascii="宋体" w:hAnsi="宋体" w:cs="宋体" w:hint="eastAsia"/>
                <w:szCs w:val="21"/>
              </w:rPr>
              <w:t>陈慧珠</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绍兴银行台州分行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5.1%起</w:t>
            </w:r>
          </w:p>
        </w:tc>
        <w:tc>
          <w:tcPr>
            <w:tcW w:w="1688" w:type="dxa"/>
            <w:vAlign w:val="center"/>
          </w:tcPr>
          <w:p w:rsidR="00473C68">
            <w:pPr>
              <w:jc w:val="center"/>
              <w:rPr>
                <w:rFonts w:ascii="宋体" w:hAnsi="宋体" w:cs="宋体"/>
                <w:szCs w:val="21"/>
              </w:rPr>
            </w:pPr>
            <w:r>
              <w:rPr>
                <w:rFonts w:ascii="宋体" w:hAnsi="宋体" w:cs="宋体" w:hint="eastAsia"/>
                <w:szCs w:val="21"/>
              </w:rPr>
              <w:t>郭庭斌</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温州银行台州分行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4.55%起</w:t>
            </w:r>
          </w:p>
        </w:tc>
        <w:tc>
          <w:tcPr>
            <w:tcW w:w="1688" w:type="dxa"/>
            <w:vAlign w:val="center"/>
          </w:tcPr>
          <w:p w:rsidR="00473C68">
            <w:pPr>
              <w:jc w:val="center"/>
              <w:rPr>
                <w:rFonts w:ascii="宋体" w:hAnsi="宋体" w:cs="宋体"/>
                <w:szCs w:val="21"/>
              </w:rPr>
            </w:pPr>
            <w:r>
              <w:rPr>
                <w:rFonts w:ascii="宋体" w:hAnsi="宋体" w:cs="宋体" w:hint="eastAsia"/>
                <w:szCs w:val="21"/>
              </w:rPr>
              <w:t>王晓波</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平安银行台州分行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6.53%起</w:t>
            </w:r>
          </w:p>
        </w:tc>
        <w:tc>
          <w:tcPr>
            <w:tcW w:w="1688" w:type="dxa"/>
            <w:vAlign w:val="center"/>
          </w:tcPr>
          <w:p w:rsidR="00473C68">
            <w:pPr>
              <w:jc w:val="center"/>
              <w:rPr>
                <w:rFonts w:ascii="宋体" w:hAnsi="宋体" w:cs="宋体"/>
                <w:szCs w:val="21"/>
              </w:rPr>
            </w:pPr>
            <w:r>
              <w:rPr>
                <w:rFonts w:ascii="宋体" w:hAnsi="宋体" w:cs="宋体" w:hint="eastAsia"/>
                <w:szCs w:val="21"/>
              </w:rPr>
              <w:t>李俊丽</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宁波银行台州分行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4.35%起</w:t>
            </w:r>
          </w:p>
        </w:tc>
        <w:tc>
          <w:tcPr>
            <w:tcW w:w="1688" w:type="dxa"/>
            <w:vAlign w:val="center"/>
          </w:tcPr>
          <w:p w:rsidR="00473C68">
            <w:pPr>
              <w:jc w:val="center"/>
              <w:rPr>
                <w:rFonts w:ascii="宋体" w:hAnsi="宋体" w:cs="宋体"/>
                <w:szCs w:val="21"/>
              </w:rPr>
            </w:pPr>
            <w:r>
              <w:rPr>
                <w:rFonts w:ascii="宋体" w:hAnsi="宋体" w:cs="宋体" w:hint="eastAsia"/>
                <w:szCs w:val="21"/>
              </w:rPr>
              <w:t>戴莉丽</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金华银行台州分行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4.05%起</w:t>
            </w:r>
          </w:p>
        </w:tc>
        <w:tc>
          <w:tcPr>
            <w:tcW w:w="1688" w:type="dxa"/>
            <w:vAlign w:val="center"/>
          </w:tcPr>
          <w:p w:rsidR="00473C68">
            <w:pPr>
              <w:jc w:val="center"/>
              <w:rPr>
                <w:rFonts w:ascii="宋体" w:hAnsi="宋体" w:cs="宋体"/>
                <w:szCs w:val="21"/>
              </w:rPr>
            </w:pPr>
            <w:r>
              <w:rPr>
                <w:rFonts w:ascii="宋体" w:hAnsi="宋体" w:cs="宋体" w:hint="eastAsia"/>
                <w:szCs w:val="21"/>
              </w:rPr>
              <w:t>金雪婷</w:t>
            </w:r>
          </w:p>
        </w:tc>
        <w:tc>
          <w:tcPr>
            <w:tcW w:w="2131" w:type="dxa"/>
            <w:vAlign w:val="center"/>
          </w:tcPr>
          <w:p w:rsidR="00473C68">
            <w:pPr>
              <w:jc w:val="center"/>
              <w:rPr>
                <w:rFonts w:ascii="宋体" w:hAnsi="宋体" w:cs="宋体"/>
                <w:szCs w:val="21"/>
              </w:rPr>
            </w:pPr>
            <w:r>
              <w:rPr>
                <w:rFonts w:ascii="宋体" w:hAnsi="宋体" w:cs="宋体" w:hint="eastAsia"/>
                <w:szCs w:val="21"/>
              </w:rPr>
              <w:t>81886670</w:t>
            </w:r>
          </w:p>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台州银行</w:t>
            </w:r>
          </w:p>
        </w:tc>
        <w:tc>
          <w:tcPr>
            <w:tcW w:w="1334" w:type="dxa"/>
            <w:vAlign w:val="center"/>
          </w:tcPr>
          <w:p w:rsidR="00473C68">
            <w:pPr>
              <w:jc w:val="center"/>
              <w:rPr>
                <w:rFonts w:ascii="宋体" w:hAnsi="宋体" w:cs="宋体"/>
                <w:szCs w:val="21"/>
              </w:rPr>
            </w:pPr>
            <w:r>
              <w:rPr>
                <w:rFonts w:ascii="宋体" w:hAnsi="宋体" w:cs="宋体" w:hint="eastAsia"/>
                <w:szCs w:val="21"/>
              </w:rPr>
              <w:t>5.6%起</w:t>
            </w:r>
          </w:p>
        </w:tc>
        <w:tc>
          <w:tcPr>
            <w:tcW w:w="1688" w:type="dxa"/>
            <w:vAlign w:val="center"/>
          </w:tcPr>
          <w:p w:rsidR="00473C68">
            <w:pPr>
              <w:jc w:val="center"/>
              <w:rPr>
                <w:rFonts w:ascii="宋体" w:hAnsi="宋体" w:cs="宋体"/>
                <w:szCs w:val="21"/>
              </w:rPr>
            </w:pPr>
            <w:r>
              <w:rPr>
                <w:rFonts w:ascii="宋体" w:hAnsi="宋体" w:cs="宋体" w:hint="eastAsia"/>
                <w:szCs w:val="21"/>
              </w:rPr>
              <w:t>洪婷</w:t>
            </w:r>
          </w:p>
        </w:tc>
        <w:tc>
          <w:tcPr>
            <w:tcW w:w="2131" w:type="dxa"/>
            <w:vAlign w:val="center"/>
          </w:tcPr>
          <w:p w:rsidR="00473C68">
            <w:pPr>
              <w:jc w:val="center"/>
              <w:rPr>
                <w:rFonts w:ascii="宋体" w:hAnsi="宋体" w:cs="宋体"/>
                <w:szCs w:val="21"/>
              </w:rPr>
            </w:pPr>
          </w:p>
        </w:tc>
      </w:tr>
      <w:tr>
        <w:tblPrEx>
          <w:tblW w:w="0" w:type="auto"/>
          <w:tblLook w:val="04A0"/>
        </w:tblPrEx>
        <w:tc>
          <w:tcPr>
            <w:tcW w:w="3369" w:type="dxa"/>
            <w:vAlign w:val="center"/>
          </w:tcPr>
          <w:p w:rsidR="00473C68">
            <w:pPr>
              <w:jc w:val="center"/>
              <w:rPr>
                <w:rFonts w:ascii="宋体" w:hAnsi="宋体" w:cs="宋体"/>
                <w:szCs w:val="21"/>
              </w:rPr>
            </w:pPr>
            <w:r>
              <w:rPr>
                <w:rFonts w:ascii="宋体" w:hAnsi="宋体" w:cs="宋体" w:hint="eastAsia"/>
                <w:szCs w:val="21"/>
              </w:rPr>
              <w:t>邮储银行台州分行</w:t>
            </w:r>
          </w:p>
        </w:tc>
        <w:tc>
          <w:tcPr>
            <w:tcW w:w="1334" w:type="dxa"/>
            <w:vAlign w:val="center"/>
          </w:tcPr>
          <w:p w:rsidR="00473C68">
            <w:pPr>
              <w:jc w:val="center"/>
              <w:rPr>
                <w:rFonts w:ascii="宋体" w:hAnsi="宋体" w:cs="宋体"/>
                <w:szCs w:val="21"/>
              </w:rPr>
            </w:pPr>
            <w:r>
              <w:rPr>
                <w:rFonts w:ascii="宋体" w:hAnsi="宋体" w:cs="宋体" w:hint="eastAsia"/>
                <w:szCs w:val="21"/>
              </w:rPr>
              <w:t>3.85%起</w:t>
            </w:r>
          </w:p>
        </w:tc>
        <w:tc>
          <w:tcPr>
            <w:tcW w:w="1688" w:type="dxa"/>
            <w:vAlign w:val="center"/>
          </w:tcPr>
          <w:p w:rsidR="00473C68">
            <w:pPr>
              <w:jc w:val="center"/>
              <w:rPr>
                <w:rFonts w:ascii="宋体" w:hAnsi="宋体" w:cs="宋体"/>
                <w:szCs w:val="21"/>
              </w:rPr>
            </w:pPr>
            <w:r>
              <w:rPr>
                <w:rFonts w:ascii="宋体" w:hAnsi="宋体" w:cs="宋体" w:hint="eastAsia"/>
                <w:szCs w:val="21"/>
              </w:rPr>
              <w:t>董庆</w:t>
            </w:r>
          </w:p>
        </w:tc>
        <w:tc>
          <w:tcPr>
            <w:tcW w:w="2131" w:type="dxa"/>
            <w:vAlign w:val="center"/>
          </w:tcPr>
          <w:p w:rsidR="00473C68">
            <w:pPr>
              <w:jc w:val="center"/>
              <w:rPr>
                <w:rFonts w:ascii="宋体" w:hAnsi="宋体" w:cs="宋体"/>
                <w:szCs w:val="21"/>
              </w:rPr>
            </w:pPr>
            <w:r>
              <w:rPr>
                <w:rFonts w:ascii="宋体" w:hAnsi="宋体" w:cs="宋体" w:hint="eastAsia"/>
                <w:szCs w:val="21"/>
              </w:rPr>
              <w:t>81888982</w:t>
            </w:r>
          </w:p>
          <w:p w:rsidR="00473C68">
            <w:pPr>
              <w:jc w:val="center"/>
              <w:rPr>
                <w:rFonts w:ascii="宋体" w:hAnsi="宋体" w:cs="宋体"/>
                <w:szCs w:val="21"/>
              </w:rPr>
            </w:pPr>
          </w:p>
        </w:tc>
      </w:tr>
    </w:tbl>
    <w:p w:rsidR="00473C68">
      <w:pPr>
        <w:pStyle w:val="Normal0"/>
        <w:rPr>
          <w:rFonts w:cs="宋体"/>
        </w:rPr>
      </w:pPr>
    </w:p>
    <w:p w:rsidR="00473C68">
      <w:pPr>
        <w:spacing w:line="360" w:lineRule="auto"/>
        <w:rPr>
          <w:rFonts w:ascii="宋体" w:hAnsi="宋体" w:cs="宋体"/>
          <w:szCs w:val="21"/>
        </w:rPr>
      </w:pPr>
      <w:r>
        <w:rPr>
          <w:rFonts w:ascii="宋体" w:hAnsi="宋体" w:cs="宋体" w:hint="eastAsia"/>
          <w:b/>
          <w:szCs w:val="21"/>
        </w:rPr>
        <w:t>十一、采购（中标）公告发布媒体：</w:t>
      </w:r>
      <w:r>
        <w:rPr>
          <w:rFonts w:ascii="宋体" w:hAnsi="宋体" w:cs="宋体" w:hint="eastAsia"/>
          <w:szCs w:val="21"/>
        </w:rPr>
        <w:t>浙江政府采购网（</w:t>
      </w:r>
      <w:hyperlink r:id="rId24" w:history="1">
        <w:r w:rsidR="009D3099">
          <w:rPr>
            <w:rStyle w:val="Hyperlink"/>
            <w:rFonts w:ascii="宋体" w:hAnsi="宋体" w:cs="宋体" w:hint="eastAsia"/>
            <w:color w:val="auto"/>
            <w:szCs w:val="21"/>
          </w:rPr>
          <w:t>lkj:</w:t>
        </w:r>
        <w:r>
          <w:rPr>
            <w:rStyle w:val="Hyperlink"/>
            <w:rFonts w:ascii="宋体" w:hAnsi="宋体" w:cs="宋体" w:hint="eastAsia"/>
            <w:color w:val="auto"/>
            <w:szCs w:val="21"/>
          </w:rPr>
          <w:t>//zfcg.czt.zj.gov.cn</w:t>
        </w:r>
      </w:hyperlink>
      <w:r>
        <w:rPr>
          <w:rFonts w:ascii="宋体" w:hAnsi="宋体" w:cs="宋体" w:hint="eastAsia"/>
          <w:szCs w:val="21"/>
        </w:rPr>
        <w:t>）</w:t>
      </w:r>
    </w:p>
    <w:p w:rsidR="00473C68">
      <w:pPr>
        <w:spacing w:line="360" w:lineRule="auto"/>
        <w:ind w:right="-252" w:firstLine="420" w:rightChars="-120" w:firstLineChars="200"/>
        <w:rPr>
          <w:rFonts w:ascii="宋体" w:hAnsi="宋体" w:cs="宋体"/>
          <w:b/>
          <w:szCs w:val="21"/>
        </w:rPr>
      </w:pPr>
      <w:r>
        <w:rPr>
          <w:rFonts w:ascii="宋体" w:hAnsi="宋体" w:cs="宋体" w:hint="eastAsia"/>
          <w:b/>
          <w:szCs w:val="21"/>
        </w:rPr>
        <w:t>备注：请贵单位下载本次招标采购文件后，认真阅读各项内容，进行必要的准备工作，按文件的要求详细填写和编制响应文件，并按以上确定的时间、地点准时上传投标文件。</w:t>
      </w:r>
    </w:p>
    <w:p w:rsidR="00473C68">
      <w:pPr>
        <w:jc w:val="right"/>
        <w:rPr>
          <w:rFonts w:ascii="宋体" w:hAnsi="宋体" w:cs="宋体"/>
          <w:szCs w:val="21"/>
        </w:rPr>
      </w:pPr>
    </w:p>
    <w:p w:rsidR="00473C68">
      <w:pPr>
        <w:jc w:val="right"/>
        <w:rPr>
          <w:rFonts w:ascii="宋体" w:hAnsi="宋体" w:cs="宋体"/>
          <w:szCs w:val="21"/>
        </w:rPr>
      </w:pPr>
      <w:r>
        <w:rPr>
          <w:rFonts w:ascii="宋体" w:hAnsi="宋体" w:cs="宋体" w:hint="eastAsia"/>
          <w:szCs w:val="21"/>
        </w:rPr>
        <w:t>台州永安工程咨询有限公司</w:t>
      </w:r>
    </w:p>
    <w:p w:rsidR="00473C68">
      <w:pPr>
        <w:pStyle w:val="BodyText"/>
        <w:jc w:val="right"/>
        <w:rPr>
          <w:rFonts w:ascii="宋体" w:hAnsi="宋体" w:cs="宋体"/>
          <w:szCs w:val="21"/>
        </w:rPr>
      </w:pPr>
      <w:r>
        <w:rPr>
          <w:rFonts w:ascii="宋体" w:hAnsi="宋体" w:cs="宋体" w:hint="eastAsia"/>
          <w:szCs w:val="21"/>
        </w:rPr>
        <w:t>二○二三年十一月</w:t>
      </w:r>
    </w:p>
    <w:p w:rsidR="00473C68">
      <w:pPr>
        <w:pStyle w:val="BodyText"/>
        <w:jc w:val="right"/>
        <w:rPr>
          <w:rFonts w:ascii="宋体" w:hAnsi="宋体" w:cs="宋体"/>
          <w:szCs w:val="21"/>
        </w:rPr>
      </w:pPr>
    </w:p>
    <w:p w:rsidR="00473C68">
      <w:pPr>
        <w:pStyle w:val="BodyText"/>
        <w:jc w:val="right"/>
        <w:rPr>
          <w:rFonts w:ascii="宋体" w:hAnsi="宋体" w:cs="宋体"/>
          <w:sz w:val="24"/>
        </w:rPr>
      </w:pPr>
    </w:p>
    <w:p w:rsidR="00473C68">
      <w:pPr>
        <w:pStyle w:val="BodyTextFirstIndent"/>
        <w:ind w:firstLine="240"/>
        <w:rPr>
          <w:rFonts w:ascii="宋体" w:hAnsi="宋体" w:cs="宋体"/>
          <w:sz w:val="24"/>
        </w:rPr>
      </w:pPr>
    </w:p>
    <w:p w:rsidR="00473C68">
      <w:pPr>
        <w:rPr>
          <w:rFonts w:ascii="宋体" w:hAnsi="宋体" w:cs="宋体"/>
        </w:rPr>
      </w:pPr>
    </w:p>
    <w:p w:rsidR="00473C68">
      <w:pPr>
        <w:numPr>
          <w:ilvl w:val="0"/>
          <w:numId w:val="3"/>
        </w:numPr>
        <w:spacing w:line="360" w:lineRule="auto"/>
        <w:jc w:val="center"/>
        <w:rPr>
          <w:rFonts w:ascii="宋体" w:hAnsi="宋体" w:cs="宋体"/>
          <w:b/>
          <w:sz w:val="36"/>
          <w:szCs w:val="36"/>
        </w:rPr>
        <w:sectPr>
          <w:headerReference w:type="default" r:id="rId25"/>
          <w:footerReference w:type="default" r:id="rId26"/>
          <w:type w:val="nextPage"/>
          <w:pgSz w:w="11906" w:h="16838"/>
          <w:pgMar w:top="1440" w:right="1440" w:bottom="1440" w:left="1803" w:header="851" w:footer="992" w:gutter="0"/>
          <w:pgNumType w:start="9"/>
          <w:cols w:space="0"/>
          <w:titlePg w:val="0"/>
          <w:docGrid w:type="lines" w:linePitch="325"/>
        </w:sectPr>
      </w:pPr>
    </w:p>
    <w:p w:rsidR="00473C68">
      <w:pPr>
        <w:spacing w:line="360" w:lineRule="auto"/>
        <w:jc w:val="center"/>
        <w:outlineLvl w:val="0"/>
        <w:rPr>
          <w:rFonts w:ascii="宋体" w:hAnsi="宋体" w:cs="宋体"/>
          <w:b/>
          <w:sz w:val="36"/>
          <w:szCs w:val="36"/>
        </w:rPr>
      </w:pPr>
      <w:r>
        <w:rPr>
          <w:rFonts w:ascii="宋体" w:hAnsi="宋体" w:cs="宋体" w:hint="eastAsia"/>
          <w:b/>
          <w:sz w:val="36"/>
          <w:szCs w:val="36"/>
        </w:rPr>
        <w:t>第二章 投标人须知</w:t>
      </w:r>
    </w:p>
    <w:p w:rsidR="00473C68">
      <w:pPr>
        <w:spacing w:line="360" w:lineRule="auto"/>
        <w:jc w:val="center"/>
        <w:rPr>
          <w:rFonts w:ascii="宋体" w:hAnsi="宋体" w:cs="宋体"/>
          <w:b/>
          <w:sz w:val="28"/>
          <w:szCs w:val="28"/>
        </w:rPr>
      </w:pPr>
      <w:r>
        <w:rPr>
          <w:rFonts w:ascii="宋体" w:hAnsi="宋体" w:cs="宋体" w:hint="eastAsia"/>
          <w:b/>
          <w:sz w:val="28"/>
          <w:szCs w:val="28"/>
        </w:rPr>
        <w:t>前  附 表</w:t>
      </w:r>
    </w:p>
    <w:tbl>
      <w:tblPr>
        <w:tblStyle w:val="TableNormal"/>
        <w:tblW w:w="9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8"/>
        <w:gridCol w:w="2123"/>
        <w:gridCol w:w="6692"/>
      </w:tblGrid>
      <w:tr>
        <w:tblPrEx>
          <w:tblW w:w="9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58"/>
          <w:jc w:val="center"/>
        </w:trPr>
        <w:tc>
          <w:tcPr>
            <w:tcW w:w="718" w:type="dxa"/>
            <w:vAlign w:val="center"/>
          </w:tcPr>
          <w:p w:rsidR="00473C68">
            <w:pPr>
              <w:jc w:val="center"/>
              <w:rPr>
                <w:rFonts w:ascii="宋体" w:hAnsi="宋体" w:cs="宋体"/>
                <w:b/>
                <w:bCs/>
                <w:szCs w:val="21"/>
              </w:rPr>
            </w:pPr>
            <w:r>
              <w:rPr>
                <w:rFonts w:ascii="宋体" w:hAnsi="宋体" w:cs="宋体" w:hint="eastAsia"/>
                <w:b/>
                <w:bCs/>
                <w:szCs w:val="21"/>
              </w:rPr>
              <w:t>序号</w:t>
            </w:r>
          </w:p>
        </w:tc>
        <w:tc>
          <w:tcPr>
            <w:tcW w:w="2123" w:type="dxa"/>
            <w:vAlign w:val="center"/>
          </w:tcPr>
          <w:p w:rsidR="00473C68">
            <w:pPr>
              <w:jc w:val="center"/>
              <w:rPr>
                <w:rFonts w:ascii="宋体" w:hAnsi="宋体" w:cs="宋体"/>
                <w:b/>
                <w:bCs/>
                <w:szCs w:val="21"/>
              </w:rPr>
            </w:pPr>
            <w:r>
              <w:rPr>
                <w:rFonts w:ascii="宋体" w:hAnsi="宋体" w:cs="宋体" w:hint="eastAsia"/>
                <w:b/>
                <w:bCs/>
                <w:szCs w:val="21"/>
              </w:rPr>
              <w:t>项目</w:t>
            </w:r>
          </w:p>
        </w:tc>
        <w:tc>
          <w:tcPr>
            <w:tcW w:w="6692" w:type="dxa"/>
            <w:vAlign w:val="center"/>
          </w:tcPr>
          <w:p w:rsidR="00473C68">
            <w:pPr>
              <w:jc w:val="center"/>
              <w:rPr>
                <w:rFonts w:ascii="宋体" w:hAnsi="宋体" w:cs="宋体"/>
                <w:b/>
                <w:bCs/>
                <w:szCs w:val="21"/>
              </w:rPr>
            </w:pPr>
            <w:r>
              <w:rPr>
                <w:rFonts w:ascii="宋体" w:hAnsi="宋体" w:cs="宋体" w:hint="eastAsia"/>
                <w:b/>
                <w:bCs/>
                <w:szCs w:val="21"/>
              </w:rPr>
              <w:t>内容</w:t>
            </w:r>
          </w:p>
        </w:tc>
      </w:tr>
      <w:tr>
        <w:tblPrEx>
          <w:tblW w:w="9533" w:type="dxa"/>
          <w:jc w:val="center"/>
          <w:tblLayout w:type="fixed"/>
          <w:tblLook w:val="04A0"/>
        </w:tblPrEx>
        <w:trPr>
          <w:trHeight w:val="170"/>
          <w:jc w:val="center"/>
        </w:trPr>
        <w:tc>
          <w:tcPr>
            <w:tcW w:w="718" w:type="dxa"/>
            <w:vAlign w:val="center"/>
          </w:tcPr>
          <w:p w:rsidR="00473C68">
            <w:pPr>
              <w:jc w:val="center"/>
              <w:rPr>
                <w:rFonts w:ascii="宋体" w:hAnsi="宋体" w:cs="宋体"/>
                <w:szCs w:val="21"/>
              </w:rPr>
            </w:pPr>
            <w:r>
              <w:rPr>
                <w:rFonts w:ascii="宋体" w:hAnsi="宋体" w:cs="宋体" w:hint="eastAsia"/>
                <w:szCs w:val="21"/>
              </w:rPr>
              <w:t>1</w:t>
            </w:r>
          </w:p>
        </w:tc>
        <w:tc>
          <w:tcPr>
            <w:tcW w:w="2123" w:type="dxa"/>
            <w:vAlign w:val="center"/>
          </w:tcPr>
          <w:p w:rsidR="00473C68">
            <w:pPr>
              <w:jc w:val="center"/>
              <w:rPr>
                <w:rFonts w:ascii="宋体" w:hAnsi="宋体" w:cs="宋体"/>
                <w:szCs w:val="21"/>
              </w:rPr>
            </w:pPr>
            <w:r>
              <w:rPr>
                <w:rFonts w:ascii="宋体" w:hAnsi="宋体" w:cs="宋体" w:hint="eastAsia"/>
                <w:szCs w:val="21"/>
              </w:rPr>
              <w:t>项目说明</w:t>
            </w:r>
          </w:p>
        </w:tc>
        <w:tc>
          <w:tcPr>
            <w:tcW w:w="6692" w:type="dxa"/>
            <w:vAlign w:val="center"/>
          </w:tcPr>
          <w:p w:rsidR="00473C68">
            <w:pPr>
              <w:rPr>
                <w:rFonts w:ascii="宋体" w:hAnsi="宋体" w:cs="宋体"/>
                <w:szCs w:val="21"/>
              </w:rPr>
            </w:pPr>
            <w:r>
              <w:rPr>
                <w:rFonts w:ascii="宋体" w:hAnsi="宋体" w:cs="宋体" w:hint="eastAsia"/>
                <w:szCs w:val="21"/>
              </w:rPr>
              <w:t>项目类别：服务类</w:t>
            </w:r>
          </w:p>
          <w:p w:rsidR="00473C68">
            <w:pPr>
              <w:rPr>
                <w:rFonts w:ascii="宋体" w:hAnsi="宋体" w:cs="宋体"/>
                <w:szCs w:val="21"/>
              </w:rPr>
            </w:pPr>
            <w:r>
              <w:rPr>
                <w:rFonts w:ascii="宋体" w:hAnsi="宋体" w:cs="宋体" w:hint="eastAsia"/>
                <w:szCs w:val="21"/>
              </w:rPr>
              <w:t>采购标的所属行业：根据《工业和信息化部、国家统计局、国家发展和改革委员会、财政部关于印发中小企业划型标准规定的通知》（工信部联企业[2011]300号）规定，本项目采购标的对应的中小企业划分标准所属行业为（十六）其他未列明行业。</w:t>
            </w:r>
          </w:p>
        </w:tc>
      </w:tr>
      <w:tr>
        <w:tblPrEx>
          <w:tblW w:w="9533" w:type="dxa"/>
          <w:jc w:val="center"/>
          <w:tblLayout w:type="fixed"/>
          <w:tblLook w:val="04A0"/>
        </w:tblPrEx>
        <w:trPr>
          <w:trHeight w:val="170"/>
          <w:jc w:val="center"/>
        </w:trPr>
        <w:tc>
          <w:tcPr>
            <w:tcW w:w="718" w:type="dxa"/>
            <w:vAlign w:val="center"/>
          </w:tcPr>
          <w:p w:rsidR="00473C68">
            <w:pPr>
              <w:jc w:val="center"/>
              <w:rPr>
                <w:rFonts w:ascii="宋体" w:hAnsi="宋体" w:cs="宋体"/>
                <w:szCs w:val="21"/>
              </w:rPr>
            </w:pPr>
            <w:r>
              <w:rPr>
                <w:rFonts w:ascii="宋体" w:hAnsi="宋体" w:cs="宋体" w:hint="eastAsia"/>
                <w:szCs w:val="21"/>
              </w:rPr>
              <w:t>2</w:t>
            </w:r>
          </w:p>
        </w:tc>
        <w:tc>
          <w:tcPr>
            <w:tcW w:w="2123" w:type="dxa"/>
            <w:vAlign w:val="center"/>
          </w:tcPr>
          <w:p w:rsidR="00473C68">
            <w:pPr>
              <w:jc w:val="center"/>
              <w:rPr>
                <w:rFonts w:ascii="宋体" w:hAnsi="宋体" w:cs="宋体"/>
                <w:szCs w:val="21"/>
              </w:rPr>
            </w:pPr>
            <w:r>
              <w:rPr>
                <w:rFonts w:ascii="宋体" w:hAnsi="宋体" w:cs="宋体" w:hint="eastAsia"/>
                <w:szCs w:val="21"/>
              </w:rPr>
              <w:t>供应商特定资格要求</w:t>
            </w:r>
          </w:p>
        </w:tc>
        <w:tc>
          <w:tcPr>
            <w:tcW w:w="6692" w:type="dxa"/>
            <w:vAlign w:val="center"/>
          </w:tcPr>
          <w:p w:rsidR="00473C68">
            <w:pPr>
              <w:rPr>
                <w:rFonts w:ascii="宋体" w:hAnsi="宋体" w:cs="宋体"/>
                <w:szCs w:val="21"/>
              </w:rPr>
            </w:pPr>
            <w:r>
              <w:rPr>
                <w:rFonts w:ascii="宋体" w:hAnsi="宋体" w:cs="宋体" w:hint="eastAsia"/>
                <w:szCs w:val="21"/>
              </w:rPr>
              <w:t>符合招标公告资格要求的供应商</w:t>
            </w:r>
          </w:p>
        </w:tc>
      </w:tr>
      <w:tr>
        <w:tblPrEx>
          <w:tblW w:w="9533" w:type="dxa"/>
          <w:jc w:val="center"/>
          <w:tblLayout w:type="fixed"/>
          <w:tblLook w:val="04A0"/>
        </w:tblPrEx>
        <w:trPr>
          <w:trHeight w:val="170"/>
          <w:jc w:val="center"/>
        </w:trPr>
        <w:tc>
          <w:tcPr>
            <w:tcW w:w="718" w:type="dxa"/>
            <w:vAlign w:val="center"/>
          </w:tcPr>
          <w:p w:rsidR="00473C68">
            <w:pPr>
              <w:jc w:val="center"/>
              <w:rPr>
                <w:rFonts w:ascii="宋体" w:hAnsi="宋体" w:cs="宋体"/>
                <w:szCs w:val="21"/>
              </w:rPr>
            </w:pPr>
            <w:r>
              <w:rPr>
                <w:rFonts w:ascii="宋体" w:hAnsi="宋体" w:cs="宋体" w:hint="eastAsia"/>
                <w:szCs w:val="21"/>
              </w:rPr>
              <w:t>3</w:t>
            </w:r>
          </w:p>
        </w:tc>
        <w:tc>
          <w:tcPr>
            <w:tcW w:w="2123" w:type="dxa"/>
            <w:vAlign w:val="center"/>
          </w:tcPr>
          <w:p w:rsidR="00473C68">
            <w:pPr>
              <w:jc w:val="center"/>
              <w:rPr>
                <w:rFonts w:ascii="宋体" w:hAnsi="宋体" w:cs="宋体"/>
                <w:szCs w:val="21"/>
              </w:rPr>
            </w:pPr>
            <w:r>
              <w:rPr>
                <w:rFonts w:ascii="宋体" w:hAnsi="宋体" w:cs="宋体" w:hint="eastAsia"/>
                <w:szCs w:val="21"/>
              </w:rPr>
              <w:t>答疑会或现场踏勘</w:t>
            </w:r>
          </w:p>
        </w:tc>
        <w:tc>
          <w:tcPr>
            <w:tcW w:w="6692" w:type="dxa"/>
            <w:vAlign w:val="center"/>
          </w:tcPr>
          <w:p w:rsidR="00473C68">
            <w:pPr>
              <w:rPr>
                <w:rFonts w:ascii="宋体" w:hAnsi="宋体" w:cs="宋体"/>
                <w:szCs w:val="21"/>
              </w:rPr>
            </w:pPr>
            <w:r>
              <w:rPr>
                <w:rFonts w:ascii="宋体" w:hAnsi="宋体" w:cs="宋体" w:hint="eastAsia"/>
                <w:szCs w:val="21"/>
              </w:rPr>
              <w:t>无</w:t>
            </w:r>
          </w:p>
        </w:tc>
      </w:tr>
      <w:tr>
        <w:tblPrEx>
          <w:tblW w:w="9533" w:type="dxa"/>
          <w:jc w:val="center"/>
          <w:tblLayout w:type="fixed"/>
          <w:tblLook w:val="04A0"/>
        </w:tblPrEx>
        <w:trPr>
          <w:trHeight w:val="468"/>
          <w:jc w:val="center"/>
        </w:trPr>
        <w:tc>
          <w:tcPr>
            <w:tcW w:w="718" w:type="dxa"/>
            <w:vAlign w:val="center"/>
          </w:tcPr>
          <w:p w:rsidR="00473C68">
            <w:pPr>
              <w:jc w:val="center"/>
              <w:rPr>
                <w:rFonts w:ascii="宋体" w:hAnsi="宋体" w:cs="宋体"/>
                <w:szCs w:val="21"/>
              </w:rPr>
            </w:pPr>
            <w:r>
              <w:rPr>
                <w:rFonts w:ascii="宋体" w:hAnsi="宋体" w:cs="宋体" w:hint="eastAsia"/>
                <w:szCs w:val="21"/>
              </w:rPr>
              <w:t>4</w:t>
            </w:r>
          </w:p>
        </w:tc>
        <w:tc>
          <w:tcPr>
            <w:tcW w:w="2123" w:type="dxa"/>
            <w:vAlign w:val="center"/>
          </w:tcPr>
          <w:p w:rsidR="00473C68">
            <w:pPr>
              <w:jc w:val="center"/>
              <w:rPr>
                <w:rFonts w:ascii="宋体" w:hAnsi="宋体" w:cs="宋体"/>
                <w:szCs w:val="21"/>
              </w:rPr>
            </w:pPr>
            <w:r>
              <w:rPr>
                <w:rFonts w:ascii="宋体" w:hAnsi="宋体" w:cs="宋体" w:hint="eastAsia"/>
                <w:szCs w:val="21"/>
              </w:rPr>
              <w:t>投标文件组成要求</w:t>
            </w:r>
          </w:p>
        </w:tc>
        <w:tc>
          <w:tcPr>
            <w:tcW w:w="6692" w:type="dxa"/>
            <w:vAlign w:val="center"/>
          </w:tcPr>
          <w:p w:rsidR="00473C68">
            <w:pPr>
              <w:rPr>
                <w:rFonts w:ascii="宋体" w:hAnsi="宋体" w:cs="宋体"/>
                <w:szCs w:val="21"/>
              </w:rPr>
            </w:pPr>
            <w:r>
              <w:rPr>
                <w:rFonts w:ascii="宋体" w:hAnsi="宋体" w:cs="宋体" w:hint="eastAsia"/>
                <w:szCs w:val="21"/>
              </w:rPr>
              <w:t>本项目实行电子投标，供应商应准备电子投标文件、还可以提供以介质（U盘）存储的数据电文形式的备份投标文件。</w:t>
            </w:r>
          </w:p>
          <w:p w:rsidR="00473C68">
            <w:pPr>
              <w:rPr>
                <w:rFonts w:ascii="宋体" w:hAnsi="宋体" w:cs="宋体"/>
                <w:szCs w:val="21"/>
              </w:rPr>
            </w:pPr>
            <w:r>
              <w:rPr>
                <w:rFonts w:ascii="宋体" w:hAnsi="宋体" w:cs="宋体" w:hint="eastAsia"/>
                <w:szCs w:val="21"/>
              </w:rPr>
              <w:t>1、电子投标文件：指通过“政采云电子投标客户端”完成投标文件编制后生成并加密的数据电文形式的电子投标文件。</w:t>
            </w:r>
          </w:p>
          <w:p w:rsidR="00473C68">
            <w:pPr>
              <w:rPr>
                <w:rFonts w:ascii="宋体" w:hAnsi="宋体" w:cs="宋体"/>
                <w:szCs w:val="21"/>
              </w:rPr>
            </w:pPr>
            <w:r>
              <w:rPr>
                <w:rFonts w:ascii="宋体" w:hAnsi="宋体" w:cs="宋体" w:hint="eastAsia"/>
                <w:szCs w:val="21"/>
              </w:rPr>
              <w:t>2、备份投标文件：是指“电子投标文件”同时生成的数据电文形式的电子文件（备份标书），以U盘形式提供。</w:t>
            </w:r>
          </w:p>
          <w:p w:rsidR="00473C68">
            <w:pPr>
              <w:rPr>
                <w:rFonts w:ascii="宋体" w:hAnsi="宋体" w:cs="宋体"/>
                <w:szCs w:val="21"/>
              </w:rPr>
            </w:pPr>
            <w:r>
              <w:rPr>
                <w:rFonts w:ascii="宋体" w:hAnsi="宋体" w:cs="宋体" w:hint="eastAsia"/>
                <w:szCs w:val="21"/>
              </w:rPr>
              <w:t>以上两类投标文件均由资格证明文件、商务技术文件、报价文件三部分组成。</w:t>
            </w:r>
          </w:p>
        </w:tc>
      </w:tr>
      <w:tr>
        <w:tblPrEx>
          <w:tblW w:w="9533" w:type="dxa"/>
          <w:jc w:val="center"/>
          <w:tblLayout w:type="fixed"/>
          <w:tblLook w:val="04A0"/>
        </w:tblPrEx>
        <w:trPr>
          <w:trHeight w:val="316"/>
          <w:jc w:val="center"/>
        </w:trPr>
        <w:tc>
          <w:tcPr>
            <w:tcW w:w="718" w:type="dxa"/>
            <w:vAlign w:val="center"/>
          </w:tcPr>
          <w:p w:rsidR="00473C68">
            <w:pPr>
              <w:jc w:val="center"/>
              <w:rPr>
                <w:rFonts w:ascii="宋体" w:hAnsi="宋体" w:cs="宋体"/>
                <w:szCs w:val="21"/>
              </w:rPr>
            </w:pPr>
            <w:r>
              <w:rPr>
                <w:rFonts w:ascii="宋体" w:hAnsi="宋体" w:cs="宋体" w:hint="eastAsia"/>
                <w:szCs w:val="21"/>
              </w:rPr>
              <w:t>5</w:t>
            </w:r>
          </w:p>
        </w:tc>
        <w:tc>
          <w:tcPr>
            <w:tcW w:w="2123" w:type="dxa"/>
            <w:vAlign w:val="center"/>
          </w:tcPr>
          <w:p w:rsidR="00473C68">
            <w:pPr>
              <w:jc w:val="center"/>
              <w:rPr>
                <w:rFonts w:ascii="宋体" w:hAnsi="宋体" w:cs="宋体"/>
                <w:szCs w:val="21"/>
              </w:rPr>
            </w:pPr>
            <w:r>
              <w:rPr>
                <w:rFonts w:ascii="宋体" w:hAnsi="宋体" w:cs="宋体" w:hint="eastAsia"/>
                <w:szCs w:val="21"/>
              </w:rPr>
              <w:t>投标文件有效期</w:t>
            </w:r>
          </w:p>
        </w:tc>
        <w:tc>
          <w:tcPr>
            <w:tcW w:w="6692" w:type="dxa"/>
            <w:vAlign w:val="center"/>
          </w:tcPr>
          <w:p w:rsidR="00473C68">
            <w:pPr>
              <w:rPr>
                <w:rFonts w:ascii="宋体" w:hAnsi="宋体" w:cs="宋体"/>
                <w:szCs w:val="21"/>
              </w:rPr>
            </w:pPr>
            <w:r>
              <w:rPr>
                <w:rFonts w:ascii="宋体" w:hAnsi="宋体" w:cs="宋体" w:hint="eastAsia"/>
                <w:szCs w:val="21"/>
              </w:rPr>
              <w:t>▲投标有效期为90天，投标有效期从提交投标文件的截止之日起算。</w:t>
            </w:r>
          </w:p>
        </w:tc>
      </w:tr>
      <w:tr>
        <w:tblPrEx>
          <w:tblW w:w="9533" w:type="dxa"/>
          <w:jc w:val="center"/>
          <w:tblLayout w:type="fixed"/>
          <w:tblLook w:val="04A0"/>
        </w:tblPrEx>
        <w:trPr>
          <w:trHeight w:val="575"/>
          <w:jc w:val="center"/>
        </w:trPr>
        <w:tc>
          <w:tcPr>
            <w:tcW w:w="718" w:type="dxa"/>
            <w:vAlign w:val="center"/>
          </w:tcPr>
          <w:p w:rsidR="00473C68">
            <w:pPr>
              <w:jc w:val="center"/>
              <w:rPr>
                <w:rFonts w:ascii="宋体" w:hAnsi="宋体" w:cs="宋体"/>
                <w:szCs w:val="21"/>
              </w:rPr>
            </w:pPr>
            <w:r>
              <w:rPr>
                <w:rFonts w:ascii="宋体" w:hAnsi="宋体" w:cs="宋体" w:hint="eastAsia"/>
                <w:szCs w:val="21"/>
              </w:rPr>
              <w:t>6</w:t>
            </w:r>
          </w:p>
        </w:tc>
        <w:tc>
          <w:tcPr>
            <w:tcW w:w="2123" w:type="dxa"/>
            <w:vAlign w:val="center"/>
          </w:tcPr>
          <w:p w:rsidR="00473C68">
            <w:pPr>
              <w:pStyle w:val="BodyText"/>
              <w:jc w:val="center"/>
              <w:rPr>
                <w:rFonts w:ascii="宋体" w:hAnsi="宋体" w:cs="宋体"/>
                <w:szCs w:val="21"/>
              </w:rPr>
            </w:pPr>
            <w:r>
              <w:rPr>
                <w:rFonts w:ascii="宋体" w:hAnsi="宋体" w:cs="宋体" w:hint="eastAsia"/>
                <w:szCs w:val="21"/>
              </w:rPr>
              <w:t>电子投标文件的传输递交</w:t>
            </w:r>
          </w:p>
        </w:tc>
        <w:tc>
          <w:tcPr>
            <w:tcW w:w="6692" w:type="dxa"/>
            <w:vAlign w:val="center"/>
          </w:tcPr>
          <w:p w:rsidR="00473C68">
            <w:pPr>
              <w:rPr>
                <w:rFonts w:ascii="宋体" w:hAnsi="宋体" w:cs="宋体"/>
                <w:b/>
                <w:bCs/>
                <w:szCs w:val="21"/>
                <w:u w:val="single"/>
              </w:rPr>
            </w:pPr>
            <w:r>
              <w:rPr>
                <w:rFonts w:ascii="宋体" w:hAnsi="宋体" w:cs="宋体" w:hint="eastAsia"/>
                <w:b/>
                <w:bCs/>
                <w:szCs w:val="21"/>
              </w:rPr>
              <w:t>截止时间：</w:t>
            </w:r>
            <w:r>
              <w:rPr>
                <w:rFonts w:ascii="宋体" w:hAnsi="宋体" w:cs="宋体" w:hint="eastAsia"/>
                <w:szCs w:val="21"/>
              </w:rPr>
              <w:t xml:space="preserve"> </w:t>
            </w:r>
            <w:r>
              <w:rPr>
                <w:rFonts w:ascii="宋体" w:hAnsi="宋体" w:cs="宋体" w:hint="eastAsia"/>
                <w:b/>
                <w:bCs/>
                <w:szCs w:val="21"/>
                <w:u w:val="single"/>
              </w:rPr>
              <w:t>2023年12月15日上午9:00整</w:t>
            </w:r>
          </w:p>
          <w:p w:rsidR="00473C68">
            <w:pPr>
              <w:rPr>
                <w:rFonts w:ascii="宋体" w:hAnsi="宋体" w:cs="宋体"/>
                <w:szCs w:val="21"/>
              </w:rPr>
            </w:pPr>
            <w:r>
              <w:rPr>
                <w:rFonts w:ascii="宋体" w:hAnsi="宋体" w:cs="宋体" w:hint="eastAsia"/>
                <w:szCs w:val="21"/>
              </w:rPr>
              <w:t>▲投标人应当在投标截止时间前完成电子投标文件的传输递交，投标截止时间前可以补充、修改或者撤回电子投标文件。补充或者修改电子投标文件的，应当先行撤回原文件，补充、修改后重新传输递交。投标截止时间前未完成传输的，视为撤回投标文件。投标截止时间后寄达的投标文件，将被拒收。</w:t>
            </w:r>
          </w:p>
        </w:tc>
      </w:tr>
      <w:tr>
        <w:tblPrEx>
          <w:tblW w:w="9533" w:type="dxa"/>
          <w:jc w:val="center"/>
          <w:tblLayout w:type="fixed"/>
          <w:tblLook w:val="04A0"/>
        </w:tblPrEx>
        <w:trPr>
          <w:trHeight w:val="575"/>
          <w:jc w:val="center"/>
        </w:trPr>
        <w:tc>
          <w:tcPr>
            <w:tcW w:w="718" w:type="dxa"/>
            <w:vAlign w:val="center"/>
          </w:tcPr>
          <w:p w:rsidR="00473C68">
            <w:pPr>
              <w:jc w:val="center"/>
              <w:rPr>
                <w:rFonts w:ascii="宋体" w:hAnsi="宋体" w:cs="宋体"/>
                <w:szCs w:val="21"/>
              </w:rPr>
            </w:pPr>
            <w:r>
              <w:rPr>
                <w:rFonts w:ascii="宋体" w:hAnsi="宋体" w:cs="宋体" w:hint="eastAsia"/>
                <w:szCs w:val="21"/>
              </w:rPr>
              <w:t>7</w:t>
            </w:r>
          </w:p>
        </w:tc>
        <w:tc>
          <w:tcPr>
            <w:tcW w:w="2123" w:type="dxa"/>
            <w:vAlign w:val="center"/>
          </w:tcPr>
          <w:p w:rsidR="00473C68">
            <w:pPr>
              <w:jc w:val="center"/>
              <w:rPr>
                <w:rFonts w:ascii="宋体" w:hAnsi="宋体" w:cs="宋体"/>
                <w:szCs w:val="21"/>
              </w:rPr>
            </w:pPr>
            <w:r>
              <w:rPr>
                <w:rFonts w:ascii="宋体" w:hAnsi="宋体" w:cs="宋体" w:hint="eastAsia"/>
                <w:szCs w:val="21"/>
              </w:rPr>
              <w:t>备份投标文件的递交</w:t>
            </w:r>
          </w:p>
        </w:tc>
        <w:tc>
          <w:tcPr>
            <w:tcW w:w="6692" w:type="dxa"/>
            <w:vAlign w:val="center"/>
          </w:tcPr>
          <w:p w:rsidR="00473C68">
            <w:pPr>
              <w:pStyle w:val="p0"/>
              <w:snapToGrid w:val="0"/>
              <w:rPr>
                <w:rFonts w:ascii="宋体" w:hAnsi="宋体"/>
                <w:kern w:val="2"/>
              </w:rPr>
            </w:pPr>
            <w:r>
              <w:rPr>
                <w:rFonts w:ascii="宋体" w:hAnsi="宋体" w:hint="eastAsia"/>
                <w:kern w:val="2"/>
              </w:rPr>
              <w:t>供应商同时还可以提供经政采云平台加密处理的、以介质（U盘）存储的数据电文形式的备份投标文件（不强制要求，未递交备份文件的风险由供应商自行承担）。递交备份投标文件的，供应商应当在投标截止时间前按要求密封（备份投标文件在密封袋的封口处加盖投标人公章、法定代表人代表或授权委托代理人印章或签字。封皮上写明项目编号、标项、招标项目名称、投标人名称，并注明“投标文件名称”、“开标时启封”字样）并建议顺丰邮寄或直接递交到</w:t>
            </w:r>
            <w:r>
              <w:rPr>
                <w:rFonts w:ascii="宋体" w:hAnsi="宋体" w:hint="eastAsia"/>
                <w:b/>
                <w:bCs/>
                <w:kern w:val="2"/>
              </w:rPr>
              <w:t>台州市椒江区中环世纪6幢801室（交通银行台州分行楼上）收件人：俞雅琪；联系电话：</w:t>
            </w:r>
            <w:r>
              <w:rPr>
                <w:rFonts w:ascii="宋体" w:hAnsi="宋体" w:hint="eastAsia"/>
                <w:kern w:val="2"/>
              </w:rPr>
              <w:t>，逾期寄达、到付或未按要求密封将被拒收。</w:t>
            </w:r>
            <w:r>
              <w:rPr>
                <w:rFonts w:ascii="宋体" w:hAnsi="宋体" w:hint="eastAsia"/>
              </w:rPr>
              <w:t>▲</w:t>
            </w:r>
            <w:r>
              <w:rPr>
                <w:rFonts w:ascii="宋体" w:hAnsi="宋体" w:hint="eastAsia"/>
                <w:kern w:val="2"/>
              </w:rPr>
              <w:t>如投标人未在投标截止时间前完成电子投标文件的传输递交，其备份投标文件也将为无效投标文件。</w:t>
            </w:r>
          </w:p>
          <w:p w:rsidR="00473C68">
            <w:pPr>
              <w:rPr>
                <w:rFonts w:ascii="宋体" w:hAnsi="宋体" w:cs="宋体"/>
                <w:szCs w:val="21"/>
              </w:rPr>
            </w:pPr>
            <w:r>
              <w:rPr>
                <w:rFonts w:ascii="宋体" w:hAnsi="宋体" w:cs="宋体" w:hint="eastAsia"/>
                <w:b/>
                <w:bCs/>
                <w:szCs w:val="21"/>
              </w:rPr>
              <w:t>截止时间：</w:t>
            </w:r>
            <w:r>
              <w:rPr>
                <w:rFonts w:ascii="宋体" w:hAnsi="宋体" w:cs="宋体" w:hint="eastAsia"/>
                <w:b/>
                <w:bCs/>
                <w:szCs w:val="21"/>
                <w:u w:val="single"/>
              </w:rPr>
              <w:t xml:space="preserve"> 2023年12月15日上午9:00整</w:t>
            </w:r>
          </w:p>
        </w:tc>
      </w:tr>
      <w:tr>
        <w:tblPrEx>
          <w:tblW w:w="9533" w:type="dxa"/>
          <w:jc w:val="center"/>
          <w:tblLayout w:type="fixed"/>
          <w:tblLook w:val="04A0"/>
        </w:tblPrEx>
        <w:trPr>
          <w:trHeight w:val="316"/>
          <w:jc w:val="center"/>
        </w:trPr>
        <w:tc>
          <w:tcPr>
            <w:tcW w:w="718" w:type="dxa"/>
            <w:vAlign w:val="center"/>
          </w:tcPr>
          <w:p w:rsidR="00473C68">
            <w:pPr>
              <w:jc w:val="center"/>
              <w:rPr>
                <w:rFonts w:ascii="宋体" w:hAnsi="宋体" w:cs="宋体"/>
                <w:szCs w:val="21"/>
              </w:rPr>
            </w:pPr>
            <w:r>
              <w:rPr>
                <w:rFonts w:ascii="宋体" w:hAnsi="宋体" w:cs="宋体" w:hint="eastAsia"/>
                <w:szCs w:val="21"/>
              </w:rPr>
              <w:t>8</w:t>
            </w:r>
          </w:p>
        </w:tc>
        <w:tc>
          <w:tcPr>
            <w:tcW w:w="2123" w:type="dxa"/>
            <w:vAlign w:val="center"/>
          </w:tcPr>
          <w:p w:rsidR="00473C68">
            <w:pPr>
              <w:jc w:val="center"/>
              <w:rPr>
                <w:rFonts w:ascii="宋体" w:hAnsi="宋体" w:cs="宋体"/>
                <w:szCs w:val="21"/>
              </w:rPr>
            </w:pPr>
            <w:r>
              <w:rPr>
                <w:rFonts w:ascii="宋体" w:hAnsi="宋体" w:cs="宋体" w:hint="eastAsia"/>
                <w:szCs w:val="21"/>
              </w:rPr>
              <w:t>备份投标文件份数及密封要求</w:t>
            </w:r>
          </w:p>
        </w:tc>
        <w:tc>
          <w:tcPr>
            <w:tcW w:w="6692" w:type="dxa"/>
            <w:vAlign w:val="center"/>
          </w:tcPr>
          <w:p w:rsidR="00473C68">
            <w:pPr>
              <w:pStyle w:val="NormalWeb"/>
              <w:spacing w:before="0" w:beforeAutospacing="0" w:after="0" w:afterAutospacing="0"/>
              <w:rPr>
                <w:rFonts w:cs="宋体"/>
                <w:sz w:val="21"/>
                <w:szCs w:val="21"/>
              </w:rPr>
            </w:pPr>
            <w:r>
              <w:rPr>
                <w:rFonts w:cs="宋体" w:hint="eastAsia"/>
                <w:sz w:val="21"/>
                <w:szCs w:val="21"/>
              </w:rPr>
              <w:t>一份，以U盘形式提供。</w:t>
            </w:r>
          </w:p>
          <w:p w:rsidR="00473C68">
            <w:pPr>
              <w:rPr>
                <w:rFonts w:ascii="宋体" w:hAnsi="宋体" w:cs="宋体"/>
                <w:bCs/>
                <w:szCs w:val="21"/>
              </w:rPr>
            </w:pPr>
            <w:r>
              <w:rPr>
                <w:rFonts w:ascii="宋体" w:hAnsi="宋体" w:cs="宋体" w:hint="eastAsia"/>
                <w:bCs/>
                <w:szCs w:val="21"/>
              </w:rPr>
              <w:t>备份投标文件在密封袋的封口处加盖投标人公章、法定代表人代表或授权委托代理人印章或签字。封皮上写明项目编号、标项、招标项目名称、投标人名称，并注明“投标文件名称”、“开标时启封”字样，未按上述要求密封及加写标记</w:t>
            </w:r>
            <w:r>
              <w:rPr>
                <w:rFonts w:ascii="宋体" w:hAnsi="宋体" w:cs="宋体" w:hint="eastAsia"/>
              </w:rPr>
              <w:t>将被拒收</w:t>
            </w:r>
            <w:r>
              <w:rPr>
                <w:rFonts w:ascii="宋体" w:hAnsi="宋体" w:cs="宋体" w:hint="eastAsia"/>
                <w:bCs/>
                <w:szCs w:val="21"/>
              </w:rPr>
              <w:t>，采购代理机构对投标文件的误投和提前启封不负责任。</w:t>
            </w:r>
          </w:p>
        </w:tc>
      </w:tr>
    </w:tbl>
    <w:p>
      <w:pPr>
        <w:sectPr>
          <w:headerReference w:type="default" r:id="rId27"/>
          <w:footerReference w:type="default" r:id="rId28"/>
          <w:pgSz w:w="11906" w:h="16838"/>
          <w:pgMar w:top="1440" w:right="1440" w:bottom="1440" w:left="1803" w:header="851" w:footer="992" w:gutter="0"/>
          <w:pgNumType w:start="10"/>
          <w:cols w:space="0"/>
          <w:docGrid w:type="lines" w:linePitch="325"/>
        </w:sectPr>
      </w:pPr>
    </w:p>
    <w:tbl>
      <w:tblPr>
        <w:tblStyle w:val="TableNormal"/>
        <w:tblW w:w="9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8"/>
        <w:gridCol w:w="2123"/>
        <w:gridCol w:w="6692"/>
      </w:tblGrid>
      <w:tr>
        <w:tblPrEx>
          <w:tblW w:w="9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16"/>
          <w:jc w:val="center"/>
        </w:trPr>
        <w:tc>
          <w:tcPr>
            <w:tcW w:w="718" w:type="dxa"/>
            <w:vAlign w:val="center"/>
          </w:tcPr>
          <w:p/>
        </w:tc>
        <w:tc>
          <w:tcPr>
            <w:tcW w:w="2123" w:type="dxa"/>
            <w:vAlign w:val="center"/>
          </w:tcPr>
          <w:p/>
        </w:tc>
        <w:tc>
          <w:tcPr>
            <w:tcW w:w="6692" w:type="dxa"/>
            <w:vAlign w:val="center"/>
          </w:tcPr>
          <w:p w:rsidR="00473C68">
            <w:pPr>
              <w:rPr>
                <w:rFonts w:ascii="宋体" w:hAnsi="宋体" w:cs="宋体"/>
                <w:b/>
                <w:bCs/>
                <w:szCs w:val="21"/>
              </w:rPr>
            </w:pPr>
            <w:r>
              <w:rPr>
                <w:rFonts w:ascii="宋体" w:hAnsi="宋体" w:cs="宋体" w:hint="eastAsia"/>
                <w:szCs w:val="21"/>
              </w:rPr>
              <w:t>如电子投标文件解密成功，则备份投标文件不再拆封。</w:t>
            </w:r>
          </w:p>
        </w:tc>
      </w:tr>
      <w:tr>
        <w:tblPrEx>
          <w:tblW w:w="9533" w:type="dxa"/>
          <w:jc w:val="center"/>
          <w:tblLayout w:type="fixed"/>
          <w:tblLook w:val="04A0"/>
        </w:tblPrEx>
        <w:trPr>
          <w:trHeight w:val="305"/>
          <w:jc w:val="center"/>
        </w:trPr>
        <w:tc>
          <w:tcPr>
            <w:tcW w:w="718" w:type="dxa"/>
            <w:vAlign w:val="center"/>
          </w:tcPr>
          <w:p w:rsidR="00473C68">
            <w:pPr>
              <w:jc w:val="center"/>
              <w:rPr>
                <w:rFonts w:ascii="宋体" w:hAnsi="宋体" w:cs="宋体"/>
                <w:szCs w:val="21"/>
              </w:rPr>
            </w:pPr>
            <w:r>
              <w:rPr>
                <w:rFonts w:ascii="宋体" w:hAnsi="宋体" w:cs="宋体" w:hint="eastAsia"/>
                <w:szCs w:val="21"/>
              </w:rPr>
              <w:t>9</w:t>
            </w:r>
          </w:p>
        </w:tc>
        <w:tc>
          <w:tcPr>
            <w:tcW w:w="2123" w:type="dxa"/>
            <w:vAlign w:val="center"/>
          </w:tcPr>
          <w:p w:rsidR="00473C68">
            <w:pPr>
              <w:jc w:val="center"/>
              <w:rPr>
                <w:rFonts w:ascii="宋体" w:hAnsi="宋体" w:cs="宋体"/>
                <w:szCs w:val="21"/>
              </w:rPr>
            </w:pPr>
            <w:r>
              <w:rPr>
                <w:rFonts w:ascii="宋体" w:hAnsi="宋体" w:cs="宋体" w:hint="eastAsia"/>
                <w:szCs w:val="21"/>
              </w:rPr>
              <w:t>电子投标文件解密时间及地点</w:t>
            </w:r>
          </w:p>
        </w:tc>
        <w:tc>
          <w:tcPr>
            <w:tcW w:w="6692" w:type="dxa"/>
            <w:vAlign w:val="center"/>
          </w:tcPr>
          <w:p w:rsidR="00473C68">
            <w:pPr>
              <w:rPr>
                <w:rFonts w:ascii="宋体" w:hAnsi="宋体" w:cs="宋体"/>
                <w:szCs w:val="21"/>
              </w:rPr>
            </w:pPr>
            <w:r>
              <w:rPr>
                <w:rFonts w:ascii="宋体" w:hAnsi="宋体" w:cs="宋体" w:hint="eastAsia"/>
                <w:szCs w:val="21"/>
              </w:rPr>
              <w:t>时间：2023年12月15日上午9:00-9:30（北京时间）</w:t>
            </w:r>
          </w:p>
          <w:p w:rsidR="00473C68">
            <w:pPr>
              <w:pStyle w:val="1"/>
              <w:spacing w:line="240" w:lineRule="auto"/>
              <w:rPr>
                <w:rFonts w:hAnsi="宋体" w:cs="宋体"/>
                <w:sz w:val="21"/>
                <w:szCs w:val="21"/>
              </w:rPr>
            </w:pPr>
            <w:r>
              <w:rPr>
                <w:rFonts w:hAnsi="宋体" w:cs="宋体" w:hint="eastAsia"/>
                <w:kern w:val="2"/>
                <w:sz w:val="21"/>
                <w:szCs w:val="21"/>
              </w:rPr>
              <w:t>地点：政采云平台（</w:t>
            </w:r>
            <w:r w:rsidR="009D3099">
              <w:rPr>
                <w:rFonts w:hAnsi="宋体" w:cs="宋体" w:hint="eastAsia"/>
                <w:kern w:val="2"/>
                <w:sz w:val="21"/>
                <w:szCs w:val="21"/>
              </w:rPr>
              <w:t>lkj:</w:t>
            </w:r>
            <w:r>
              <w:rPr>
                <w:rFonts w:hAnsi="宋体" w:cs="宋体" w:hint="eastAsia"/>
                <w:kern w:val="2"/>
                <w:sz w:val="21"/>
                <w:szCs w:val="21"/>
              </w:rPr>
              <w:t>//zfcg.czt.zj.gov.cn）</w:t>
            </w:r>
          </w:p>
        </w:tc>
      </w:tr>
      <w:tr>
        <w:tblPrEx>
          <w:tblW w:w="9533" w:type="dxa"/>
          <w:jc w:val="center"/>
          <w:tblLayout w:type="fixed"/>
          <w:tblLook w:val="04A0"/>
        </w:tblPrEx>
        <w:trPr>
          <w:trHeight w:val="313"/>
          <w:jc w:val="center"/>
        </w:trPr>
        <w:tc>
          <w:tcPr>
            <w:tcW w:w="718" w:type="dxa"/>
            <w:vAlign w:val="center"/>
          </w:tcPr>
          <w:p w:rsidR="00473C68">
            <w:pPr>
              <w:jc w:val="center"/>
              <w:rPr>
                <w:rFonts w:ascii="宋体" w:hAnsi="宋体" w:cs="宋体"/>
                <w:szCs w:val="21"/>
              </w:rPr>
            </w:pPr>
            <w:r>
              <w:rPr>
                <w:rFonts w:ascii="宋体" w:hAnsi="宋体" w:cs="宋体" w:hint="eastAsia"/>
                <w:szCs w:val="21"/>
              </w:rPr>
              <w:t>10</w:t>
            </w:r>
          </w:p>
        </w:tc>
        <w:tc>
          <w:tcPr>
            <w:tcW w:w="2123" w:type="dxa"/>
            <w:vAlign w:val="center"/>
          </w:tcPr>
          <w:p w:rsidR="00473C68">
            <w:pPr>
              <w:jc w:val="center"/>
              <w:rPr>
                <w:rFonts w:ascii="宋体" w:hAnsi="宋体" w:cs="宋体"/>
                <w:szCs w:val="21"/>
                <w:lang w:val="zh-CN"/>
              </w:rPr>
            </w:pPr>
            <w:r>
              <w:rPr>
                <w:rFonts w:ascii="宋体" w:hAnsi="宋体" w:cs="宋体" w:hint="eastAsia"/>
                <w:szCs w:val="21"/>
                <w:lang w:val="zh-CN"/>
              </w:rPr>
              <w:t>实质性条款</w:t>
            </w:r>
          </w:p>
        </w:tc>
        <w:tc>
          <w:tcPr>
            <w:tcW w:w="6692" w:type="dxa"/>
            <w:vAlign w:val="center"/>
          </w:tcPr>
          <w:p w:rsidR="00473C68">
            <w:pPr>
              <w:rPr>
                <w:rFonts w:ascii="宋体" w:hAnsi="宋体" w:cs="宋体"/>
                <w:szCs w:val="21"/>
                <w:lang w:val="zh-CN"/>
              </w:rPr>
            </w:pPr>
            <w:r>
              <w:rPr>
                <w:rFonts w:ascii="宋体" w:hAnsi="宋体" w:cs="宋体" w:hint="eastAsia"/>
                <w:szCs w:val="21"/>
                <w:lang w:val="zh-CN"/>
              </w:rPr>
              <w:t>带“</w:t>
            </w:r>
            <w:r>
              <w:rPr>
                <w:rFonts w:ascii="宋体" w:hAnsi="宋体" w:cs="宋体" w:hint="eastAsia"/>
                <w:szCs w:val="21"/>
              </w:rPr>
              <w:t>▲”的条款是实质性条款，投标文件须作出实质性响应，否则作无效投标处理。</w:t>
            </w:r>
          </w:p>
        </w:tc>
      </w:tr>
      <w:tr>
        <w:tblPrEx>
          <w:tblW w:w="9533" w:type="dxa"/>
          <w:jc w:val="center"/>
          <w:tblLayout w:type="fixed"/>
          <w:tblLook w:val="04A0"/>
        </w:tblPrEx>
        <w:trPr>
          <w:trHeight w:val="623"/>
          <w:jc w:val="center"/>
        </w:trPr>
        <w:tc>
          <w:tcPr>
            <w:tcW w:w="718" w:type="dxa"/>
            <w:vAlign w:val="center"/>
          </w:tcPr>
          <w:p w:rsidR="00473C68">
            <w:pPr>
              <w:jc w:val="center"/>
              <w:rPr>
                <w:rFonts w:ascii="宋体" w:hAnsi="宋体" w:cs="宋体"/>
                <w:szCs w:val="21"/>
              </w:rPr>
            </w:pPr>
            <w:r>
              <w:rPr>
                <w:rFonts w:ascii="宋体" w:hAnsi="宋体" w:cs="宋体" w:hint="eastAsia"/>
                <w:szCs w:val="21"/>
              </w:rPr>
              <w:t>11</w:t>
            </w:r>
          </w:p>
        </w:tc>
        <w:tc>
          <w:tcPr>
            <w:tcW w:w="2123" w:type="dxa"/>
            <w:vAlign w:val="center"/>
          </w:tcPr>
          <w:p w:rsidR="00473C68">
            <w:pPr>
              <w:jc w:val="center"/>
              <w:rPr>
                <w:rFonts w:ascii="宋体" w:hAnsi="宋体" w:cs="宋体"/>
                <w:szCs w:val="21"/>
              </w:rPr>
            </w:pPr>
            <w:r>
              <w:rPr>
                <w:rFonts w:ascii="宋体" w:hAnsi="宋体" w:cs="宋体" w:hint="eastAsia"/>
                <w:szCs w:val="21"/>
              </w:rPr>
              <w:t>其他要求</w:t>
            </w:r>
          </w:p>
        </w:tc>
        <w:tc>
          <w:tcPr>
            <w:tcW w:w="6692" w:type="dxa"/>
            <w:vAlign w:val="center"/>
          </w:tcPr>
          <w:p w:rsidR="00473C68">
            <w:pPr>
              <w:jc w:val="left"/>
              <w:rPr>
                <w:rFonts w:ascii="宋体" w:hAnsi="宋体" w:cs="宋体"/>
              </w:rPr>
            </w:pPr>
            <w:r>
              <w:rPr>
                <w:rFonts w:ascii="宋体" w:hAnsi="宋体" w:cs="宋体" w:hint="eastAsia"/>
              </w:rPr>
              <w:t>1、踏勘现场时间及地点：不组织，各投标单位根据自己需要，自行前往勘察现场和周围环境，所产生的费用由投标单位自理。</w:t>
            </w:r>
          </w:p>
          <w:p w:rsidR="00473C68">
            <w:pPr>
              <w:jc w:val="left"/>
              <w:rPr>
                <w:rFonts w:ascii="宋体" w:hAnsi="宋体" w:cs="宋体"/>
                <w:szCs w:val="21"/>
              </w:rPr>
            </w:pPr>
            <w:r>
              <w:rPr>
                <w:rFonts w:ascii="宋体" w:hAnsi="宋体" w:cs="宋体" w:hint="eastAsia"/>
                <w:szCs w:val="21"/>
              </w:rPr>
              <w:t>2、节能产品、环保产品：无要求；</w:t>
            </w:r>
          </w:p>
          <w:p w:rsidR="00473C68">
            <w:pPr>
              <w:jc w:val="left"/>
              <w:rPr>
                <w:rFonts w:ascii="宋体" w:hAnsi="宋体" w:cs="宋体"/>
                <w:szCs w:val="21"/>
              </w:rPr>
            </w:pPr>
            <w:r>
              <w:rPr>
                <w:rFonts w:ascii="宋体" w:hAnsi="宋体" w:cs="宋体" w:hint="eastAsia"/>
                <w:szCs w:val="21"/>
              </w:rPr>
              <w:t>3、样品：无要求；</w:t>
            </w:r>
          </w:p>
          <w:p w:rsidR="00473C68">
            <w:pPr>
              <w:jc w:val="left"/>
              <w:rPr>
                <w:rFonts w:ascii="宋体" w:hAnsi="宋体" w:cs="宋体"/>
                <w:szCs w:val="21"/>
              </w:rPr>
            </w:pPr>
            <w:r>
              <w:rPr>
                <w:rFonts w:ascii="宋体" w:hAnsi="宋体" w:cs="宋体" w:hint="eastAsia"/>
                <w:szCs w:val="21"/>
              </w:rPr>
              <w:t>4、现场演示：无要求。</w:t>
            </w:r>
          </w:p>
        </w:tc>
      </w:tr>
      <w:tr>
        <w:tblPrEx>
          <w:tblW w:w="9533" w:type="dxa"/>
          <w:jc w:val="center"/>
          <w:tblLayout w:type="fixed"/>
          <w:tblLook w:val="04A0"/>
        </w:tblPrEx>
        <w:trPr>
          <w:trHeight w:val="623"/>
          <w:jc w:val="center"/>
        </w:trPr>
        <w:tc>
          <w:tcPr>
            <w:tcW w:w="718" w:type="dxa"/>
            <w:vAlign w:val="center"/>
          </w:tcPr>
          <w:p w:rsidR="00473C68">
            <w:pPr>
              <w:jc w:val="center"/>
              <w:rPr>
                <w:rFonts w:ascii="宋体" w:hAnsi="宋体" w:cs="宋体"/>
                <w:szCs w:val="21"/>
              </w:rPr>
            </w:pPr>
            <w:r>
              <w:rPr>
                <w:rFonts w:ascii="宋体" w:hAnsi="宋体" w:cs="宋体" w:hint="eastAsia"/>
                <w:szCs w:val="21"/>
              </w:rPr>
              <w:t>12</w:t>
            </w:r>
          </w:p>
        </w:tc>
        <w:tc>
          <w:tcPr>
            <w:tcW w:w="2123" w:type="dxa"/>
            <w:vAlign w:val="center"/>
          </w:tcPr>
          <w:p w:rsidR="00473C68">
            <w:pPr>
              <w:jc w:val="center"/>
              <w:rPr>
                <w:rFonts w:ascii="宋体" w:hAnsi="宋体" w:cs="宋体"/>
                <w:szCs w:val="21"/>
                <w:lang w:val="zh-CN"/>
              </w:rPr>
            </w:pPr>
            <w:r>
              <w:rPr>
                <w:rFonts w:ascii="宋体" w:hAnsi="宋体" w:cs="宋体" w:hint="eastAsia"/>
                <w:szCs w:val="21"/>
              </w:rPr>
              <w:t>中小企业扶持政策</w:t>
            </w:r>
          </w:p>
        </w:tc>
        <w:tc>
          <w:tcPr>
            <w:tcW w:w="6692" w:type="dxa"/>
            <w:vAlign w:val="center"/>
          </w:tcPr>
          <w:p w:rsidR="00473C68">
            <w:pPr>
              <w:pStyle w:val="1"/>
              <w:spacing w:line="240" w:lineRule="auto"/>
              <w:rPr>
                <w:rFonts w:hAnsi="宋体" w:cs="宋体"/>
                <w:sz w:val="21"/>
                <w:szCs w:val="21"/>
                <w:lang w:val="zh-CN"/>
              </w:rPr>
            </w:pPr>
            <w:r>
              <w:rPr>
                <w:rFonts w:hAnsi="宋体" w:cs="宋体" w:hint="eastAsia"/>
                <w:sz w:val="21"/>
                <w:szCs w:val="21"/>
              </w:rPr>
              <w:t>1、依据《政府采购促进中小企业发展管理办法》（财库【2020】46号）第十二条规定，享受扶持政策获得政府采购合同的，小微企业不得将合同分包给大中型企业，中型企业不得将合同分包给大型企业，否则按违约处理。</w:t>
            </w:r>
          </w:p>
        </w:tc>
      </w:tr>
      <w:tr>
        <w:tblPrEx>
          <w:tblW w:w="9533" w:type="dxa"/>
          <w:jc w:val="center"/>
          <w:tblLayout w:type="fixed"/>
          <w:tblLook w:val="04A0"/>
        </w:tblPrEx>
        <w:trPr>
          <w:trHeight w:val="161"/>
          <w:jc w:val="center"/>
        </w:trPr>
        <w:tc>
          <w:tcPr>
            <w:tcW w:w="718" w:type="dxa"/>
            <w:vAlign w:val="center"/>
          </w:tcPr>
          <w:p w:rsidR="00473C68">
            <w:pPr>
              <w:jc w:val="center"/>
              <w:rPr>
                <w:rFonts w:ascii="宋体" w:hAnsi="宋体" w:cs="宋体"/>
                <w:szCs w:val="21"/>
              </w:rPr>
            </w:pPr>
            <w:r>
              <w:rPr>
                <w:rFonts w:ascii="宋体" w:hAnsi="宋体" w:cs="宋体" w:hint="eastAsia"/>
                <w:szCs w:val="21"/>
              </w:rPr>
              <w:t>13</w:t>
            </w:r>
          </w:p>
        </w:tc>
        <w:tc>
          <w:tcPr>
            <w:tcW w:w="2123" w:type="dxa"/>
            <w:vAlign w:val="center"/>
          </w:tcPr>
          <w:p w:rsidR="00473C68">
            <w:pPr>
              <w:jc w:val="center"/>
              <w:rPr>
                <w:rFonts w:ascii="宋体" w:hAnsi="宋体" w:cs="宋体"/>
                <w:szCs w:val="21"/>
              </w:rPr>
            </w:pPr>
            <w:r>
              <w:rPr>
                <w:rFonts w:ascii="宋体" w:hAnsi="宋体" w:cs="宋体" w:hint="eastAsia"/>
                <w:szCs w:val="21"/>
              </w:rPr>
              <w:t>解释权</w:t>
            </w:r>
          </w:p>
        </w:tc>
        <w:tc>
          <w:tcPr>
            <w:tcW w:w="6692" w:type="dxa"/>
            <w:vAlign w:val="center"/>
          </w:tcPr>
          <w:p w:rsidR="00473C68">
            <w:pPr>
              <w:rPr>
                <w:rFonts w:ascii="宋体" w:hAnsi="宋体" w:cs="宋体"/>
                <w:szCs w:val="21"/>
              </w:rPr>
            </w:pPr>
            <w:r>
              <w:rPr>
                <w:rFonts w:ascii="宋体" w:hAnsi="宋体" w:cs="宋体" w:hint="eastAsia"/>
                <w:szCs w:val="21"/>
              </w:rPr>
              <w:t>本招标文件的解释权属于</w:t>
            </w:r>
            <w:r>
              <w:rPr>
                <w:rFonts w:ascii="宋体" w:hAnsi="宋体" w:cs="宋体" w:hint="eastAsia"/>
                <w:b/>
                <w:szCs w:val="21"/>
              </w:rPr>
              <w:t>台州永安工程咨询有限公司和采购人</w:t>
            </w:r>
          </w:p>
        </w:tc>
      </w:tr>
    </w:tbl>
    <w:p w:rsidR="00473C68">
      <w:pPr>
        <w:spacing w:line="360" w:lineRule="auto"/>
        <w:rPr>
          <w:rFonts w:ascii="宋体" w:hAnsi="宋体" w:cs="宋体"/>
          <w:b/>
          <w:bCs/>
          <w:szCs w:val="21"/>
        </w:rPr>
      </w:pPr>
    </w:p>
    <w:p w:rsidR="00473C68">
      <w:pPr>
        <w:spacing w:line="360" w:lineRule="auto"/>
        <w:rPr>
          <w:rFonts w:ascii="宋体" w:hAnsi="宋体" w:cs="宋体"/>
          <w:b/>
          <w:bCs/>
          <w:szCs w:val="21"/>
        </w:rPr>
      </w:pPr>
      <w:r>
        <w:rPr>
          <w:rFonts w:ascii="宋体" w:hAnsi="宋体" w:cs="宋体" w:hint="eastAsia"/>
          <w:b/>
          <w:bCs/>
          <w:szCs w:val="21"/>
        </w:rPr>
        <w:t>一、总则</w:t>
      </w:r>
    </w:p>
    <w:p w:rsidR="00473C68">
      <w:pPr>
        <w:spacing w:line="360" w:lineRule="auto"/>
        <w:ind w:firstLine="420" w:firstLineChars="200"/>
        <w:rPr>
          <w:rFonts w:ascii="宋体" w:hAnsi="宋体" w:cs="宋体"/>
          <w:b/>
          <w:bCs/>
          <w:szCs w:val="21"/>
        </w:rPr>
      </w:pPr>
      <w:r>
        <w:rPr>
          <w:rFonts w:ascii="宋体" w:hAnsi="宋体" w:cs="宋体" w:hint="eastAsia"/>
          <w:b/>
          <w:bCs/>
          <w:szCs w:val="21"/>
        </w:rPr>
        <w:t>（一） 适用范围</w:t>
      </w:r>
    </w:p>
    <w:p w:rsidR="00473C68">
      <w:pPr>
        <w:spacing w:line="360" w:lineRule="auto"/>
        <w:ind w:firstLine="420" w:firstLineChars="200"/>
        <w:rPr>
          <w:rFonts w:ascii="宋体" w:hAnsi="宋体" w:cs="宋体"/>
          <w:szCs w:val="21"/>
        </w:rPr>
      </w:pPr>
      <w:r>
        <w:rPr>
          <w:rFonts w:ascii="宋体" w:hAnsi="宋体" w:cs="宋体" w:hint="eastAsia"/>
          <w:szCs w:val="21"/>
        </w:rPr>
        <w:t>本招标文件适用于本次项目的招标、投标、评标、定标、验收、合同履约、付款等行为（法律、法规另有规定的，从其规定）。</w:t>
      </w:r>
    </w:p>
    <w:p w:rsidR="00473C68">
      <w:pPr>
        <w:spacing w:line="360" w:lineRule="auto"/>
        <w:ind w:firstLine="420" w:firstLineChars="200"/>
        <w:rPr>
          <w:rFonts w:ascii="宋体" w:hAnsi="宋体" w:cs="宋体"/>
          <w:b/>
          <w:bCs/>
          <w:szCs w:val="21"/>
        </w:rPr>
      </w:pPr>
      <w:r>
        <w:rPr>
          <w:rFonts w:ascii="宋体" w:hAnsi="宋体" w:cs="宋体" w:hint="eastAsia"/>
          <w:b/>
          <w:bCs/>
          <w:szCs w:val="21"/>
        </w:rPr>
        <w:t>（二）定义</w:t>
      </w:r>
    </w:p>
    <w:p w:rsidR="00473C68">
      <w:pPr>
        <w:spacing w:line="360" w:lineRule="auto"/>
        <w:ind w:firstLine="420" w:firstLineChars="200"/>
        <w:rPr>
          <w:rFonts w:ascii="宋体" w:hAnsi="宋体" w:cs="宋体"/>
          <w:szCs w:val="21"/>
        </w:rPr>
      </w:pPr>
      <w:r>
        <w:rPr>
          <w:rFonts w:ascii="宋体" w:hAnsi="宋体" w:cs="宋体" w:hint="eastAsia"/>
          <w:szCs w:val="21"/>
        </w:rPr>
        <w:t>1、</w:t>
      </w:r>
      <w:r>
        <w:rPr>
          <w:rFonts w:ascii="宋体" w:hAnsi="宋体" w:cs="宋体" w:hint="eastAsia"/>
          <w:szCs w:val="21"/>
          <w:lang w:val="zh-CN"/>
        </w:rPr>
        <w:t>“采购组织机构”指采购人委托组织招标的采购代理机构。</w:t>
      </w:r>
    </w:p>
    <w:p w:rsidR="00473C68">
      <w:pPr>
        <w:spacing w:line="360" w:lineRule="auto"/>
        <w:ind w:firstLine="420" w:firstLineChars="200"/>
        <w:rPr>
          <w:rFonts w:ascii="宋体" w:hAnsi="宋体" w:cs="宋体"/>
          <w:szCs w:val="21"/>
        </w:rPr>
      </w:pPr>
      <w:r>
        <w:rPr>
          <w:rFonts w:ascii="宋体" w:hAnsi="宋体" w:cs="宋体" w:hint="eastAsia"/>
          <w:szCs w:val="21"/>
        </w:rPr>
        <w:t>2、采购人：是指委托</w:t>
      </w:r>
      <w:r>
        <w:rPr>
          <w:rFonts w:ascii="宋体" w:hAnsi="宋体" w:cs="宋体" w:hint="eastAsia"/>
          <w:szCs w:val="21"/>
          <w:lang w:val="zh-CN"/>
        </w:rPr>
        <w:t>采购代理机构</w:t>
      </w:r>
      <w:r>
        <w:rPr>
          <w:rFonts w:ascii="宋体" w:hAnsi="宋体" w:cs="宋体" w:hint="eastAsia"/>
          <w:szCs w:val="21"/>
        </w:rPr>
        <w:t>采购本次项目的国家机关、事业单位和团体组织。</w:t>
      </w:r>
    </w:p>
    <w:p w:rsidR="00473C68">
      <w:pPr>
        <w:spacing w:line="360" w:lineRule="auto"/>
        <w:ind w:firstLine="420" w:firstLineChars="200"/>
        <w:rPr>
          <w:rFonts w:ascii="宋体" w:hAnsi="宋体" w:cs="宋体"/>
          <w:szCs w:val="21"/>
        </w:rPr>
      </w:pPr>
      <w:r>
        <w:rPr>
          <w:rFonts w:ascii="宋体" w:hAnsi="宋体" w:cs="宋体" w:hint="eastAsia"/>
          <w:szCs w:val="21"/>
        </w:rPr>
        <w:t>3、投标人：是指向采购</w:t>
      </w:r>
      <w:r>
        <w:rPr>
          <w:rFonts w:ascii="宋体" w:hAnsi="宋体" w:cs="宋体" w:hint="eastAsia"/>
          <w:szCs w:val="21"/>
          <w:lang w:val="zh-CN"/>
        </w:rPr>
        <w:t>组织</w:t>
      </w:r>
      <w:r>
        <w:rPr>
          <w:rFonts w:ascii="宋体" w:hAnsi="宋体" w:cs="宋体" w:hint="eastAsia"/>
          <w:szCs w:val="21"/>
        </w:rPr>
        <w:t>机构提交投标文件的单位或个人。</w:t>
      </w:r>
    </w:p>
    <w:p w:rsidR="00473C68">
      <w:pPr>
        <w:spacing w:line="360" w:lineRule="auto"/>
        <w:ind w:firstLine="420" w:firstLineChars="200"/>
        <w:rPr>
          <w:rFonts w:ascii="宋体" w:hAnsi="宋体" w:cs="宋体"/>
          <w:szCs w:val="21"/>
        </w:rPr>
      </w:pPr>
      <w:r>
        <w:rPr>
          <w:rFonts w:ascii="宋体" w:hAnsi="宋体" w:cs="宋体" w:hint="eastAsia"/>
          <w:szCs w:val="21"/>
        </w:rPr>
        <w:t>4、货物：是指各种形态和种类的物品，包括原材料、燃料、设备、产品等。</w:t>
      </w:r>
    </w:p>
    <w:p w:rsidR="00473C68">
      <w:pPr>
        <w:spacing w:line="360" w:lineRule="auto"/>
        <w:ind w:firstLine="420" w:firstLineChars="200"/>
        <w:rPr>
          <w:rFonts w:ascii="宋体" w:hAnsi="宋体" w:cs="宋体"/>
          <w:szCs w:val="21"/>
        </w:rPr>
      </w:pPr>
      <w:r>
        <w:rPr>
          <w:rFonts w:ascii="宋体" w:hAnsi="宋体" w:cs="宋体" w:hint="eastAsia"/>
          <w:szCs w:val="21"/>
        </w:rPr>
        <w:t>5、服务：是指除货物和工程以外的政府采购对象，包括各类专业服务、信息网络开发服务、金融保险服务、运输服务，以及维修与维护服务等。</w:t>
      </w:r>
    </w:p>
    <w:p w:rsidR="00473C68">
      <w:pPr>
        <w:spacing w:line="360" w:lineRule="auto"/>
        <w:ind w:firstLine="420" w:firstLineChars="200"/>
        <w:rPr>
          <w:rFonts w:ascii="宋体" w:hAnsi="宋体" w:cs="宋体"/>
          <w:szCs w:val="21"/>
        </w:rPr>
      </w:pPr>
      <w:r>
        <w:rPr>
          <w:rFonts w:ascii="宋体" w:hAnsi="宋体" w:cs="宋体" w:hint="eastAsia"/>
          <w:szCs w:val="21"/>
        </w:rPr>
        <w:t>6、“书面形式”包括信函、传真等。</w:t>
      </w:r>
    </w:p>
    <w:p w:rsidR="00473C68">
      <w:pPr>
        <w:spacing w:line="360" w:lineRule="auto"/>
        <w:ind w:firstLine="420" w:firstLineChars="200"/>
        <w:jc w:val="left"/>
        <w:rPr>
          <w:rFonts w:ascii="宋体" w:hAnsi="宋体" w:cs="宋体"/>
          <w:szCs w:val="21"/>
        </w:rPr>
      </w:pPr>
      <w:r>
        <w:rPr>
          <w:rFonts w:ascii="宋体" w:hAnsi="宋体" w:cs="宋体" w:hint="eastAsia"/>
          <w:szCs w:val="21"/>
        </w:rPr>
        <w:t>7、“▲”系指实质性要求条款。</w:t>
      </w:r>
    </w:p>
    <w:p w:rsidR="00473C68">
      <w:pPr>
        <w:spacing w:line="360" w:lineRule="auto"/>
        <w:ind w:firstLine="420" w:firstLineChars="200"/>
        <w:jc w:val="left"/>
        <w:rPr>
          <w:rFonts w:ascii="宋体" w:hAnsi="宋体" w:cs="宋体"/>
          <w:b/>
          <w:bCs/>
          <w:szCs w:val="21"/>
        </w:rPr>
      </w:pPr>
      <w:r>
        <w:rPr>
          <w:rFonts w:ascii="宋体" w:hAnsi="宋体" w:cs="宋体" w:hint="eastAsia"/>
          <w:b/>
          <w:bCs/>
          <w:szCs w:val="21"/>
        </w:rPr>
        <w:t>（三）投标费用</w:t>
      </w:r>
    </w:p>
    <w:p w:rsidR="00473C68">
      <w:pPr>
        <w:spacing w:line="360" w:lineRule="auto"/>
        <w:ind w:firstLine="420" w:firstLineChars="200"/>
        <w:jc w:val="left"/>
        <w:rPr>
          <w:rFonts w:ascii="宋体" w:hAnsi="宋体" w:cs="宋体"/>
          <w:szCs w:val="21"/>
        </w:rPr>
      </w:pPr>
      <w:r>
        <w:rPr>
          <w:rFonts w:ascii="宋体" w:hAnsi="宋体" w:cs="宋体" w:hint="eastAsia"/>
          <w:szCs w:val="21"/>
        </w:rPr>
        <w:t>不论投标结果如何，投标人均应自行承担所有与投标有关的全部费用（招标文件有相关规定除外）。</w:t>
      </w:r>
    </w:p>
    <w:p w:rsidR="00473C68">
      <w:pPr>
        <w:spacing w:line="360" w:lineRule="auto"/>
        <w:ind w:firstLine="420" w:firstLineChars="200"/>
        <w:jc w:val="left"/>
        <w:rPr>
          <w:rFonts w:ascii="宋体" w:hAnsi="宋体" w:cs="宋体"/>
          <w:b/>
          <w:bCs/>
          <w:szCs w:val="21"/>
        </w:rPr>
        <w:sectPr>
          <w:headerReference w:type="default" r:id="rId29"/>
          <w:footerReference w:type="default" r:id="rId30"/>
          <w:type w:val="nextPage"/>
          <w:pgSz w:w="11906" w:h="16838"/>
          <w:pgMar w:top="1440" w:right="1440" w:bottom="1440" w:left="1803" w:header="851" w:footer="992" w:gutter="0"/>
          <w:pgNumType w:start="11"/>
          <w:cols w:space="0"/>
          <w:titlePg w:val="0"/>
          <w:docGrid w:type="lines" w:linePitch="325"/>
        </w:sectPr>
      </w:pPr>
      <w:r>
        <w:rPr>
          <w:rFonts w:ascii="宋体" w:hAnsi="宋体" w:cs="宋体" w:hint="eastAsia"/>
          <w:b/>
          <w:bCs/>
          <w:szCs w:val="21"/>
        </w:rPr>
        <w:t>（四）特别说明</w:t>
      </w:r>
    </w:p>
    <w:p w:rsidR="00473C68">
      <w:pPr>
        <w:spacing w:line="360" w:lineRule="auto"/>
        <w:ind w:firstLine="420" w:firstLineChars="200"/>
        <w:jc w:val="left"/>
        <w:rPr>
          <w:rFonts w:ascii="宋体" w:hAnsi="宋体" w:cs="宋体"/>
          <w:szCs w:val="21"/>
        </w:rPr>
      </w:pPr>
      <w:r>
        <w:rPr>
          <w:rFonts w:ascii="宋体" w:hAnsi="宋体" w:cs="宋体" w:hint="eastAsia"/>
          <w:szCs w:val="21"/>
        </w:rPr>
        <w:t>1、投标人投标所使用的资格、信誉、荣誉、业绩与企业认证必须为本法人所拥有。投标人投标所使用的采购项目实施人员必须为本法人员工。▲其中涉及资格条件的如非本法人所拥有，则投标无效。</w:t>
      </w:r>
    </w:p>
    <w:p w:rsidR="00473C68">
      <w:pPr>
        <w:spacing w:line="360" w:lineRule="auto"/>
        <w:ind w:firstLine="420" w:firstLineChars="200"/>
        <w:jc w:val="left"/>
        <w:rPr>
          <w:rFonts w:ascii="宋体" w:hAnsi="宋体" w:cs="宋体"/>
          <w:szCs w:val="21"/>
        </w:rPr>
      </w:pPr>
      <w:r>
        <w:rPr>
          <w:rFonts w:ascii="宋体" w:hAnsi="宋体" w:cs="宋体" w:hint="eastAsia"/>
          <w:szCs w:val="21"/>
        </w:rPr>
        <w:t>2、投标供应商所投产品除招标文件中明确规定要求“提供官网截图或相应检测报告的证明材料”以外，所有技术参数描述均以投标文件为准。投标供应商对所投产品技术参数的真实性承担法律责任。项目招标结束后、质疑期限内，如有质疑供应商认为中标供应商所投产品、投标文件技术参数与招标需求存在重大偏离、错误、甚至造假的情况，应提供具体有效的证明材料。</w:t>
      </w:r>
      <w:r>
        <w:rPr>
          <w:rFonts w:ascii="宋体" w:hAnsi="宋体" w:cs="宋体" w:hint="eastAsia"/>
          <w:szCs w:val="21"/>
        </w:rPr>
        <w:tab/>
      </w:r>
    </w:p>
    <w:p w:rsidR="00473C68">
      <w:pPr>
        <w:spacing w:line="360" w:lineRule="auto"/>
        <w:ind w:firstLine="420" w:firstLineChars="200"/>
        <w:rPr>
          <w:rFonts w:ascii="宋体" w:hAnsi="宋体" w:cs="宋体"/>
          <w:szCs w:val="21"/>
        </w:rPr>
      </w:pPr>
      <w:r>
        <w:rPr>
          <w:rFonts w:ascii="宋体" w:hAnsi="宋体" w:cs="宋体" w:hint="eastAsia"/>
          <w:szCs w:val="21"/>
        </w:rPr>
        <w:t>▲3、投标人在投标活动中提供任何虚假材料,其投标无效，并报监管部门查处；中标后发现的,根据《中华人民共和国政府采购法》第七十七条第一款第一项之规定，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rsidR="00473C68">
      <w:pPr>
        <w:spacing w:line="360" w:lineRule="auto"/>
        <w:ind w:firstLine="420" w:firstLineChars="200"/>
        <w:rPr>
          <w:rFonts w:ascii="宋体" w:hAnsi="宋体" w:cs="宋体"/>
          <w:szCs w:val="21"/>
        </w:rPr>
      </w:pPr>
      <w:r>
        <w:rPr>
          <w:rFonts w:ascii="宋体" w:hAnsi="宋体" w:cs="宋体" w:hint="eastAsia"/>
          <w:szCs w:val="21"/>
        </w:rPr>
        <w:t>▲4、投标人不得相互串通投标报价，不得妨碍其他投标人的公平竞争，不得损害采购人或其他投标人的合法权益，投标人不得以向采购人、评标委员会成员行贿或者采取其他不正当手段谋取中标。</w:t>
      </w:r>
    </w:p>
    <w:p w:rsidR="00473C68">
      <w:pPr>
        <w:spacing w:line="360" w:lineRule="auto"/>
        <w:ind w:firstLine="420" w:firstLineChars="200"/>
        <w:rPr>
          <w:rFonts w:ascii="宋体" w:hAnsi="宋体" w:cs="宋体"/>
          <w:szCs w:val="21"/>
        </w:rPr>
      </w:pPr>
      <w:r>
        <w:rPr>
          <w:rFonts w:ascii="宋体" w:hAnsi="宋体" w:cs="宋体" w:hint="eastAsia"/>
          <w:szCs w:val="21"/>
        </w:rPr>
        <w:t>▲5、为采购项目提供整体设计、规范编制或者项目管理、监理、检测等服务的供应商，不得再参加该采购项目的其他采购活动。</w:t>
      </w:r>
    </w:p>
    <w:p w:rsidR="00473C68">
      <w:pPr>
        <w:spacing w:line="360" w:lineRule="auto"/>
        <w:ind w:firstLine="420" w:firstLineChars="200"/>
        <w:rPr>
          <w:rFonts w:ascii="宋体" w:hAnsi="宋体" w:cs="宋体"/>
          <w:szCs w:val="21"/>
        </w:rPr>
      </w:pPr>
      <w:r>
        <w:rPr>
          <w:rFonts w:ascii="宋体" w:hAnsi="宋体" w:cs="宋体" w:hint="eastAsia"/>
          <w:szCs w:val="21"/>
        </w:rPr>
        <w:t>6、投标文件格式中的表格式样可以根据项目差别做适当调整,但应当保持表格样式基本形态不变。</w:t>
      </w:r>
    </w:p>
    <w:p w:rsidR="00473C68">
      <w:pPr>
        <w:spacing w:line="360" w:lineRule="auto"/>
        <w:ind w:firstLine="420" w:firstLineChars="200"/>
        <w:rPr>
          <w:rFonts w:ascii="宋体" w:hAnsi="宋体" w:cs="宋体"/>
          <w:szCs w:val="21"/>
        </w:rPr>
      </w:pPr>
      <w:r>
        <w:rPr>
          <w:rFonts w:ascii="宋体" w:hAnsi="宋体" w:cs="宋体" w:hint="eastAsia"/>
          <w:szCs w:val="21"/>
        </w:rPr>
        <w:t>▲7、单位负责人为同一人或者存在直接控股、管理关系的不同供应商，不得参加同一合同项下的政府采购活动。电子交易平台运营机构，以及与该机构有直接控股或者管理关系可能影响采购公正性的任何单位和个人，不得在该平台进行的政府采购项目电子交易中投标、响应和代理政府采购项目。</w:t>
      </w:r>
    </w:p>
    <w:p w:rsidR="00473C68">
      <w:pPr>
        <w:spacing w:line="360" w:lineRule="auto"/>
        <w:ind w:firstLine="420" w:firstLineChars="200"/>
        <w:rPr>
          <w:rFonts w:ascii="宋体" w:hAnsi="宋体" w:cs="宋体"/>
          <w:szCs w:val="21"/>
        </w:rPr>
        <w:sectPr>
          <w:headerReference w:type="default" r:id="rId31"/>
          <w:footerReference w:type="default" r:id="rId32"/>
          <w:type w:val="nextPage"/>
          <w:pgSz w:w="11906" w:h="16838"/>
          <w:pgMar w:top="1440" w:right="1440" w:bottom="1440" w:left="1803" w:header="851" w:footer="992" w:gutter="0"/>
          <w:pgNumType w:start="12"/>
          <w:cols w:space="0"/>
          <w:titlePg w:val="0"/>
          <w:docGrid w:type="lines" w:linePitch="325"/>
        </w:sectPr>
      </w:pPr>
      <w:r>
        <w:rPr>
          <w:rFonts w:ascii="宋体" w:hAnsi="宋体" w:cs="宋体" w:hint="eastAsia"/>
          <w:szCs w:val="21"/>
        </w:rPr>
        <w:t>▲8、投标人在参与政府采购活动中所签署的一切文件，包括但不限于签到表、《政府采购活动现场确认声明书》等文件，特别是有关利害关系应如实填写、如实披露，投标人授权参与政府采购的人员视为应当知道与招标人、其他投标人之间的利害关系。如未如实披露，则视为提供虚假材料，由投标人承担不利后果。</w:t>
      </w:r>
    </w:p>
    <w:p w:rsidR="00473C68">
      <w:pPr>
        <w:spacing w:line="360" w:lineRule="auto"/>
        <w:ind w:firstLine="420" w:firstLineChars="200"/>
        <w:rPr>
          <w:rFonts w:ascii="宋体" w:hAnsi="宋体" w:cs="宋体"/>
          <w:szCs w:val="21"/>
        </w:rPr>
      </w:pPr>
      <w:r>
        <w:rPr>
          <w:rFonts w:ascii="宋体" w:hAnsi="宋体" w:cs="宋体" w:hint="eastAsia"/>
          <w:szCs w:val="21"/>
        </w:rPr>
        <w:t>▲9、本项目不允许转包、分包。</w:t>
      </w:r>
    </w:p>
    <w:p w:rsidR="00473C68">
      <w:pPr>
        <w:spacing w:line="360" w:lineRule="auto"/>
        <w:rPr>
          <w:rFonts w:ascii="宋体" w:hAnsi="宋体" w:cs="宋体"/>
          <w:szCs w:val="21"/>
        </w:rPr>
      </w:pPr>
      <w:r>
        <w:rPr>
          <w:rFonts w:ascii="宋体" w:hAnsi="宋体" w:cs="宋体" w:hint="eastAsia"/>
          <w:b/>
          <w:bCs/>
          <w:szCs w:val="21"/>
        </w:rPr>
        <w:t>二、招标文件</w:t>
      </w:r>
    </w:p>
    <w:p w:rsidR="00473C68">
      <w:pPr>
        <w:spacing w:line="360" w:lineRule="auto"/>
        <w:ind w:firstLine="420" w:firstLineChars="200"/>
        <w:rPr>
          <w:rFonts w:ascii="宋体" w:hAnsi="宋体" w:cs="宋体"/>
          <w:szCs w:val="21"/>
        </w:rPr>
      </w:pPr>
      <w:r>
        <w:rPr>
          <w:rFonts w:ascii="宋体" w:hAnsi="宋体" w:cs="宋体" w:hint="eastAsia"/>
          <w:szCs w:val="21"/>
        </w:rPr>
        <w:t>（一）招标文件由招标文件总目录所列内容组成。</w:t>
      </w:r>
    </w:p>
    <w:p w:rsidR="00473C68">
      <w:pPr>
        <w:spacing w:line="360" w:lineRule="auto"/>
        <w:ind w:firstLine="420" w:firstLineChars="200"/>
        <w:rPr>
          <w:rFonts w:ascii="宋体" w:hAnsi="宋体" w:cs="宋体"/>
          <w:szCs w:val="21"/>
        </w:rPr>
      </w:pPr>
      <w:r>
        <w:rPr>
          <w:rFonts w:ascii="宋体" w:hAnsi="宋体" w:cs="宋体" w:hint="eastAsia"/>
          <w:szCs w:val="21"/>
        </w:rPr>
        <w:t>（二）招标文件的澄清或修改</w:t>
      </w:r>
    </w:p>
    <w:p w:rsidR="00473C68">
      <w:pPr>
        <w:spacing w:line="360" w:lineRule="auto"/>
        <w:ind w:firstLine="420" w:firstLineChars="200"/>
        <w:rPr>
          <w:rFonts w:ascii="宋体" w:hAnsi="宋体" w:cs="宋体"/>
          <w:szCs w:val="21"/>
        </w:rPr>
      </w:pPr>
      <w:r>
        <w:rPr>
          <w:rFonts w:ascii="宋体" w:hAnsi="宋体" w:cs="宋体" w:hint="eastAsia"/>
          <w:szCs w:val="21"/>
        </w:rPr>
        <w:t xml:space="preserve">1、采购代理机构可视采购具体情况对已发出的招标文件进行必要的澄清或者修改。澄清或者修改的内容可能影响投标文件编制的，采购人或者采购代理机构应当在投标截止时间至少15日前，在原公告发布媒体上发布澄清公告，澄清或者修改的内容为招标文件的组成部分；不足15日的，采购人或者采购代理机构应当顺延提交投标文件的截止时间。 </w:t>
      </w:r>
    </w:p>
    <w:p w:rsidR="00473C68">
      <w:pPr>
        <w:spacing w:line="360" w:lineRule="auto"/>
        <w:ind w:firstLine="420" w:firstLineChars="200"/>
        <w:rPr>
          <w:rFonts w:ascii="宋体" w:hAnsi="宋体" w:cs="宋体"/>
          <w:szCs w:val="21"/>
        </w:rPr>
      </w:pPr>
      <w:r>
        <w:rPr>
          <w:rFonts w:ascii="宋体" w:hAnsi="宋体" w:cs="宋体" w:hint="eastAsia"/>
          <w:szCs w:val="21"/>
        </w:rPr>
        <w:t>2、投标人在规定的时间内未对招标文件提出疑问、质疑或要求澄清的，将视其为无异议。对招标文件中描述有歧义或前后不一致的地方，评标委员会有权进行评判，但对同一条款的评判应适用于每个投标人。</w:t>
      </w:r>
    </w:p>
    <w:p w:rsidR="00473C68">
      <w:pPr>
        <w:spacing w:line="360" w:lineRule="auto"/>
        <w:rPr>
          <w:rFonts w:ascii="宋体" w:hAnsi="宋体" w:cs="宋体"/>
          <w:b/>
          <w:bCs/>
          <w:szCs w:val="21"/>
        </w:rPr>
      </w:pPr>
      <w:r>
        <w:rPr>
          <w:rFonts w:ascii="宋体" w:hAnsi="宋体" w:cs="宋体" w:hint="eastAsia"/>
          <w:b/>
          <w:bCs/>
          <w:szCs w:val="21"/>
        </w:rPr>
        <w:t>三、投标文件</w:t>
      </w:r>
    </w:p>
    <w:p w:rsidR="00473C68">
      <w:pPr>
        <w:spacing w:line="360" w:lineRule="auto"/>
        <w:ind w:firstLine="420" w:firstLineChars="200"/>
        <w:rPr>
          <w:rFonts w:ascii="宋体" w:hAnsi="宋体" w:cs="宋体"/>
          <w:bCs/>
          <w:szCs w:val="21"/>
        </w:rPr>
      </w:pPr>
      <w:r>
        <w:rPr>
          <w:rFonts w:ascii="宋体" w:hAnsi="宋体" w:cs="宋体" w:hint="eastAsia"/>
          <w:bCs/>
          <w:szCs w:val="21"/>
        </w:rPr>
        <w:t>本项目实行电子投标，供应商应准备电子投标文件、还可以提供备份投标文件。</w:t>
      </w:r>
    </w:p>
    <w:p w:rsidR="00473C68">
      <w:pPr>
        <w:snapToGrid w:val="0"/>
        <w:spacing w:line="360" w:lineRule="auto"/>
        <w:ind w:firstLine="412" w:firstLineChars="196"/>
        <w:jc w:val="left"/>
        <w:rPr>
          <w:rFonts w:ascii="宋体" w:hAnsi="宋体" w:cs="宋体"/>
          <w:bCs/>
          <w:szCs w:val="21"/>
        </w:rPr>
      </w:pPr>
      <w:r>
        <w:rPr>
          <w:rFonts w:ascii="宋体" w:hAnsi="宋体" w:cs="宋体" w:hint="eastAsia"/>
          <w:bCs/>
          <w:szCs w:val="21"/>
        </w:rPr>
        <w:t>1、</w:t>
      </w:r>
      <w:r>
        <w:rPr>
          <w:rFonts w:ascii="宋体" w:hAnsi="宋体" w:cs="宋体" w:hint="eastAsia"/>
          <w:bCs/>
          <w:szCs w:val="21"/>
          <w:lang w:val="zh-CN"/>
        </w:rPr>
        <w:t>电子投标文件按</w:t>
      </w:r>
      <w:r>
        <w:rPr>
          <w:rFonts w:ascii="宋体" w:hAnsi="宋体" w:cs="宋体" w:hint="eastAsia"/>
          <w:bCs/>
          <w:szCs w:val="21"/>
        </w:rPr>
        <w:t>政府采购</w:t>
      </w:r>
      <w:r>
        <w:rPr>
          <w:rFonts w:ascii="宋体" w:hAnsi="宋体" w:cs="宋体" w:hint="eastAsia"/>
          <w:bCs/>
          <w:szCs w:val="21"/>
          <w:lang w:val="zh-CN"/>
        </w:rPr>
        <w:t>云平台供应商项目采购</w:t>
      </w:r>
      <w:r>
        <w:rPr>
          <w:rFonts w:ascii="宋体" w:hAnsi="宋体" w:cs="宋体" w:hint="eastAsia"/>
          <w:bCs/>
          <w:szCs w:val="21"/>
        </w:rPr>
        <w:t>-</w:t>
      </w:r>
      <w:r>
        <w:rPr>
          <w:rFonts w:ascii="宋体" w:hAnsi="宋体" w:cs="宋体" w:hint="eastAsia"/>
          <w:bCs/>
          <w:szCs w:val="21"/>
          <w:lang w:val="zh-CN"/>
        </w:rPr>
        <w:t>电子招投标操作指南</w:t>
      </w:r>
      <w:r>
        <w:rPr>
          <w:rFonts w:ascii="宋体" w:hAnsi="宋体" w:cs="宋体" w:hint="eastAsia"/>
          <w:bCs/>
          <w:szCs w:val="21"/>
        </w:rPr>
        <w:t>（</w:t>
      </w:r>
      <w:r>
        <w:rPr>
          <w:rFonts w:ascii="宋体" w:hAnsi="宋体" w:cs="宋体" w:hint="eastAsia"/>
          <w:bCs/>
          <w:szCs w:val="21"/>
          <w:lang w:val="zh-CN"/>
        </w:rPr>
        <w:t>网址</w:t>
      </w:r>
      <w:r>
        <w:rPr>
          <w:rFonts w:ascii="宋体" w:hAnsi="宋体" w:cs="宋体" w:hint="eastAsia"/>
          <w:bCs/>
          <w:szCs w:val="21"/>
        </w:rPr>
        <w:t>：https://help.zcygov.cn/web/site_2/2018/12-28/2573.html）</w:t>
      </w:r>
      <w:r>
        <w:rPr>
          <w:rFonts w:ascii="宋体" w:hAnsi="宋体" w:cs="宋体" w:hint="eastAsia"/>
          <w:bCs/>
          <w:szCs w:val="21"/>
          <w:lang w:val="zh-CN"/>
        </w:rPr>
        <w:t>及本招标文件要求制作、加密并</w:t>
      </w:r>
      <w:r>
        <w:rPr>
          <w:rFonts w:ascii="宋体" w:hAnsi="宋体" w:cs="宋体" w:hint="eastAsia"/>
          <w:bCs/>
          <w:szCs w:val="21"/>
        </w:rPr>
        <w:t>传输</w:t>
      </w:r>
      <w:r>
        <w:rPr>
          <w:rFonts w:ascii="宋体" w:hAnsi="宋体" w:cs="宋体" w:hint="eastAsia"/>
          <w:bCs/>
          <w:szCs w:val="21"/>
          <w:lang w:val="zh-CN"/>
        </w:rPr>
        <w:t>递交。</w:t>
      </w:r>
    </w:p>
    <w:p w:rsidR="00473C68">
      <w:pPr>
        <w:snapToGrid w:val="0"/>
        <w:spacing w:line="360" w:lineRule="auto"/>
        <w:ind w:firstLine="412" w:firstLineChars="196"/>
        <w:jc w:val="left"/>
        <w:rPr>
          <w:rFonts w:ascii="宋体" w:hAnsi="宋体" w:cs="宋体"/>
          <w:bCs/>
          <w:szCs w:val="21"/>
        </w:rPr>
      </w:pPr>
      <w:r>
        <w:rPr>
          <w:rFonts w:ascii="宋体" w:hAnsi="宋体" w:cs="宋体" w:hint="eastAsia"/>
          <w:bCs/>
          <w:szCs w:val="21"/>
        </w:rPr>
        <w:t>2、</w:t>
      </w:r>
      <w:r>
        <w:rPr>
          <w:rFonts w:ascii="宋体" w:hAnsi="宋体" w:cs="宋体" w:hint="eastAsia"/>
          <w:szCs w:val="21"/>
          <w:lang w:val="zh-CN"/>
        </w:rPr>
        <w:t>备份投标文件是指“电子投标文件”同时生成的数据电文形式的电子文件（备份标书），以U盘形式提供。</w:t>
      </w:r>
    </w:p>
    <w:p w:rsidR="00473C68">
      <w:pPr>
        <w:spacing w:line="360" w:lineRule="auto"/>
        <w:ind w:firstLine="420" w:firstLineChars="200"/>
        <w:rPr>
          <w:rFonts w:ascii="宋体" w:hAnsi="宋体" w:cs="宋体"/>
          <w:szCs w:val="21"/>
          <w:u w:val="single"/>
        </w:rPr>
      </w:pPr>
      <w:r>
        <w:rPr>
          <w:rFonts w:ascii="宋体" w:hAnsi="宋体" w:cs="宋体" w:hint="eastAsia"/>
          <w:szCs w:val="21"/>
          <w:u w:val="single"/>
        </w:rPr>
        <w:t>3、投标文件启用顺序和效力：投标文件的启用，按先后顺位分别为电子投标文件、以介质（U盘）存储的数据电文形式的备份投标文件。如果某位投标人的电子投标文件无法按时解密的，可启用以介质（U盘）存储的数据电文形式的备份投标文件。</w:t>
      </w:r>
    </w:p>
    <w:p w:rsidR="00473C68">
      <w:pPr>
        <w:snapToGrid w:val="0"/>
        <w:spacing w:line="360" w:lineRule="auto"/>
        <w:ind w:firstLine="420" w:firstLineChars="200"/>
        <w:jc w:val="left"/>
        <w:rPr>
          <w:rFonts w:ascii="宋体" w:hAnsi="宋体" w:cs="宋体"/>
          <w:bCs/>
          <w:szCs w:val="21"/>
        </w:rPr>
      </w:pPr>
      <w:r>
        <w:rPr>
          <w:rFonts w:ascii="宋体" w:hAnsi="宋体" w:cs="宋体" w:hint="eastAsia"/>
          <w:bCs/>
          <w:szCs w:val="21"/>
        </w:rPr>
        <w:t>▲未传输递交电子投标文件及未按规定提供相应的备份投标文件的，投标无效。</w:t>
      </w:r>
    </w:p>
    <w:p w:rsidR="00473C68">
      <w:pPr>
        <w:spacing w:line="360" w:lineRule="auto"/>
        <w:ind w:firstLine="420" w:firstLineChars="200"/>
        <w:rPr>
          <w:rFonts w:ascii="宋体" w:hAnsi="宋体" w:cs="宋体"/>
          <w:szCs w:val="21"/>
        </w:rPr>
      </w:pPr>
      <w:r>
        <w:rPr>
          <w:rFonts w:ascii="宋体" w:hAnsi="宋体" w:cs="宋体" w:hint="eastAsia"/>
          <w:b/>
          <w:bCs/>
          <w:szCs w:val="21"/>
          <w:lang w:val="zh-CN"/>
        </w:rPr>
        <w:t>（一）</w:t>
      </w:r>
      <w:r>
        <w:rPr>
          <w:rFonts w:ascii="宋体" w:hAnsi="宋体" w:cs="宋体" w:hint="eastAsia"/>
          <w:b/>
          <w:bCs/>
          <w:szCs w:val="21"/>
        </w:rPr>
        <w:t>投标文件的组成</w:t>
      </w:r>
    </w:p>
    <w:p w:rsidR="00473C68">
      <w:pPr>
        <w:spacing w:line="360" w:lineRule="auto"/>
        <w:ind w:firstLine="420" w:firstLineChars="200"/>
        <w:rPr>
          <w:rFonts w:ascii="宋体" w:hAnsi="宋体" w:cs="宋体"/>
          <w:szCs w:val="21"/>
        </w:rPr>
      </w:pPr>
      <w:r>
        <w:rPr>
          <w:rFonts w:ascii="宋体" w:hAnsi="宋体" w:cs="宋体" w:hint="eastAsia"/>
          <w:szCs w:val="21"/>
        </w:rPr>
        <w:t>投标人接到招标文件后，按照招标文件的要求提供投标文件（包含电子投标文件和备份投标文件）：由资格证明文件、商务与技术文件和报价文件三部分组成。</w:t>
      </w:r>
    </w:p>
    <w:p w:rsidR="00473C68">
      <w:pPr>
        <w:spacing w:line="360" w:lineRule="auto"/>
        <w:ind w:firstLine="420" w:firstLineChars="200"/>
        <w:rPr>
          <w:rFonts w:ascii="宋体" w:hAnsi="宋体" w:cs="宋体"/>
          <w:szCs w:val="21"/>
          <w:lang w:val="zh-CN"/>
        </w:rPr>
      </w:pPr>
      <w:r>
        <w:rPr>
          <w:rFonts w:ascii="宋体" w:hAnsi="宋体" w:cs="宋体" w:hint="eastAsia"/>
          <w:szCs w:val="21"/>
          <w:lang w:val="zh-CN"/>
        </w:rPr>
        <w:t>【特别提示：如有要求提供资料原件的，原件另行包装，并与投标文件一起提交，投标截止时间后所有原件不予接收。资料原件也可以用与原件相符的公证原件替代】</w:t>
      </w:r>
    </w:p>
    <w:p w:rsidR="00473C68">
      <w:pPr>
        <w:spacing w:line="360" w:lineRule="auto"/>
        <w:ind w:firstLine="420" w:firstLineChars="200"/>
        <w:rPr>
          <w:rFonts w:ascii="宋体" w:hAnsi="宋体" w:cs="宋体"/>
          <w:szCs w:val="21"/>
        </w:rPr>
      </w:pPr>
      <w:r>
        <w:rPr>
          <w:rFonts w:ascii="宋体" w:hAnsi="宋体" w:cs="宋体" w:hint="eastAsia"/>
          <w:szCs w:val="21"/>
        </w:rPr>
        <w:t>▲</w:t>
      </w:r>
      <w:r>
        <w:rPr>
          <w:rFonts w:ascii="宋体" w:hAnsi="宋体" w:cs="宋体" w:hint="eastAsia"/>
          <w:b/>
          <w:bCs/>
          <w:szCs w:val="21"/>
        </w:rPr>
        <w:t>1、资格证明文件的组成：</w:t>
      </w:r>
    </w:p>
    <w:p w:rsidR="00473C68">
      <w:pPr>
        <w:spacing w:line="360" w:lineRule="auto"/>
        <w:ind w:firstLine="420" w:firstLineChars="200"/>
        <w:rPr>
          <w:rFonts w:ascii="宋体" w:hAnsi="宋体" w:cs="宋体"/>
          <w:szCs w:val="21"/>
        </w:rPr>
        <w:sectPr>
          <w:headerReference w:type="default" r:id="rId33"/>
          <w:footerReference w:type="default" r:id="rId34"/>
          <w:type w:val="nextPage"/>
          <w:pgSz w:w="11906" w:h="16838"/>
          <w:pgMar w:top="1440" w:right="1440" w:bottom="1440" w:left="1803" w:header="851" w:footer="992" w:gutter="0"/>
          <w:pgNumType w:start="13"/>
          <w:cols w:space="0"/>
          <w:titlePg w:val="0"/>
          <w:docGrid w:type="lines" w:linePitch="325"/>
        </w:sectPr>
      </w:pPr>
      <w:r>
        <w:rPr>
          <w:rFonts w:ascii="宋体" w:hAnsi="宋体" w:cs="宋体" w:hint="eastAsia"/>
          <w:szCs w:val="21"/>
        </w:rPr>
        <w:t>（1）投标声明书；</w:t>
      </w:r>
    </w:p>
    <w:p w:rsidR="00473C68">
      <w:pPr>
        <w:spacing w:line="360" w:lineRule="auto"/>
        <w:ind w:firstLine="420" w:firstLineChars="200"/>
        <w:rPr>
          <w:rFonts w:ascii="宋体" w:hAnsi="宋体" w:cs="宋体"/>
          <w:szCs w:val="21"/>
        </w:rPr>
      </w:pPr>
      <w:r>
        <w:rPr>
          <w:rFonts w:ascii="宋体" w:hAnsi="宋体" w:cs="宋体" w:hint="eastAsia"/>
          <w:szCs w:val="21"/>
        </w:rPr>
        <w:t>（2）授权委托书（法定代表人亲自办理投标事宜的，则无需提交)；</w:t>
      </w:r>
    </w:p>
    <w:p w:rsidR="00473C68">
      <w:pPr>
        <w:spacing w:line="360" w:lineRule="auto"/>
        <w:ind w:firstLine="420" w:firstLineChars="200"/>
        <w:rPr>
          <w:rFonts w:ascii="宋体" w:hAnsi="宋体" w:cs="宋体"/>
          <w:szCs w:val="21"/>
        </w:rPr>
      </w:pPr>
      <w:r>
        <w:rPr>
          <w:rFonts w:ascii="宋体" w:hAnsi="宋体" w:cs="宋体" w:hint="eastAsia"/>
          <w:szCs w:val="21"/>
        </w:rPr>
        <w:t>（3）法人或者其他组织的营业执照等证明文件，自然人的身份证明；</w:t>
      </w:r>
    </w:p>
    <w:p w:rsidR="00473C68">
      <w:pPr>
        <w:spacing w:line="360" w:lineRule="auto"/>
        <w:ind w:firstLine="420" w:firstLineChars="200"/>
        <w:rPr>
          <w:rFonts w:ascii="宋体" w:hAnsi="宋体" w:cs="宋体"/>
          <w:szCs w:val="21"/>
        </w:rPr>
      </w:pPr>
      <w:r>
        <w:rPr>
          <w:rFonts w:ascii="宋体" w:hAnsi="宋体" w:cs="宋体" w:hint="eastAsia"/>
          <w:szCs w:val="21"/>
        </w:rPr>
        <w:t>（4）提供采购公告中符合供应商特定条件的有效资质证书复印件（投标供应商特定条件中有要求的必须提供），以及需要说明的其他资料；</w:t>
      </w:r>
    </w:p>
    <w:p w:rsidR="00473C68">
      <w:pPr>
        <w:spacing w:line="360" w:lineRule="auto"/>
        <w:ind w:firstLine="420" w:firstLineChars="200"/>
        <w:rPr>
          <w:rFonts w:ascii="宋体" w:hAnsi="宋体" w:cs="宋体"/>
          <w:b/>
          <w:bCs/>
          <w:szCs w:val="21"/>
        </w:rPr>
      </w:pPr>
      <w:r>
        <w:rPr>
          <w:rFonts w:ascii="宋体" w:hAnsi="宋体" w:cs="宋体" w:hint="eastAsia"/>
          <w:b/>
          <w:bCs/>
          <w:szCs w:val="21"/>
        </w:rPr>
        <w:t>2、商务与技术文件的组成：</w:t>
      </w:r>
    </w:p>
    <w:p w:rsidR="00473C68">
      <w:pPr>
        <w:spacing w:line="360" w:lineRule="auto"/>
        <w:ind w:firstLine="420" w:firstLineChars="200"/>
        <w:rPr>
          <w:rFonts w:ascii="宋体" w:hAnsi="宋体" w:cs="宋体"/>
          <w:szCs w:val="21"/>
        </w:rPr>
      </w:pPr>
      <w:r>
        <w:rPr>
          <w:rFonts w:ascii="宋体" w:hAnsi="宋体" w:cs="宋体" w:hint="eastAsia"/>
          <w:szCs w:val="21"/>
        </w:rPr>
        <w:t>（1）投标人企业情况介绍；</w:t>
      </w:r>
    </w:p>
    <w:p w:rsidR="00473C68">
      <w:pPr>
        <w:spacing w:line="360" w:lineRule="auto"/>
        <w:ind w:firstLine="420" w:firstLineChars="200"/>
        <w:rPr>
          <w:rFonts w:ascii="宋体" w:hAnsi="宋体" w:cs="宋体"/>
          <w:szCs w:val="21"/>
        </w:rPr>
      </w:pPr>
      <w:r>
        <w:rPr>
          <w:rFonts w:ascii="宋体" w:hAnsi="宋体" w:cs="宋体" w:hint="eastAsia"/>
          <w:szCs w:val="21"/>
        </w:rPr>
        <w:t>（2）投标方案描述：</w:t>
      </w:r>
    </w:p>
    <w:p w:rsidR="00473C68">
      <w:pPr>
        <w:spacing w:line="360" w:lineRule="auto"/>
        <w:ind w:firstLine="420" w:firstLineChars="200"/>
        <w:rPr>
          <w:rFonts w:ascii="宋体" w:hAnsi="宋体" w:cs="宋体"/>
          <w:szCs w:val="21"/>
        </w:rPr>
      </w:pPr>
      <w:r>
        <w:rPr>
          <w:rFonts w:ascii="宋体" w:hAnsi="宋体" w:cs="宋体" w:hint="eastAsia"/>
          <w:szCs w:val="21"/>
        </w:rPr>
        <w:t>A.项目需求的理解与分析(投标人对项目现状及需求的理解情况，对项目现状和需求描述的全面性、准确性、针对性，对项目重点、难点的把握，解决方案及合理化建议)。</w:t>
      </w:r>
    </w:p>
    <w:p w:rsidR="00473C68">
      <w:pPr>
        <w:spacing w:line="360" w:lineRule="auto"/>
        <w:ind w:firstLine="420" w:firstLineChars="200"/>
        <w:rPr>
          <w:rFonts w:ascii="宋体" w:hAnsi="宋体" w:cs="宋体"/>
          <w:szCs w:val="21"/>
        </w:rPr>
      </w:pPr>
      <w:r>
        <w:rPr>
          <w:rFonts w:ascii="宋体" w:hAnsi="宋体" w:cs="宋体" w:hint="eastAsia"/>
          <w:szCs w:val="21"/>
        </w:rPr>
        <w:t>B.项目组织实施方案（包括项目服务期、确保项目实施的措施或方案、项目实施进度安排、项目实施人员及项目负责人的资质、类似经验及社保证明等）。</w:t>
      </w:r>
    </w:p>
    <w:p w:rsidR="00473C68">
      <w:pPr>
        <w:spacing w:line="360" w:lineRule="auto"/>
        <w:ind w:firstLine="420" w:firstLineChars="200"/>
        <w:rPr>
          <w:rFonts w:ascii="宋体" w:hAnsi="宋体" w:cs="宋体"/>
          <w:szCs w:val="21"/>
        </w:rPr>
      </w:pPr>
      <w:r>
        <w:rPr>
          <w:rFonts w:ascii="宋体" w:hAnsi="宋体" w:cs="宋体" w:hint="eastAsia"/>
          <w:szCs w:val="21"/>
        </w:rPr>
        <w:t>C.验收方案（包括项目验收标准和验收方法等）和措施；</w:t>
      </w:r>
    </w:p>
    <w:p w:rsidR="00473C68">
      <w:pPr>
        <w:spacing w:line="360" w:lineRule="auto"/>
        <w:ind w:firstLine="420" w:firstLineChars="200"/>
        <w:rPr>
          <w:rFonts w:ascii="宋体" w:hAnsi="宋体" w:cs="宋体"/>
          <w:szCs w:val="21"/>
        </w:rPr>
      </w:pPr>
      <w:r>
        <w:rPr>
          <w:rFonts w:ascii="宋体" w:hAnsi="宋体" w:cs="宋体" w:hint="eastAsia"/>
          <w:szCs w:val="21"/>
        </w:rPr>
        <w:t>（3）商务及技术响应表。</w:t>
      </w:r>
    </w:p>
    <w:p w:rsidR="00473C68">
      <w:pPr>
        <w:spacing w:line="360" w:lineRule="auto"/>
        <w:ind w:firstLine="420" w:firstLineChars="200"/>
        <w:rPr>
          <w:rFonts w:ascii="宋体" w:hAnsi="宋体" w:cs="宋体"/>
          <w:szCs w:val="21"/>
        </w:rPr>
      </w:pPr>
      <w:r>
        <w:rPr>
          <w:rFonts w:ascii="宋体" w:hAnsi="宋体" w:cs="宋体" w:hint="eastAsia"/>
          <w:szCs w:val="21"/>
        </w:rPr>
        <w:t>（4）投标人通过的质量管理和质量保证体系、环保体系、自主创新相关证书、软件著作权证等与本项目相关的认证证书或文件；</w:t>
      </w:r>
    </w:p>
    <w:p w:rsidR="00473C68">
      <w:pPr>
        <w:spacing w:line="360" w:lineRule="auto"/>
        <w:ind w:firstLine="420" w:firstLineChars="200"/>
        <w:rPr>
          <w:rFonts w:ascii="宋体" w:hAnsi="宋体" w:cs="宋体"/>
          <w:szCs w:val="21"/>
        </w:rPr>
      </w:pPr>
      <w:r>
        <w:rPr>
          <w:rFonts w:ascii="宋体" w:hAnsi="宋体" w:cs="宋体" w:hint="eastAsia"/>
          <w:szCs w:val="21"/>
        </w:rPr>
        <w:t>（5）类似项目的成功案例（投标人类似项目实施情况一览表、合同复印件及其相应的发票、用户验收报告等）；</w:t>
      </w:r>
    </w:p>
    <w:p w:rsidR="00473C68">
      <w:pPr>
        <w:spacing w:line="360" w:lineRule="auto"/>
        <w:ind w:firstLine="420" w:firstLineChars="200"/>
        <w:rPr>
          <w:rFonts w:ascii="宋体" w:hAnsi="宋体" w:cs="宋体"/>
          <w:szCs w:val="21"/>
        </w:rPr>
      </w:pPr>
      <w:r>
        <w:rPr>
          <w:rFonts w:ascii="宋体" w:hAnsi="宋体" w:cs="宋体" w:hint="eastAsia"/>
          <w:szCs w:val="21"/>
        </w:rPr>
        <w:t>（6）投标人认为需要提供的其他资料（包括可能影响投标人商务与技术文件评分的各类证明材料）。</w:t>
      </w:r>
    </w:p>
    <w:p w:rsidR="00473C68">
      <w:pPr>
        <w:spacing w:line="360" w:lineRule="auto"/>
        <w:ind w:firstLine="420" w:firstLineChars="200"/>
        <w:rPr>
          <w:rFonts w:ascii="宋体" w:hAnsi="宋体" w:cs="宋体"/>
          <w:szCs w:val="21"/>
        </w:rPr>
      </w:pPr>
      <w:r>
        <w:rPr>
          <w:rFonts w:ascii="宋体" w:hAnsi="宋体" w:cs="宋体" w:hint="eastAsia"/>
          <w:szCs w:val="21"/>
        </w:rPr>
        <w:t>（7）售后服务描述及承诺：</w:t>
      </w:r>
    </w:p>
    <w:p w:rsidR="00473C68">
      <w:pPr>
        <w:spacing w:line="360" w:lineRule="auto"/>
        <w:ind w:firstLine="420" w:firstLineChars="200"/>
        <w:rPr>
          <w:rFonts w:ascii="宋体" w:hAnsi="宋体" w:cs="宋体"/>
          <w:szCs w:val="21"/>
        </w:rPr>
      </w:pPr>
      <w:r>
        <w:rPr>
          <w:rFonts w:ascii="宋体" w:hAnsi="宋体" w:cs="宋体" w:hint="eastAsia"/>
          <w:szCs w:val="21"/>
        </w:rPr>
        <w:t>A.距采购人最近的服务网点详细介绍（包括地理位置、资质资格、技术力量、工作业绩、服务内容及联系电话等）。</w:t>
      </w:r>
    </w:p>
    <w:p w:rsidR="00473C68">
      <w:pPr>
        <w:spacing w:line="410" w:lineRule="exact"/>
        <w:ind w:firstLine="420" w:firstLineChars="200"/>
        <w:rPr>
          <w:rFonts w:ascii="宋体" w:hAnsi="宋体" w:cs="宋体"/>
          <w:szCs w:val="21"/>
        </w:rPr>
      </w:pPr>
      <w:r>
        <w:rPr>
          <w:rFonts w:ascii="宋体" w:hAnsi="宋体" w:cs="宋体" w:hint="eastAsia"/>
          <w:szCs w:val="21"/>
        </w:rPr>
        <w:t>B.针对本项目的售后服务措施及承诺（售后技术服务方案、人员配备、服务响应时间、技术培训方案等）。</w:t>
      </w:r>
    </w:p>
    <w:p w:rsidR="00473C68">
      <w:pPr>
        <w:spacing w:line="410" w:lineRule="exact"/>
        <w:ind w:firstLine="420" w:firstLineChars="200"/>
        <w:rPr>
          <w:rFonts w:ascii="宋体" w:hAnsi="宋体" w:cs="宋体"/>
          <w:szCs w:val="21"/>
        </w:rPr>
      </w:pPr>
      <w:r>
        <w:rPr>
          <w:rFonts w:ascii="宋体" w:hAnsi="宋体" w:cs="宋体" w:hint="eastAsia"/>
          <w:b/>
          <w:szCs w:val="21"/>
          <w:u w:val="single"/>
        </w:rPr>
        <w:t>注：若招标文件中有专门标注的某关联点，并要求投标人在电子投标系统中作出投标响应的，如投标人未对关联点进行响应或者在投标文件其它内容进行描述，造成电子评审不能查询的责任由投标人自行承担。</w:t>
      </w:r>
    </w:p>
    <w:p w:rsidR="00473C68">
      <w:pPr>
        <w:spacing w:line="360" w:lineRule="auto"/>
        <w:ind w:firstLine="420" w:firstLineChars="200"/>
        <w:rPr>
          <w:rFonts w:ascii="宋体" w:hAnsi="宋体" w:cs="宋体"/>
          <w:b/>
          <w:bCs/>
          <w:szCs w:val="21"/>
        </w:rPr>
      </w:pPr>
      <w:r>
        <w:rPr>
          <w:rFonts w:ascii="宋体" w:hAnsi="宋体" w:cs="宋体" w:hint="eastAsia"/>
          <w:b/>
          <w:bCs/>
          <w:szCs w:val="21"/>
        </w:rPr>
        <w:t>3、报价文件的组成</w:t>
      </w:r>
    </w:p>
    <w:p w:rsidR="00473C68">
      <w:pPr>
        <w:spacing w:line="360" w:lineRule="auto"/>
        <w:ind w:firstLine="420" w:firstLineChars="200"/>
        <w:rPr>
          <w:rFonts w:ascii="宋体" w:hAnsi="宋体" w:cs="宋体"/>
          <w:szCs w:val="21"/>
        </w:rPr>
        <w:sectPr>
          <w:headerReference w:type="default" r:id="rId35"/>
          <w:footerReference w:type="default" r:id="rId36"/>
          <w:type w:val="nextPage"/>
          <w:pgSz w:w="11906" w:h="16838"/>
          <w:pgMar w:top="1440" w:right="1440" w:bottom="1440" w:left="1803" w:header="851" w:footer="992" w:gutter="0"/>
          <w:pgNumType w:start="14"/>
          <w:cols w:space="0"/>
          <w:titlePg w:val="0"/>
          <w:docGrid w:type="lines" w:linePitch="325"/>
        </w:sectPr>
      </w:pPr>
      <w:r>
        <w:rPr>
          <w:rFonts w:ascii="宋体" w:hAnsi="宋体" w:cs="宋体" w:hint="eastAsia"/>
          <w:szCs w:val="21"/>
        </w:rPr>
        <w:t>（1）报价文件由开标一览表、中小企业声明函，以及投标人认为其他需要说明的内容组成。</w:t>
      </w:r>
    </w:p>
    <w:p w:rsidR="00473C68">
      <w:pPr>
        <w:spacing w:line="360" w:lineRule="auto"/>
        <w:ind w:firstLine="420" w:firstLineChars="200"/>
        <w:rPr>
          <w:rFonts w:ascii="宋体" w:hAnsi="宋体" w:cs="宋体"/>
          <w:szCs w:val="21"/>
        </w:rPr>
      </w:pPr>
      <w:r>
        <w:rPr>
          <w:rFonts w:ascii="宋体" w:hAnsi="宋体" w:cs="宋体" w:hint="eastAsia"/>
          <w:szCs w:val="21"/>
        </w:rPr>
        <w:t>▲（2）此报价为投标人一次性报出唯一的最终价格，包含其它一切所要涉及到的费用，有选择的报价将被拒绝。</w:t>
      </w:r>
    </w:p>
    <w:p w:rsidR="00473C68">
      <w:pPr>
        <w:spacing w:line="360" w:lineRule="auto"/>
        <w:ind w:firstLine="420" w:firstLineChars="200"/>
        <w:rPr>
          <w:rFonts w:ascii="宋体" w:hAnsi="宋体" w:cs="宋体"/>
          <w:szCs w:val="21"/>
        </w:rPr>
      </w:pPr>
      <w:r>
        <w:rPr>
          <w:rFonts w:ascii="宋体" w:hAnsi="宋体" w:cs="宋体" w:hint="eastAsia"/>
          <w:szCs w:val="21"/>
        </w:rPr>
        <w:t>（3）投标总报价为完成本项目的所有费用，包括所有人员的人工费、交通费、住宿费、伙食费、办公设施费、管理费、利润、税金、合同包含的所有风险责任等各项费用及不可预见费等所需的全部费用，全部费用已包含在投标报价中。</w:t>
      </w:r>
    </w:p>
    <w:p w:rsidR="00473C68">
      <w:pPr>
        <w:spacing w:line="360" w:lineRule="auto"/>
        <w:ind w:firstLine="420" w:firstLineChars="200"/>
        <w:rPr>
          <w:rFonts w:ascii="宋体" w:hAnsi="宋体" w:cs="宋体"/>
          <w:szCs w:val="21"/>
        </w:rPr>
      </w:pPr>
      <w:r>
        <w:rPr>
          <w:rFonts w:ascii="宋体" w:hAnsi="宋体" w:cs="宋体" w:hint="eastAsia"/>
          <w:szCs w:val="21"/>
        </w:rPr>
        <w:t>（4）政府采购优惠政策相关资料。</w:t>
      </w:r>
    </w:p>
    <w:p w:rsidR="00473C68">
      <w:pPr>
        <w:spacing w:line="360" w:lineRule="auto"/>
        <w:ind w:firstLine="420" w:firstLineChars="200"/>
        <w:rPr>
          <w:rFonts w:ascii="宋体" w:hAnsi="宋体" w:cs="宋体"/>
          <w:szCs w:val="21"/>
        </w:rPr>
      </w:pPr>
      <w:r>
        <w:rPr>
          <w:rFonts w:ascii="宋体" w:hAnsi="宋体" w:cs="宋体" w:hint="eastAsia"/>
          <w:szCs w:val="21"/>
        </w:rPr>
        <w:t>▲（5）相关报价单需打印或用不退色的墨水填写， 投标报价单不得涂改和增删，如有错漏必须修改，修改处须由同一签署人签字或盖章。由于字迹模糊或表达不清引起的后果由投标人负责。</w:t>
      </w:r>
    </w:p>
    <w:p w:rsidR="00473C68">
      <w:pPr>
        <w:spacing w:line="360" w:lineRule="auto"/>
        <w:ind w:firstLine="420" w:firstLineChars="200"/>
        <w:rPr>
          <w:rFonts w:ascii="宋体" w:hAnsi="宋体" w:cs="宋体"/>
          <w:szCs w:val="21"/>
        </w:rPr>
      </w:pPr>
      <w:r>
        <w:rPr>
          <w:rFonts w:ascii="宋体" w:hAnsi="宋体" w:cs="宋体" w:hint="eastAsia"/>
          <w:szCs w:val="21"/>
        </w:rPr>
        <w:t>（6）投标报价应按招标文件中相关附表格式填写。</w:t>
      </w:r>
    </w:p>
    <w:p w:rsidR="00473C68">
      <w:pPr>
        <w:spacing w:line="360" w:lineRule="auto"/>
        <w:ind w:firstLine="420" w:firstLineChars="200"/>
        <w:rPr>
          <w:rFonts w:ascii="宋体" w:hAnsi="宋体" w:cs="宋体"/>
          <w:b/>
          <w:bCs/>
          <w:szCs w:val="21"/>
        </w:rPr>
      </w:pPr>
      <w:r>
        <w:rPr>
          <w:rFonts w:ascii="宋体" w:hAnsi="宋体" w:cs="宋体" w:hint="eastAsia"/>
          <w:b/>
          <w:bCs/>
          <w:szCs w:val="21"/>
        </w:rPr>
        <w:t>（二）投标文件的制作、封装及递交要求</w:t>
      </w:r>
    </w:p>
    <w:p w:rsidR="00473C68">
      <w:pPr>
        <w:snapToGrid w:val="0"/>
        <w:spacing w:before="162" w:beforeLines="50" w:line="360" w:lineRule="auto"/>
        <w:ind w:firstLine="412" w:firstLineChars="196"/>
        <w:jc w:val="left"/>
        <w:rPr>
          <w:rFonts w:ascii="宋体" w:hAnsi="宋体" w:cs="宋体"/>
          <w:b/>
          <w:szCs w:val="21"/>
        </w:rPr>
      </w:pPr>
      <w:r>
        <w:rPr>
          <w:rFonts w:ascii="宋体" w:hAnsi="宋体" w:cs="宋体" w:hint="eastAsia"/>
          <w:b/>
          <w:szCs w:val="21"/>
        </w:rPr>
        <w:t>1、投标文件的签署</w:t>
      </w:r>
    </w:p>
    <w:p w:rsidR="00473C68">
      <w:pPr>
        <w:snapToGrid w:val="0"/>
        <w:spacing w:line="360" w:lineRule="auto"/>
        <w:ind w:firstLine="412" w:firstLineChars="196"/>
        <w:jc w:val="left"/>
        <w:rPr>
          <w:rFonts w:ascii="宋体" w:hAnsi="宋体" w:cs="宋体"/>
          <w:bCs/>
          <w:szCs w:val="21"/>
        </w:rPr>
      </w:pPr>
      <w:r>
        <w:rPr>
          <w:rFonts w:ascii="宋体" w:hAnsi="宋体" w:cs="宋体" w:hint="eastAsia"/>
          <w:szCs w:val="21"/>
        </w:rPr>
        <w:t>（1）</w:t>
      </w:r>
      <w:r>
        <w:rPr>
          <w:rFonts w:ascii="宋体" w:hAnsi="宋体" w:cs="宋体" w:hint="eastAsia"/>
          <w:bCs/>
          <w:szCs w:val="21"/>
        </w:rPr>
        <w:t>电子投标文件中须加盖投标人公章部分均采用CA签章，并根据“政府采购云平台供应商项目采购-电子招投标操作指南”及本招标文件规定的格式和顺序编制电子投标文件并进行关联定位，以便评标委员会在评标时，点击评分项可直接定位到该评分项内容。如对招标文件的某项要求，投标人的电子投标文件未能关联定位提供相应的内容与其对应，则评标委员会在评审时如做出对投标人不利的评审由投标人自行承担。</w:t>
      </w:r>
    </w:p>
    <w:p w:rsidR="00473C68">
      <w:pPr>
        <w:snapToGrid w:val="0"/>
        <w:spacing w:line="360" w:lineRule="auto"/>
        <w:ind w:firstLine="412" w:firstLineChars="196"/>
        <w:jc w:val="left"/>
        <w:rPr>
          <w:rFonts w:ascii="宋体" w:hAnsi="宋体" w:cs="宋体"/>
          <w:bCs/>
          <w:szCs w:val="21"/>
        </w:rPr>
      </w:pPr>
      <w:r>
        <w:rPr>
          <w:rFonts w:ascii="宋体" w:hAnsi="宋体" w:cs="宋体" w:hint="eastAsia"/>
          <w:bCs/>
          <w:szCs w:val="21"/>
        </w:rPr>
        <w:t>电子投标文件如内容不完整、编排混乱导致投标文件被误读、漏读，或者在按采购文件规定的部位查找不到相关内容的，由投标人自行承担。</w:t>
      </w:r>
    </w:p>
    <w:p w:rsidR="00473C68">
      <w:pPr>
        <w:snapToGrid w:val="0"/>
        <w:spacing w:line="360" w:lineRule="auto"/>
        <w:ind w:firstLine="412" w:firstLineChars="196"/>
        <w:jc w:val="left"/>
        <w:rPr>
          <w:rFonts w:ascii="宋体" w:hAnsi="宋体" w:cs="宋体"/>
          <w:szCs w:val="21"/>
        </w:rPr>
      </w:pPr>
      <w:r>
        <w:rPr>
          <w:rFonts w:ascii="宋体" w:hAnsi="宋体" w:cs="宋体" w:hint="eastAsia"/>
          <w:bCs/>
          <w:szCs w:val="21"/>
        </w:rPr>
        <w:t>（2）</w:t>
      </w:r>
      <w:r>
        <w:rPr>
          <w:rFonts w:ascii="宋体" w:hAnsi="宋体" w:cs="宋体" w:hint="eastAsia"/>
          <w:szCs w:val="21"/>
        </w:rPr>
        <w:t>温馨提醒：</w:t>
      </w:r>
      <w:r>
        <w:rPr>
          <w:rFonts w:ascii="宋体" w:hAnsi="宋体" w:cs="宋体" w:hint="eastAsia"/>
          <w:szCs w:val="21"/>
          <w:u w:val="single"/>
        </w:rPr>
        <w:t>CA签章上目前没有法定代表人或授权代表签字信息，需要投标人联系浙江杭州汇信科技有限公司等相应公司进行办理，或在投标文件中涉及到签字的位置线下签好字然后扫描或者拍照做成PDF的格式亦可。</w:t>
      </w:r>
    </w:p>
    <w:p w:rsidR="00473C68">
      <w:pPr>
        <w:spacing w:line="360" w:lineRule="auto"/>
        <w:ind w:firstLine="420" w:firstLineChars="200"/>
        <w:rPr>
          <w:rFonts w:ascii="宋体" w:hAnsi="宋体" w:cs="宋体"/>
          <w:szCs w:val="21"/>
        </w:rPr>
      </w:pPr>
      <w:r>
        <w:rPr>
          <w:rFonts w:ascii="宋体" w:hAnsi="宋体" w:cs="宋体" w:hint="eastAsia"/>
          <w:szCs w:val="21"/>
        </w:rPr>
        <w:t>（3）▲投标文件不得涂改，若有修改错漏处，须加盖单位公章或者法定代表人或授权委托人签字或盖章。投标文件因字迹潦草或表达不清所引起的后果由投标人负责。</w:t>
      </w:r>
    </w:p>
    <w:p w:rsidR="00473C68">
      <w:pPr>
        <w:spacing w:line="360" w:lineRule="auto"/>
        <w:ind w:firstLine="420" w:firstLineChars="200"/>
        <w:rPr>
          <w:rFonts w:ascii="宋体" w:hAnsi="宋体" w:cs="宋体"/>
          <w:szCs w:val="21"/>
        </w:rPr>
      </w:pPr>
      <w:r>
        <w:rPr>
          <w:rFonts w:ascii="宋体" w:hAnsi="宋体" w:cs="宋体" w:hint="eastAsia"/>
          <w:szCs w:val="21"/>
        </w:rPr>
        <w:t>2、</w:t>
      </w:r>
      <w:r>
        <w:rPr>
          <w:rFonts w:ascii="宋体" w:hAnsi="宋体" w:cs="宋体" w:hint="eastAsia"/>
          <w:b/>
          <w:bCs/>
          <w:szCs w:val="21"/>
        </w:rPr>
        <w:t>投标文件的制作</w:t>
      </w:r>
    </w:p>
    <w:p w:rsidR="00473C68">
      <w:pPr>
        <w:spacing w:line="360" w:lineRule="auto"/>
        <w:ind w:firstLine="420" w:firstLineChars="200"/>
        <w:rPr>
          <w:rFonts w:ascii="宋体" w:hAnsi="宋体" w:cs="宋体"/>
          <w:szCs w:val="21"/>
        </w:rPr>
      </w:pPr>
      <w:r>
        <w:rPr>
          <w:rFonts w:ascii="宋体" w:hAnsi="宋体" w:cs="宋体" w:hint="eastAsia"/>
          <w:szCs w:val="21"/>
        </w:rPr>
        <w:t>（1）投标人应按照投标文件组成内容及项目招标需求制作投标文件，不按招标文件要求制作投标文件由此产生的责任由投标人自行承担。</w:t>
      </w:r>
    </w:p>
    <w:p w:rsidR="00473C68">
      <w:pPr>
        <w:spacing w:line="360" w:lineRule="auto"/>
        <w:ind w:firstLine="420" w:firstLineChars="200"/>
        <w:rPr>
          <w:rFonts w:ascii="宋体" w:hAnsi="宋体" w:cs="宋体"/>
          <w:szCs w:val="21"/>
        </w:rPr>
      </w:pPr>
      <w:r>
        <w:rPr>
          <w:rFonts w:ascii="宋体" w:hAnsi="宋体" w:cs="宋体" w:hint="eastAsia"/>
          <w:szCs w:val="21"/>
        </w:rPr>
        <w:t>（2）▲投标人应对所提供的全部资料的真实性承担法律责任，投标文件内容中有要求盖章或签字的地方，必须加盖投标人的公章以及法定代表人或授权委托代理人盖章或签字。</w:t>
      </w:r>
    </w:p>
    <w:p w:rsidR="00473C68">
      <w:pPr>
        <w:spacing w:line="360" w:lineRule="auto"/>
        <w:ind w:firstLine="420" w:firstLineChars="200"/>
        <w:rPr>
          <w:rFonts w:ascii="宋体" w:hAnsi="宋体" w:cs="宋体"/>
          <w:szCs w:val="21"/>
        </w:rPr>
        <w:sectPr>
          <w:headerReference w:type="default" r:id="rId37"/>
          <w:footerReference w:type="default" r:id="rId38"/>
          <w:type w:val="nextPage"/>
          <w:pgSz w:w="11906" w:h="16838"/>
          <w:pgMar w:top="1440" w:right="1440" w:bottom="1440" w:left="1803" w:header="851" w:footer="992" w:gutter="0"/>
          <w:pgNumType w:start="15"/>
          <w:cols w:space="0"/>
          <w:titlePg w:val="0"/>
          <w:docGrid w:type="lines" w:linePitch="325"/>
        </w:sectPr>
      </w:pPr>
    </w:p>
    <w:p w:rsidR="00473C68">
      <w:pPr>
        <w:spacing w:line="360" w:lineRule="auto"/>
        <w:ind w:firstLine="420" w:firstLineChars="200"/>
        <w:rPr>
          <w:rFonts w:ascii="宋体" w:hAnsi="宋体" w:cs="宋体"/>
          <w:szCs w:val="21"/>
        </w:rPr>
      </w:pPr>
      <w:r>
        <w:rPr>
          <w:rFonts w:ascii="宋体" w:hAnsi="宋体" w:cs="宋体" w:hint="eastAsia"/>
          <w:szCs w:val="21"/>
        </w:rPr>
        <w:t>（3）投标文件以及投标人与采购组织机构就有关投标事宜的所有来往函电，均应以中文汉语书写。▲除签字、盖章、专用名称等特殊情形外，以中文汉语以外的文字表述的投标文件视同未提供。</w:t>
      </w:r>
    </w:p>
    <w:p w:rsidR="00473C68">
      <w:pPr>
        <w:spacing w:line="360" w:lineRule="auto"/>
        <w:ind w:firstLine="420" w:firstLineChars="200"/>
        <w:rPr>
          <w:rFonts w:ascii="宋体" w:hAnsi="宋体" w:cs="宋体"/>
          <w:szCs w:val="21"/>
        </w:rPr>
      </w:pPr>
      <w:r>
        <w:rPr>
          <w:rFonts w:ascii="宋体" w:hAnsi="宋体" w:cs="宋体" w:hint="eastAsia"/>
          <w:szCs w:val="21"/>
        </w:rPr>
        <w:t>（4）投标计量单位，招标文件已有明确规定的，使用招标文件规定的计量单位；招标文件没有规定的，▲应采用中华人民共和国法定计量单位（货币单位：人民币元），否则视同未响应。</w:t>
      </w:r>
    </w:p>
    <w:p w:rsidR="00473C68">
      <w:pPr>
        <w:spacing w:line="360" w:lineRule="auto"/>
        <w:ind w:firstLine="420" w:firstLineChars="200"/>
        <w:rPr>
          <w:rFonts w:ascii="宋体" w:hAnsi="宋体" w:cs="宋体"/>
          <w:szCs w:val="21"/>
        </w:rPr>
      </w:pPr>
      <w:r>
        <w:rPr>
          <w:rFonts w:ascii="宋体" w:hAnsi="宋体" w:cs="宋体" w:hint="eastAsia"/>
          <w:szCs w:val="21"/>
        </w:rPr>
        <w:t>（5）若投标人不按招标文件的要求提供资格审查材料，其风险由投标人自行承担。</w:t>
      </w:r>
    </w:p>
    <w:p w:rsidR="00473C68">
      <w:pPr>
        <w:spacing w:line="360" w:lineRule="auto"/>
        <w:ind w:firstLine="420" w:firstLineChars="200"/>
        <w:rPr>
          <w:rFonts w:ascii="宋体" w:hAnsi="宋体" w:cs="宋体"/>
          <w:b/>
          <w:bCs/>
          <w:szCs w:val="21"/>
        </w:rPr>
      </w:pPr>
      <w:r>
        <w:rPr>
          <w:rFonts w:ascii="宋体" w:hAnsi="宋体" w:cs="宋体" w:hint="eastAsia"/>
          <w:szCs w:val="21"/>
        </w:rPr>
        <w:t>（6）与本次投标无关的内容请不要制作在内，确保投标文件有针对性、简洁明了，同时节约纸张；投标文件建议以A4纸大小双面打印并装订。</w:t>
      </w:r>
    </w:p>
    <w:p w:rsidR="00473C68">
      <w:pPr>
        <w:spacing w:line="360" w:lineRule="auto"/>
        <w:ind w:firstLine="420" w:firstLineChars="200"/>
        <w:rPr>
          <w:rFonts w:ascii="宋体" w:hAnsi="宋体" w:cs="宋体"/>
          <w:b/>
          <w:bCs/>
          <w:szCs w:val="21"/>
        </w:rPr>
      </w:pPr>
      <w:r>
        <w:rPr>
          <w:rFonts w:ascii="宋体" w:hAnsi="宋体" w:cs="宋体" w:hint="eastAsia"/>
          <w:b/>
          <w:bCs/>
          <w:szCs w:val="21"/>
        </w:rPr>
        <w:t>3、投标文件的封装要求</w:t>
      </w:r>
    </w:p>
    <w:p w:rsidR="00473C68">
      <w:pPr>
        <w:pStyle w:val="1"/>
        <w:spacing w:line="360" w:lineRule="auto"/>
        <w:ind w:firstLine="420" w:firstLineChars="200"/>
        <w:rPr>
          <w:rFonts w:hAnsi="宋体" w:cs="宋体"/>
          <w:sz w:val="21"/>
          <w:szCs w:val="21"/>
        </w:rPr>
      </w:pPr>
      <w:r>
        <w:rPr>
          <w:rFonts w:hAnsi="宋体" w:cs="宋体" w:hint="eastAsia"/>
          <w:sz w:val="21"/>
          <w:szCs w:val="21"/>
        </w:rPr>
        <w:t>（1）投标文件的正本</w:t>
      </w:r>
      <w:r>
        <w:rPr>
          <w:rFonts w:hAnsi="宋体" w:cs="宋体" w:hint="eastAsia"/>
          <w:sz w:val="21"/>
          <w:szCs w:val="21"/>
          <w:lang w:val="zh-CN"/>
        </w:rPr>
        <w:t>封面</w:t>
      </w:r>
      <w:r>
        <w:rPr>
          <w:rFonts w:hAnsi="宋体" w:cs="宋体" w:hint="eastAsia"/>
          <w:sz w:val="21"/>
          <w:szCs w:val="21"/>
        </w:rPr>
        <w:t>需打印或用不褪色的墨水填写，并注明“正本”字样</w:t>
      </w:r>
      <w:r>
        <w:rPr>
          <w:rFonts w:hAnsi="宋体" w:cs="宋体" w:hint="eastAsia"/>
          <w:sz w:val="21"/>
          <w:szCs w:val="21"/>
          <w:lang w:val="zh-CN"/>
        </w:rPr>
        <w:t>。</w:t>
      </w:r>
      <w:r>
        <w:rPr>
          <w:rFonts w:hAnsi="宋体" w:cs="宋体" w:hint="eastAsia"/>
          <w:sz w:val="21"/>
          <w:szCs w:val="21"/>
        </w:rPr>
        <w:t>▲除报价文件外其余一律不准出现数字报价。如有不同标项，请按标项号分别编制。</w:t>
      </w:r>
    </w:p>
    <w:p w:rsidR="00473C68">
      <w:pPr>
        <w:spacing w:line="360" w:lineRule="auto"/>
        <w:ind w:firstLine="420" w:firstLineChars="200"/>
        <w:rPr>
          <w:rFonts w:ascii="宋体" w:hAnsi="宋体" w:cs="宋体"/>
          <w:szCs w:val="21"/>
        </w:rPr>
      </w:pPr>
      <w:r>
        <w:rPr>
          <w:rFonts w:ascii="宋体" w:hAnsi="宋体" w:cs="宋体" w:hint="eastAsia"/>
          <w:szCs w:val="21"/>
        </w:rPr>
        <w:t>（2）所有投标资料按投标文件的组成所列内容及顺序装订成册，</w:t>
      </w:r>
      <w:r>
        <w:rPr>
          <w:rFonts w:ascii="宋体" w:hAnsi="宋体" w:cs="宋体" w:hint="eastAsia"/>
          <w:szCs w:val="21"/>
          <w:lang w:val="zh-CN"/>
        </w:rPr>
        <w:t>并逐页连续标注页码。因投标文件内容不完整、编排混乱导致投标文件被误读、漏读或者查找不到相关内容的责任由投标人自行承担。</w:t>
      </w:r>
    </w:p>
    <w:p w:rsidR="00473C68">
      <w:pPr>
        <w:spacing w:line="360" w:lineRule="auto"/>
        <w:ind w:firstLine="420" w:firstLineChars="200"/>
        <w:rPr>
          <w:rFonts w:ascii="宋体" w:hAnsi="宋体" w:cs="宋体"/>
          <w:szCs w:val="21"/>
        </w:rPr>
      </w:pPr>
      <w:r>
        <w:rPr>
          <w:rFonts w:ascii="宋体" w:hAnsi="宋体" w:cs="宋体" w:hint="eastAsia"/>
          <w:szCs w:val="21"/>
        </w:rPr>
        <w:t>（3）备份投标文件在密封袋的封口处加盖投标人公章、法定代表人代表或授权委托代理人印章或签字。封皮上写明项目编号、标项、招标项目名称、投标人名称，并注明“投标文件名称”、“开标时启封”字样，未按上述要求密封及加写标记</w:t>
      </w:r>
      <w:r>
        <w:rPr>
          <w:rFonts w:ascii="宋体" w:hAnsi="宋体" w:cs="宋体" w:hint="eastAsia"/>
        </w:rPr>
        <w:t>将被拒收</w:t>
      </w:r>
      <w:r>
        <w:rPr>
          <w:rFonts w:ascii="宋体" w:hAnsi="宋体" w:cs="宋体" w:hint="eastAsia"/>
          <w:szCs w:val="21"/>
        </w:rPr>
        <w:t>，采购代理机构对投标文件的误投和提前启封不负责任。</w:t>
      </w:r>
    </w:p>
    <w:p w:rsidR="00473C68">
      <w:pPr>
        <w:spacing w:line="360" w:lineRule="auto"/>
        <w:ind w:firstLine="420" w:firstLineChars="200"/>
        <w:rPr>
          <w:rFonts w:ascii="宋体" w:hAnsi="宋体" w:cs="宋体"/>
          <w:szCs w:val="21"/>
        </w:rPr>
      </w:pPr>
      <w:r>
        <w:rPr>
          <w:rFonts w:ascii="宋体" w:hAnsi="宋体" w:cs="宋体" w:hint="eastAsia"/>
          <w:szCs w:val="21"/>
        </w:rPr>
        <w:t>（4）项目如分标项，各标项投标文件必须分开编制。</w:t>
      </w:r>
    </w:p>
    <w:p w:rsidR="00473C68">
      <w:pPr>
        <w:spacing w:line="360" w:lineRule="auto"/>
        <w:ind w:firstLine="420" w:firstLineChars="200"/>
        <w:rPr>
          <w:rFonts w:ascii="宋体" w:hAnsi="宋体" w:cs="宋体"/>
          <w:szCs w:val="21"/>
          <w:lang w:val="zh-CN"/>
        </w:rPr>
      </w:pPr>
      <w:r>
        <w:rPr>
          <w:rFonts w:ascii="宋体" w:hAnsi="宋体" w:cs="宋体" w:hint="eastAsia"/>
          <w:szCs w:val="21"/>
        </w:rPr>
        <w:t>（5）</w:t>
      </w:r>
      <w:r>
        <w:rPr>
          <w:rFonts w:ascii="宋体" w:hAnsi="宋体" w:cs="宋体" w:hint="eastAsia"/>
          <w:szCs w:val="21"/>
          <w:lang w:val="zh-CN"/>
        </w:rPr>
        <w:t>因密封不严、标记不明而造成失密、拒收、过早启封等情况，采购代理机构概不负责。</w:t>
      </w:r>
    </w:p>
    <w:p w:rsidR="00473C68">
      <w:pPr>
        <w:spacing w:line="360" w:lineRule="auto"/>
        <w:ind w:firstLine="420" w:firstLineChars="200"/>
        <w:rPr>
          <w:rFonts w:ascii="宋体" w:hAnsi="宋体" w:cs="宋体"/>
          <w:b/>
          <w:bCs/>
          <w:szCs w:val="21"/>
        </w:rPr>
      </w:pPr>
      <w:r>
        <w:rPr>
          <w:rFonts w:ascii="宋体" w:hAnsi="宋体" w:cs="宋体" w:hint="eastAsia"/>
          <w:b/>
          <w:bCs/>
          <w:szCs w:val="21"/>
        </w:rPr>
        <w:t>4、投标文件的递交要求</w:t>
      </w:r>
    </w:p>
    <w:p w:rsidR="00473C68">
      <w:pPr>
        <w:spacing w:line="360" w:lineRule="auto"/>
        <w:ind w:firstLine="420" w:firstLineChars="200"/>
        <w:rPr>
          <w:rFonts w:ascii="宋体" w:hAnsi="宋体" w:cs="宋体"/>
          <w:szCs w:val="21"/>
        </w:rPr>
        <w:sectPr>
          <w:headerReference w:type="default" r:id="rId39"/>
          <w:footerReference w:type="default" r:id="rId40"/>
          <w:type w:val="nextPage"/>
          <w:pgSz w:w="11906" w:h="16838"/>
          <w:pgMar w:top="1440" w:right="1440" w:bottom="1440" w:left="1803" w:header="851" w:footer="992" w:gutter="0"/>
          <w:pgNumType w:start="16"/>
          <w:cols w:space="0"/>
          <w:titlePg w:val="0"/>
          <w:docGrid w:type="lines" w:linePitch="325"/>
        </w:sectPr>
      </w:pPr>
      <w:r>
        <w:rPr>
          <w:rFonts w:ascii="宋体" w:hAnsi="宋体" w:cs="宋体" w:hint="eastAsia"/>
          <w:szCs w:val="21"/>
        </w:rPr>
        <w:t>（1）供应商同时还可以提供经政采云平台加密处理的、以介质（U盘）存储的数据电文形式的备份投标文件（不强制要求，未递交备份文件的风险由供应商自行承担）。递交备份投标文件的，供应商应当在投标截止时间前按要求密封（备份投标文件在密封袋的封口处加盖投标人公章、法定代表人代表或授权委托代理人印章或签字。封皮上写明项目编号、标项、招标项目名称、投标人名称，并注明“投标文件名称”、“开标时启封”字样）并建议顺丰邮寄或直接递交到</w:t>
      </w:r>
      <w:r>
        <w:rPr>
          <w:rFonts w:ascii="宋体" w:hAnsi="宋体" w:cs="宋体" w:hint="eastAsia"/>
          <w:b/>
          <w:bCs/>
          <w:szCs w:val="21"/>
        </w:rPr>
        <w:t>台州市椒江区中环世纪6幢801室（交通银行台州分行楼上）收件人：俞雅琪；联系电话：</w:t>
      </w:r>
      <w:r>
        <w:rPr>
          <w:rFonts w:ascii="宋体" w:hAnsi="宋体" w:cs="宋体" w:hint="eastAsia"/>
          <w:szCs w:val="21"/>
        </w:rPr>
        <w:t>。投标文件在截止时间后提交、</w:t>
      </w:r>
      <w:r>
        <w:rPr>
          <w:rFonts w:ascii="宋体" w:hAnsi="宋体" w:cs="宋体" w:hint="eastAsia"/>
        </w:rPr>
        <w:t>到付或未按要求密封</w:t>
      </w:r>
      <w:r>
        <w:rPr>
          <w:rFonts w:ascii="宋体" w:hAnsi="宋体" w:cs="宋体" w:hint="eastAsia"/>
          <w:lang w:eastAsia="zh-Hans"/>
        </w:rPr>
        <w:t>的</w:t>
      </w:r>
    </w:p>
    <w:p w:rsidR="00473C68">
      <w:pPr>
        <w:spacing w:line="360" w:lineRule="auto"/>
        <w:ind w:firstLine="420" w:firstLineChars="200"/>
        <w:rPr>
          <w:rFonts w:ascii="宋体" w:hAnsi="宋体" w:cs="宋体"/>
          <w:szCs w:val="21"/>
        </w:rPr>
      </w:pPr>
      <w:r>
        <w:rPr>
          <w:rFonts w:ascii="宋体" w:hAnsi="宋体" w:cs="宋体" w:hint="eastAsia"/>
          <w:szCs w:val="21"/>
        </w:rPr>
        <w:t>，采购代理机构将拒绝接收。▲如供应商未在投标截止时间前完成电子投标文件的传输递交，其备份投标文件也将为无效投标文件。</w:t>
      </w:r>
    </w:p>
    <w:p w:rsidR="00473C68">
      <w:pPr>
        <w:tabs>
          <w:tab w:val="left" w:pos="1418"/>
        </w:tabs>
        <w:autoSpaceDE w:val="0"/>
        <w:autoSpaceDN w:val="0"/>
        <w:adjustRightInd w:val="0"/>
        <w:spacing w:line="360" w:lineRule="auto"/>
        <w:ind w:firstLine="420" w:firstLineChars="200"/>
        <w:rPr>
          <w:rFonts w:ascii="宋体" w:hAnsi="宋体" w:cs="宋体"/>
          <w:b/>
          <w:bCs/>
          <w:szCs w:val="21"/>
        </w:rPr>
      </w:pPr>
      <w:r>
        <w:rPr>
          <w:rFonts w:ascii="宋体" w:hAnsi="宋体" w:cs="宋体" w:hint="eastAsia"/>
          <w:b/>
          <w:bCs/>
          <w:szCs w:val="21"/>
        </w:rPr>
        <w:t>（2）电子投标文件的相关说明</w:t>
      </w:r>
    </w:p>
    <w:p w:rsidR="00473C68">
      <w:pPr>
        <w:tabs>
          <w:tab w:val="left" w:pos="1418"/>
        </w:tabs>
        <w:autoSpaceDE w:val="0"/>
        <w:autoSpaceDN w:val="0"/>
        <w:adjustRightInd w:val="0"/>
        <w:spacing w:line="360" w:lineRule="auto"/>
        <w:ind w:firstLine="420" w:firstLineChars="200"/>
        <w:rPr>
          <w:rFonts w:ascii="宋体" w:hAnsi="宋体" w:cs="宋体"/>
          <w:szCs w:val="21"/>
        </w:rPr>
      </w:pPr>
      <w:r>
        <w:rPr>
          <w:rFonts w:ascii="宋体" w:hAnsi="宋体" w:cs="宋体" w:hint="eastAsia"/>
          <w:szCs w:val="21"/>
        </w:rPr>
        <w:t>供应商进行电子投标应安装客户端软件，并按照采购文件和电子交易平台的要求编制并加密投标文件。▲供应商未按规定加密的投标文件，电子交易平台将拒收。</w:t>
      </w:r>
    </w:p>
    <w:p w:rsidR="00473C68">
      <w:pPr>
        <w:tabs>
          <w:tab w:val="left" w:pos="1418"/>
        </w:tabs>
        <w:autoSpaceDE w:val="0"/>
        <w:autoSpaceDN w:val="0"/>
        <w:adjustRightInd w:val="0"/>
        <w:spacing w:line="360" w:lineRule="auto"/>
        <w:ind w:firstLine="420" w:firstLineChars="200"/>
        <w:rPr>
          <w:rFonts w:ascii="宋体" w:hAnsi="宋体" w:cs="宋体"/>
          <w:szCs w:val="21"/>
        </w:rPr>
      </w:pPr>
      <w:r>
        <w:rPr>
          <w:rFonts w:ascii="宋体" w:hAnsi="宋体" w:cs="宋体" w:hint="eastAsia"/>
          <w:szCs w:val="21"/>
        </w:rPr>
        <w:t>▲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rsidR="00473C68">
      <w:pPr>
        <w:tabs>
          <w:tab w:val="left" w:pos="1418"/>
        </w:tabs>
        <w:autoSpaceDE w:val="0"/>
        <w:autoSpaceDN w:val="0"/>
        <w:adjustRightInd w:val="0"/>
        <w:spacing w:line="360" w:lineRule="auto"/>
        <w:ind w:firstLine="420" w:firstLineChars="200"/>
        <w:rPr>
          <w:rFonts w:ascii="宋体" w:hAnsi="宋体" w:cs="宋体"/>
          <w:szCs w:val="21"/>
        </w:rPr>
      </w:pPr>
      <w:r>
        <w:rPr>
          <w:rFonts w:ascii="宋体" w:hAnsi="宋体" w:cs="宋体" w:hint="eastAsia"/>
          <w:szCs w:val="21"/>
        </w:rPr>
        <w:t>供应商在电子交易平台传输递交投标文件后，还可以在投标截止时间前提交备份投标文件，若供应商未提交备份投标文件，其后果由供应商自行承担。</w:t>
      </w:r>
    </w:p>
    <w:p w:rsidR="00473C68">
      <w:pPr>
        <w:tabs>
          <w:tab w:val="left" w:pos="1418"/>
        </w:tabs>
        <w:autoSpaceDE w:val="0"/>
        <w:autoSpaceDN w:val="0"/>
        <w:adjustRightInd w:val="0"/>
        <w:spacing w:line="360" w:lineRule="auto"/>
        <w:ind w:firstLine="420" w:firstLineChars="200"/>
        <w:rPr>
          <w:rFonts w:ascii="宋体" w:hAnsi="宋体" w:cs="宋体"/>
          <w:szCs w:val="21"/>
        </w:rPr>
      </w:pPr>
      <w:r>
        <w:rPr>
          <w:rFonts w:ascii="宋体" w:hAnsi="宋体" w:cs="宋体" w:hint="eastAsia"/>
          <w:szCs w:val="21"/>
        </w:rPr>
        <w:t>▲供应商仅提交备份投标文件的，投标无效。</w:t>
      </w:r>
    </w:p>
    <w:p w:rsidR="00473C68">
      <w:pPr>
        <w:spacing w:line="360" w:lineRule="auto"/>
        <w:ind w:firstLine="420" w:firstLineChars="200"/>
        <w:rPr>
          <w:rFonts w:ascii="宋体" w:hAnsi="宋体" w:cs="宋体"/>
          <w:szCs w:val="21"/>
        </w:rPr>
      </w:pPr>
      <w:r>
        <w:rPr>
          <w:rFonts w:ascii="宋体" w:hAnsi="宋体" w:cs="宋体" w:hint="eastAsia"/>
          <w:szCs w:val="21"/>
        </w:rPr>
        <w:t>（3）如有特殊情况，采购代理机构延长截止时间和开标时间，采购代理机构和投标人的权利和义务将受到新的截止时间和开标时间的约束。</w:t>
      </w:r>
    </w:p>
    <w:p w:rsidR="00473C68">
      <w:pPr>
        <w:spacing w:line="360" w:lineRule="auto"/>
        <w:ind w:firstLine="420" w:firstLineChars="200"/>
        <w:rPr>
          <w:rFonts w:ascii="宋体" w:hAnsi="宋体" w:cs="宋体"/>
          <w:szCs w:val="21"/>
        </w:rPr>
      </w:pPr>
      <w:r>
        <w:rPr>
          <w:rFonts w:ascii="宋体" w:hAnsi="宋体" w:cs="宋体" w:hint="eastAsia"/>
          <w:szCs w:val="21"/>
        </w:rPr>
        <w:t>4、投标文件的补充、修改和撤回。</w:t>
      </w:r>
    </w:p>
    <w:p w:rsidR="00473C68">
      <w:pPr>
        <w:pStyle w:val="21"/>
        <w:ind w:firstLine="480"/>
        <w:rPr>
          <w:rFonts w:ascii="宋体" w:hAnsi="宋体" w:cs="宋体"/>
          <w:sz w:val="21"/>
          <w:szCs w:val="21"/>
          <w:lang w:val="en-GB"/>
        </w:rPr>
      </w:pPr>
      <w:r>
        <w:rPr>
          <w:rFonts w:ascii="宋体" w:hAnsi="宋体" w:cs="宋体" w:hint="eastAsia"/>
          <w:szCs w:val="21"/>
        </w:rPr>
        <w:t>▲</w:t>
      </w:r>
      <w:r>
        <w:rPr>
          <w:rFonts w:ascii="宋体" w:hAnsi="宋体" w:cs="宋体" w:hint="eastAsia"/>
          <w:sz w:val="21"/>
          <w:szCs w:val="21"/>
          <w:lang w:val="en-GB"/>
        </w:rPr>
        <w:t>（</w:t>
      </w:r>
      <w:r>
        <w:rPr>
          <w:rFonts w:ascii="宋体" w:hAnsi="宋体" w:cs="宋体" w:hint="eastAsia"/>
          <w:sz w:val="21"/>
          <w:szCs w:val="21"/>
        </w:rPr>
        <w:t>1</w:t>
      </w:r>
      <w:r>
        <w:rPr>
          <w:rFonts w:ascii="宋体" w:hAnsi="宋体" w:cs="宋体" w:hint="eastAsia"/>
          <w:sz w:val="21"/>
          <w:szCs w:val="21"/>
          <w:lang w:val="en-GB"/>
        </w:rPr>
        <w:t>）投标人应当在投标截止时间前完成电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rsidR="00473C68">
      <w:pPr>
        <w:pStyle w:val="21"/>
        <w:ind w:firstLine="420"/>
        <w:rPr>
          <w:rFonts w:ascii="宋体" w:hAnsi="宋体" w:cs="宋体"/>
          <w:sz w:val="21"/>
          <w:szCs w:val="21"/>
          <w:lang w:val="en-GB"/>
        </w:rPr>
      </w:pPr>
      <w:r>
        <w:rPr>
          <w:rFonts w:ascii="宋体" w:hAnsi="宋体" w:cs="宋体" w:hint="eastAsia"/>
          <w:sz w:val="21"/>
          <w:szCs w:val="21"/>
          <w:lang w:val="en-GB"/>
        </w:rPr>
        <w:t>（</w:t>
      </w:r>
      <w:r>
        <w:rPr>
          <w:rFonts w:ascii="宋体" w:hAnsi="宋体" w:cs="宋体" w:hint="eastAsia"/>
          <w:sz w:val="21"/>
          <w:szCs w:val="21"/>
        </w:rPr>
        <w:t>2</w:t>
      </w:r>
      <w:r>
        <w:rPr>
          <w:rFonts w:ascii="宋体" w:hAnsi="宋体" w:cs="宋体" w:hint="eastAsia"/>
          <w:sz w:val="21"/>
          <w:szCs w:val="21"/>
          <w:lang w:val="en-GB"/>
        </w:rPr>
        <w:t>）投标截止时间后，投标供应商不得撤回、修改投标文件。</w:t>
      </w:r>
    </w:p>
    <w:p w:rsidR="00473C68">
      <w:pPr>
        <w:spacing w:line="360" w:lineRule="auto"/>
        <w:ind w:firstLine="420" w:firstLineChars="200"/>
        <w:rPr>
          <w:rFonts w:ascii="宋体" w:hAnsi="宋体" w:cs="宋体"/>
          <w:szCs w:val="21"/>
          <w:lang w:val="en-GB"/>
        </w:rPr>
      </w:pPr>
      <w:r>
        <w:rPr>
          <w:rFonts w:ascii="宋体" w:hAnsi="宋体" w:cs="宋体" w:hint="eastAsia"/>
          <w:szCs w:val="21"/>
        </w:rPr>
        <w:t>（3）</w:t>
      </w:r>
      <w:r>
        <w:rPr>
          <w:rFonts w:ascii="宋体" w:hAnsi="宋体" w:cs="宋体" w:hint="eastAsia"/>
          <w:szCs w:val="21"/>
          <w:lang w:val="en-GB"/>
        </w:rPr>
        <w:t>在开标后规定的投标有效期内，投标人不能撤销投标文件。</w:t>
      </w:r>
    </w:p>
    <w:p w:rsidR="00473C68">
      <w:pPr>
        <w:spacing w:line="360" w:lineRule="auto"/>
        <w:ind w:firstLine="420" w:firstLineChars="200"/>
        <w:rPr>
          <w:rFonts w:ascii="宋体" w:hAnsi="宋体" w:cs="宋体"/>
          <w:b/>
          <w:bCs/>
          <w:szCs w:val="21"/>
        </w:rPr>
      </w:pPr>
      <w:r>
        <w:rPr>
          <w:rFonts w:ascii="宋体" w:hAnsi="宋体" w:cs="宋体" w:hint="eastAsia"/>
          <w:b/>
          <w:bCs/>
          <w:szCs w:val="21"/>
        </w:rPr>
        <w:t>（三）投标文件的有效期</w:t>
      </w:r>
    </w:p>
    <w:p w:rsidR="00473C68">
      <w:pPr>
        <w:spacing w:line="360" w:lineRule="auto"/>
        <w:ind w:firstLine="420" w:firstLineChars="200"/>
        <w:rPr>
          <w:rFonts w:ascii="宋体" w:hAnsi="宋体" w:cs="宋体"/>
          <w:szCs w:val="21"/>
          <w:lang w:val="en-GB"/>
        </w:rPr>
      </w:pPr>
      <w:r>
        <w:rPr>
          <w:rFonts w:ascii="宋体" w:hAnsi="宋体" w:cs="宋体" w:hint="eastAsia"/>
          <w:szCs w:val="21"/>
        </w:rPr>
        <w:t>▲1、</w:t>
      </w:r>
      <w:r>
        <w:rPr>
          <w:rFonts w:ascii="宋体" w:hAnsi="宋体" w:cs="宋体" w:hint="eastAsia"/>
          <w:szCs w:val="21"/>
          <w:lang w:val="en-GB"/>
        </w:rPr>
        <w:t>自投标截止日起90天投标文件应保持有效。有效期不足的投标文件将被拒绝。</w:t>
      </w:r>
    </w:p>
    <w:p w:rsidR="00473C68">
      <w:pPr>
        <w:spacing w:line="360" w:lineRule="auto"/>
        <w:ind w:firstLine="420" w:firstLineChars="200"/>
        <w:rPr>
          <w:rFonts w:ascii="宋体" w:hAnsi="宋体" w:cs="宋体"/>
          <w:szCs w:val="21"/>
          <w:lang w:val="en-GB"/>
        </w:rPr>
      </w:pPr>
      <w:r>
        <w:rPr>
          <w:rFonts w:ascii="宋体" w:hAnsi="宋体" w:cs="宋体" w:hint="eastAsia"/>
          <w:szCs w:val="21"/>
        </w:rPr>
        <w:t>2、</w:t>
      </w:r>
      <w:r>
        <w:rPr>
          <w:rFonts w:ascii="宋体" w:hAnsi="宋体" w:cs="宋体" w:hint="eastAsia"/>
          <w:szCs w:val="21"/>
          <w:lang w:val="en-GB"/>
        </w:rPr>
        <w:t>在符合相关法律法规规定的情况下，采购人可与投标人协商延长投标文件的有效期，这种要求和答复均以书面形式进行。</w:t>
      </w:r>
    </w:p>
    <w:p w:rsidR="00473C68">
      <w:pPr>
        <w:spacing w:line="360" w:lineRule="auto"/>
        <w:ind w:firstLine="420" w:firstLineChars="200"/>
        <w:rPr>
          <w:rFonts w:ascii="宋体" w:hAnsi="宋体" w:cs="宋体"/>
          <w:szCs w:val="21"/>
        </w:rPr>
      </w:pPr>
      <w:r>
        <w:rPr>
          <w:rFonts w:ascii="宋体" w:hAnsi="宋体" w:cs="宋体" w:hint="eastAsia"/>
          <w:szCs w:val="21"/>
        </w:rPr>
        <w:t>▲3、中标人的投标文件自开标之日起至合同履行完毕均应保持有效。</w:t>
      </w:r>
    </w:p>
    <w:p w:rsidR="00473C68">
      <w:pPr>
        <w:spacing w:line="360" w:lineRule="auto"/>
        <w:rPr>
          <w:rFonts w:ascii="宋体" w:hAnsi="宋体" w:cs="宋体"/>
          <w:szCs w:val="21"/>
        </w:rPr>
      </w:pPr>
      <w:r>
        <w:rPr>
          <w:rFonts w:ascii="宋体" w:hAnsi="宋体" w:cs="宋体" w:hint="eastAsia"/>
          <w:b/>
          <w:bCs/>
          <w:szCs w:val="21"/>
        </w:rPr>
        <w:t>四、开标</w:t>
      </w:r>
    </w:p>
    <w:p w:rsidR="00473C68">
      <w:pPr>
        <w:spacing w:line="360" w:lineRule="auto"/>
        <w:ind w:firstLine="420" w:firstLineChars="200"/>
        <w:rPr>
          <w:rFonts w:ascii="宋体" w:hAnsi="宋体" w:cs="宋体"/>
          <w:szCs w:val="21"/>
        </w:rPr>
      </w:pPr>
      <w:r>
        <w:rPr>
          <w:rFonts w:ascii="宋体" w:hAnsi="宋体" w:cs="宋体" w:hint="eastAsia"/>
          <w:szCs w:val="21"/>
        </w:rPr>
        <w:t>（一）开标事项</w:t>
      </w:r>
    </w:p>
    <w:p w:rsidR="00473C68">
      <w:pPr>
        <w:tabs>
          <w:tab w:val="left" w:pos="1418"/>
        </w:tabs>
        <w:autoSpaceDE w:val="0"/>
        <w:autoSpaceDN w:val="0"/>
        <w:adjustRightInd w:val="0"/>
        <w:spacing w:line="360" w:lineRule="auto"/>
        <w:ind w:firstLine="420" w:firstLineChars="200"/>
        <w:rPr>
          <w:rFonts w:ascii="宋体" w:hAnsi="宋体" w:cs="宋体"/>
          <w:szCs w:val="21"/>
        </w:rPr>
        <w:sectPr>
          <w:headerReference w:type="default" r:id="rId41"/>
          <w:footerReference w:type="default" r:id="rId42"/>
          <w:type w:val="nextPage"/>
          <w:pgSz w:w="11906" w:h="16838"/>
          <w:pgMar w:top="1440" w:right="1440" w:bottom="1440" w:left="1803" w:header="851" w:footer="992" w:gutter="0"/>
          <w:pgNumType w:start="17"/>
          <w:cols w:space="0"/>
          <w:titlePg w:val="0"/>
          <w:docGrid w:type="lines" w:linePitch="325"/>
        </w:sectPr>
      </w:pPr>
    </w:p>
    <w:p w:rsidR="00473C68">
      <w:pPr>
        <w:tabs>
          <w:tab w:val="left" w:pos="1418"/>
        </w:tabs>
        <w:autoSpaceDE w:val="0"/>
        <w:autoSpaceDN w:val="0"/>
        <w:adjustRightInd w:val="0"/>
        <w:spacing w:line="360" w:lineRule="auto"/>
        <w:ind w:firstLine="420" w:firstLineChars="200"/>
        <w:rPr>
          <w:rFonts w:ascii="宋体" w:hAnsi="宋体" w:cs="宋体"/>
          <w:szCs w:val="21"/>
        </w:rPr>
      </w:pPr>
      <w:r>
        <w:rPr>
          <w:rFonts w:ascii="宋体" w:hAnsi="宋体" w:cs="宋体" w:hint="eastAsia"/>
          <w:szCs w:val="21"/>
        </w:rPr>
        <w:t>采购组织机构按照采购文件规定的时间通过电子交易平台组织开标、开启投标文件，所有供应商均应当准时在线参加。</w:t>
      </w:r>
    </w:p>
    <w:p w:rsidR="00473C68">
      <w:pPr>
        <w:tabs>
          <w:tab w:val="left" w:pos="1418"/>
        </w:tabs>
        <w:autoSpaceDE w:val="0"/>
        <w:autoSpaceDN w:val="0"/>
        <w:adjustRightInd w:val="0"/>
        <w:spacing w:line="360" w:lineRule="auto"/>
        <w:ind w:firstLine="420" w:firstLineChars="200"/>
        <w:rPr>
          <w:rFonts w:ascii="宋体" w:hAnsi="宋体" w:cs="宋体"/>
          <w:szCs w:val="21"/>
        </w:rPr>
      </w:pPr>
      <w:r>
        <w:rPr>
          <w:rFonts w:ascii="宋体" w:hAnsi="宋体" w:cs="宋体" w:hint="eastAsia"/>
          <w:szCs w:val="21"/>
        </w:rPr>
        <w:t>开标时，电子交易平台自动提取所有投标文件，提示采购组织机构和供应商按采购文件规定的方式和时间在线解密。</w:t>
      </w:r>
      <w:r>
        <w:rPr>
          <w:rFonts w:ascii="宋体" w:hAnsi="宋体" w:cs="宋体" w:hint="eastAsia"/>
          <w:b/>
          <w:bCs/>
          <w:szCs w:val="21"/>
        </w:rPr>
        <w:t>给予供应商在线解密的时间为截止投标后30分钟。</w:t>
      </w:r>
    </w:p>
    <w:p w:rsidR="00473C68">
      <w:pPr>
        <w:tabs>
          <w:tab w:val="left" w:pos="1418"/>
        </w:tabs>
        <w:autoSpaceDE w:val="0"/>
        <w:autoSpaceDN w:val="0"/>
        <w:adjustRightInd w:val="0"/>
        <w:spacing w:line="360" w:lineRule="auto"/>
        <w:ind w:firstLine="420" w:firstLineChars="200"/>
        <w:rPr>
          <w:rFonts w:ascii="宋体" w:hAnsi="宋体" w:cs="宋体"/>
          <w:szCs w:val="21"/>
        </w:rPr>
      </w:pPr>
      <w:r>
        <w:rPr>
          <w:rFonts w:ascii="宋体" w:hAnsi="宋体" w:cs="宋体" w:hint="eastAsia"/>
          <w:szCs w:val="21"/>
        </w:rPr>
        <w:t>▲投标文件未按时解密，供应商提供了备份投标文件的，以备份投标文件作为依据，否则视为投标文件撤回。投标文件已按时解密的，备份投标文件不再拆封。</w:t>
      </w:r>
    </w:p>
    <w:p w:rsidR="00473C68">
      <w:pPr>
        <w:tabs>
          <w:tab w:val="left" w:pos="1418"/>
        </w:tabs>
        <w:autoSpaceDE w:val="0"/>
        <w:autoSpaceDN w:val="0"/>
        <w:adjustRightInd w:val="0"/>
        <w:spacing w:line="360" w:lineRule="auto"/>
        <w:ind w:firstLine="420" w:firstLineChars="200"/>
        <w:rPr>
          <w:rFonts w:ascii="宋体" w:hAnsi="宋体" w:cs="宋体"/>
          <w:szCs w:val="21"/>
        </w:rPr>
      </w:pPr>
      <w:r>
        <w:rPr>
          <w:rFonts w:ascii="宋体" w:hAnsi="宋体" w:cs="宋体" w:hint="eastAsia"/>
          <w:szCs w:val="21"/>
        </w:rPr>
        <w:t>采购组织机构在“招标公告”规定的时间和地点公开开标，（受疫情期间影响）投标人的法定代表人或其授权代表无需现场参加开标会并签到。评标委员会成员不得参加开标活动。（本次招标采用先评审商务资格和技术服务方案，后公开并评审商务报价的办法实施）。</w:t>
      </w:r>
    </w:p>
    <w:p w:rsidR="00473C68">
      <w:pPr>
        <w:spacing w:line="360" w:lineRule="auto"/>
        <w:ind w:firstLine="420" w:firstLineChars="200"/>
        <w:rPr>
          <w:rFonts w:ascii="宋体" w:hAnsi="宋体" w:cs="宋体"/>
          <w:szCs w:val="21"/>
        </w:rPr>
      </w:pPr>
      <w:r>
        <w:rPr>
          <w:rFonts w:ascii="宋体" w:hAnsi="宋体" w:cs="宋体" w:hint="eastAsia"/>
          <w:szCs w:val="21"/>
        </w:rPr>
        <w:t>（二） 开标程序</w:t>
      </w:r>
    </w:p>
    <w:p w:rsidR="00473C68">
      <w:pPr>
        <w:spacing w:line="360" w:lineRule="auto"/>
        <w:ind w:firstLine="420" w:firstLineChars="200"/>
        <w:rPr>
          <w:rFonts w:ascii="宋体" w:hAnsi="宋体" w:cs="宋体"/>
          <w:szCs w:val="21"/>
        </w:rPr>
      </w:pPr>
      <w:r>
        <w:rPr>
          <w:rFonts w:ascii="宋体" w:hAnsi="宋体" w:cs="宋体" w:hint="eastAsia"/>
          <w:szCs w:val="21"/>
        </w:rPr>
        <w:t>1、开标会由招标项目负责人主持，主持人宣布开标会议开始；</w:t>
      </w:r>
    </w:p>
    <w:p w:rsidR="00473C68">
      <w:pPr>
        <w:spacing w:line="360" w:lineRule="auto"/>
        <w:ind w:firstLine="420" w:firstLineChars="200"/>
        <w:rPr>
          <w:rFonts w:ascii="宋体" w:hAnsi="宋体" w:cs="宋体"/>
          <w:szCs w:val="21"/>
        </w:rPr>
      </w:pPr>
      <w:r>
        <w:rPr>
          <w:rFonts w:ascii="宋体" w:hAnsi="宋体" w:cs="宋体" w:hint="eastAsia"/>
          <w:szCs w:val="21"/>
        </w:rPr>
        <w:t xml:space="preserve">2、主持人介绍参加开标会的人员名单； </w:t>
      </w:r>
    </w:p>
    <w:p w:rsidR="00473C68">
      <w:pPr>
        <w:spacing w:line="360" w:lineRule="auto"/>
        <w:ind w:firstLine="420" w:firstLineChars="200"/>
        <w:rPr>
          <w:rFonts w:ascii="宋体" w:hAnsi="宋体" w:cs="宋体"/>
          <w:szCs w:val="21"/>
        </w:rPr>
      </w:pPr>
      <w:r>
        <w:rPr>
          <w:rFonts w:ascii="宋体" w:hAnsi="宋体" w:cs="宋体" w:hint="eastAsia"/>
          <w:szCs w:val="21"/>
        </w:rPr>
        <w:t>3、主持人宣布评标期间的有关事项，告知应当回避的情形,提请有关人员回避；</w:t>
      </w:r>
    </w:p>
    <w:p w:rsidR="00473C68">
      <w:pPr>
        <w:spacing w:line="360" w:lineRule="auto"/>
        <w:ind w:firstLine="420" w:firstLineChars="200"/>
        <w:rPr>
          <w:rFonts w:ascii="宋体" w:hAnsi="宋体" w:cs="宋体"/>
          <w:szCs w:val="21"/>
        </w:rPr>
      </w:pPr>
      <w:r>
        <w:rPr>
          <w:rFonts w:ascii="宋体" w:hAnsi="宋体" w:cs="宋体" w:hint="eastAsia"/>
          <w:szCs w:val="21"/>
        </w:rPr>
        <w:t>4、向各投标人发出电子加密投标文件【开始解密】通知，由投标人按招标文件规定的时间内自行进行投标文件解密。投标文件的制作和解密应使用同一个数字证书，否则将可能解密失败。</w:t>
      </w:r>
    </w:p>
    <w:p w:rsidR="00473C68">
      <w:pPr>
        <w:spacing w:line="360" w:lineRule="auto"/>
        <w:ind w:firstLine="420" w:firstLineChars="200"/>
        <w:rPr>
          <w:rFonts w:ascii="宋体" w:hAnsi="宋体" w:cs="宋体"/>
          <w:szCs w:val="21"/>
        </w:rPr>
      </w:pPr>
      <w:r>
        <w:rPr>
          <w:rFonts w:ascii="宋体" w:hAnsi="宋体" w:cs="宋体" w:hint="eastAsia"/>
          <w:szCs w:val="21"/>
        </w:rPr>
        <w:t>5、采购组织机构点击【开启标书信息】，进入资格审查及符合性审查环节。</w:t>
      </w:r>
    </w:p>
    <w:p w:rsidR="00473C68">
      <w:pPr>
        <w:spacing w:line="360" w:lineRule="auto"/>
        <w:ind w:firstLine="420" w:firstLineChars="200"/>
        <w:rPr>
          <w:rFonts w:ascii="宋体" w:hAnsi="宋体" w:cs="宋体"/>
          <w:szCs w:val="21"/>
        </w:rPr>
      </w:pPr>
      <w:r>
        <w:rPr>
          <w:rFonts w:ascii="宋体" w:hAnsi="宋体" w:cs="宋体" w:hint="eastAsia"/>
          <w:szCs w:val="21"/>
        </w:rPr>
        <w:t>6、完成综合比较与评价后，开启报价响应文件。采购代理机构成功开启报价响应文件后，方可查看各供应商报价情况。</w:t>
      </w:r>
    </w:p>
    <w:p w:rsidR="00473C68">
      <w:pPr>
        <w:spacing w:line="360" w:lineRule="auto"/>
        <w:ind w:firstLine="420" w:firstLineChars="200"/>
        <w:rPr>
          <w:rFonts w:ascii="宋体" w:hAnsi="宋体" w:cs="宋体"/>
          <w:szCs w:val="21"/>
        </w:rPr>
      </w:pPr>
      <w:r>
        <w:rPr>
          <w:rFonts w:ascii="宋体" w:hAnsi="宋体" w:cs="宋体" w:hint="eastAsia"/>
          <w:szCs w:val="21"/>
        </w:rPr>
        <w:t>7、报价文件评审；</w:t>
      </w:r>
    </w:p>
    <w:p w:rsidR="00473C68">
      <w:pPr>
        <w:spacing w:line="360" w:lineRule="auto"/>
        <w:ind w:firstLine="420" w:firstLineChars="200"/>
        <w:rPr>
          <w:rFonts w:ascii="宋体" w:hAnsi="宋体" w:cs="宋体"/>
          <w:szCs w:val="21"/>
        </w:rPr>
      </w:pPr>
      <w:r>
        <w:rPr>
          <w:rFonts w:ascii="宋体" w:hAnsi="宋体" w:cs="宋体" w:hint="eastAsia"/>
          <w:szCs w:val="21"/>
        </w:rPr>
        <w:t>8、在完成评标后，宣布评标结果，开标会议结束。</w:t>
      </w:r>
    </w:p>
    <w:p w:rsidR="00473C68">
      <w:pPr>
        <w:spacing w:line="360" w:lineRule="auto"/>
        <w:rPr>
          <w:rFonts w:ascii="宋体" w:hAnsi="宋体" w:cs="宋体"/>
          <w:b/>
          <w:bCs/>
          <w:szCs w:val="21"/>
        </w:rPr>
      </w:pPr>
      <w:r>
        <w:rPr>
          <w:rFonts w:ascii="宋体" w:hAnsi="宋体" w:cs="宋体" w:hint="eastAsia"/>
          <w:b/>
          <w:bCs/>
          <w:szCs w:val="21"/>
        </w:rPr>
        <w:t>五、评标</w:t>
      </w:r>
    </w:p>
    <w:p w:rsidR="00473C68">
      <w:pPr>
        <w:spacing w:line="360" w:lineRule="auto"/>
        <w:ind w:firstLine="420" w:firstLineChars="200"/>
        <w:rPr>
          <w:rFonts w:ascii="宋体" w:hAnsi="宋体" w:cs="宋体"/>
          <w:b/>
          <w:bCs/>
          <w:szCs w:val="21"/>
        </w:rPr>
      </w:pPr>
      <w:r>
        <w:rPr>
          <w:rFonts w:ascii="宋体" w:hAnsi="宋体" w:cs="宋体" w:hint="eastAsia"/>
          <w:b/>
          <w:bCs/>
          <w:szCs w:val="21"/>
        </w:rPr>
        <w:t>（一）组建评标委员会</w:t>
      </w:r>
    </w:p>
    <w:p w:rsidR="00473C68">
      <w:pPr>
        <w:spacing w:line="360" w:lineRule="auto"/>
        <w:ind w:firstLine="420" w:firstLineChars="200"/>
        <w:rPr>
          <w:rFonts w:ascii="宋体" w:hAnsi="宋体" w:cs="宋体"/>
          <w:szCs w:val="21"/>
        </w:rPr>
      </w:pPr>
      <w:r>
        <w:rPr>
          <w:rFonts w:ascii="宋体" w:hAnsi="宋体" w:cs="宋体" w:hint="eastAsia"/>
          <w:szCs w:val="21"/>
        </w:rPr>
        <w:t>评标委员会由采购人代表和评审专家组成，成员人数为5人以上单数，其中评审专家不得少于成员总数的三分之二。</w:t>
      </w:r>
    </w:p>
    <w:p w:rsidR="00473C68">
      <w:pPr>
        <w:spacing w:line="360" w:lineRule="auto"/>
        <w:ind w:firstLine="420" w:firstLineChars="200"/>
        <w:rPr>
          <w:rFonts w:ascii="宋体" w:hAnsi="宋体" w:cs="宋体"/>
          <w:b/>
          <w:bCs/>
          <w:szCs w:val="21"/>
        </w:rPr>
      </w:pPr>
      <w:r>
        <w:rPr>
          <w:rFonts w:ascii="宋体" w:hAnsi="宋体" w:cs="宋体" w:hint="eastAsia"/>
          <w:b/>
          <w:bCs/>
          <w:szCs w:val="21"/>
        </w:rPr>
        <w:t>（二）评标程序</w:t>
      </w:r>
    </w:p>
    <w:p w:rsidR="00473C68">
      <w:pPr>
        <w:spacing w:line="360" w:lineRule="auto"/>
        <w:ind w:firstLine="420" w:firstLineChars="200"/>
        <w:rPr>
          <w:rFonts w:ascii="宋体" w:hAnsi="宋体" w:cs="宋体"/>
          <w:b/>
          <w:bCs/>
          <w:szCs w:val="21"/>
        </w:rPr>
      </w:pPr>
      <w:r>
        <w:rPr>
          <w:rFonts w:ascii="宋体" w:hAnsi="宋体" w:cs="宋体" w:hint="eastAsia"/>
          <w:b/>
          <w:bCs/>
          <w:szCs w:val="21"/>
        </w:rPr>
        <w:t>1、资格审查</w:t>
      </w:r>
    </w:p>
    <w:p w:rsidR="00473C68">
      <w:pPr>
        <w:spacing w:line="360" w:lineRule="auto"/>
        <w:ind w:firstLine="420" w:firstLineChars="200"/>
        <w:rPr>
          <w:rFonts w:ascii="宋体" w:hAnsi="宋体" w:cs="宋体"/>
          <w:szCs w:val="21"/>
        </w:rPr>
        <w:sectPr>
          <w:headerReference w:type="default" r:id="rId43"/>
          <w:footerReference w:type="default" r:id="rId44"/>
          <w:type w:val="nextPage"/>
          <w:pgSz w:w="11906" w:h="16838"/>
          <w:pgMar w:top="1440" w:right="1440" w:bottom="1440" w:left="1803" w:header="851" w:footer="992" w:gutter="0"/>
          <w:pgNumType w:start="18"/>
          <w:cols w:space="0"/>
          <w:titlePg w:val="0"/>
          <w:docGrid w:type="lines" w:linePitch="325"/>
        </w:sectPr>
      </w:pPr>
      <w:r>
        <w:rPr>
          <w:rFonts w:ascii="宋体" w:hAnsi="宋体" w:cs="宋体" w:hint="eastAsia"/>
          <w:szCs w:val="21"/>
        </w:rPr>
        <w:t>公开招标采购项目开标结束后，采购人或者采购组织机构应当依法对投标人的资格进行审查，对审查发现无效的进行必要的询标，结束后公布无效投标的投标人名单、投标无效的原因。</w:t>
      </w:r>
    </w:p>
    <w:p w:rsidR="00473C68">
      <w:pPr>
        <w:spacing w:line="360" w:lineRule="auto"/>
        <w:ind w:firstLine="420" w:firstLineChars="200"/>
        <w:rPr>
          <w:rFonts w:ascii="宋体" w:hAnsi="宋体" w:cs="宋体"/>
          <w:b/>
          <w:bCs/>
          <w:szCs w:val="21"/>
        </w:rPr>
      </w:pPr>
      <w:r>
        <w:rPr>
          <w:rFonts w:ascii="宋体" w:hAnsi="宋体" w:cs="宋体" w:hint="eastAsia"/>
          <w:b/>
          <w:bCs/>
          <w:szCs w:val="21"/>
        </w:rPr>
        <w:t>2、符合性审查</w:t>
      </w:r>
    </w:p>
    <w:p w:rsidR="00473C68">
      <w:pPr>
        <w:spacing w:line="360" w:lineRule="auto"/>
        <w:ind w:firstLine="420" w:firstLineChars="200"/>
        <w:rPr>
          <w:rFonts w:ascii="宋体" w:hAnsi="宋体" w:cs="宋体"/>
          <w:szCs w:val="21"/>
        </w:rPr>
      </w:pPr>
      <w:r>
        <w:rPr>
          <w:rFonts w:ascii="宋体" w:hAnsi="宋体" w:cs="宋体" w:hint="eastAsia"/>
          <w:szCs w:val="21"/>
        </w:rPr>
        <w:t>评标委员会应当对符合资格的投标人的投标文件进行符合性审查，以确定其是否满足招标文件的实质性要求，对审查发现无效的进行必要的询标，结束后公布无效投标的投标人名单、投标无效的原因。</w:t>
      </w:r>
    </w:p>
    <w:p w:rsidR="00473C68">
      <w:pPr>
        <w:spacing w:line="360" w:lineRule="auto"/>
        <w:ind w:firstLine="420" w:firstLineChars="200"/>
        <w:rPr>
          <w:rFonts w:ascii="宋体" w:hAnsi="宋体" w:cs="宋体"/>
          <w:b/>
          <w:bCs/>
          <w:szCs w:val="21"/>
        </w:rPr>
      </w:pPr>
      <w:r>
        <w:rPr>
          <w:rFonts w:ascii="宋体" w:hAnsi="宋体" w:cs="宋体" w:hint="eastAsia"/>
          <w:b/>
          <w:bCs/>
          <w:szCs w:val="21"/>
        </w:rPr>
        <w:t>3、综合比较与评价</w:t>
      </w:r>
    </w:p>
    <w:p w:rsidR="00473C68">
      <w:pPr>
        <w:spacing w:line="360" w:lineRule="auto"/>
        <w:ind w:firstLine="420" w:firstLineChars="200"/>
        <w:rPr>
          <w:rFonts w:ascii="宋体" w:hAnsi="宋体" w:cs="宋体"/>
          <w:szCs w:val="21"/>
        </w:rPr>
      </w:pPr>
      <w:r>
        <w:rPr>
          <w:rFonts w:ascii="宋体" w:hAnsi="宋体" w:cs="宋体" w:hint="eastAsia"/>
          <w:szCs w:val="21"/>
        </w:rPr>
        <w:t>（1）对于投标文件中含义不明确、同类问题表述不一致或者有明显文字和计算错误的内容，评标委员会应当以书面形式要求投标人作出必要的澄清、说明或者补正。</w:t>
      </w:r>
    </w:p>
    <w:p w:rsidR="00473C68">
      <w:pPr>
        <w:spacing w:line="360" w:lineRule="auto"/>
        <w:ind w:firstLine="420" w:firstLineChars="200"/>
        <w:rPr>
          <w:rFonts w:ascii="宋体" w:hAnsi="宋体" w:cs="宋体"/>
          <w:szCs w:val="21"/>
        </w:rPr>
      </w:pPr>
      <w:r>
        <w:rPr>
          <w:rFonts w:ascii="宋体" w:hAnsi="宋体" w:cs="宋体" w:hint="eastAsia"/>
          <w:szCs w:val="21"/>
        </w:rPr>
        <w:t>（2）评标委员会应当按照招标文件中规定的评标方法和标准，对符合性审查合格的投标文件进行商务和技术评估，综合比较与评价。</w:t>
      </w:r>
    </w:p>
    <w:p w:rsidR="00473C68">
      <w:pPr>
        <w:spacing w:line="360" w:lineRule="auto"/>
        <w:ind w:firstLine="420" w:firstLineChars="200"/>
        <w:rPr>
          <w:rFonts w:ascii="宋体" w:hAnsi="宋体" w:cs="宋体"/>
          <w:szCs w:val="21"/>
        </w:rPr>
      </w:pPr>
      <w:r>
        <w:rPr>
          <w:rFonts w:ascii="宋体" w:hAnsi="宋体" w:cs="宋体" w:hint="eastAsia"/>
          <w:szCs w:val="21"/>
        </w:rPr>
        <w:t>（3）评标时，评标委员会各成员应当独立对每个投标人的投标文件进行评价，并汇总每个投标人的得分。</w:t>
      </w:r>
    </w:p>
    <w:p w:rsidR="00473C68">
      <w:pPr>
        <w:spacing w:line="360" w:lineRule="auto"/>
        <w:ind w:firstLine="420" w:firstLineChars="200"/>
        <w:rPr>
          <w:rFonts w:ascii="宋体" w:hAnsi="宋体" w:cs="宋体"/>
          <w:b/>
          <w:bCs/>
          <w:szCs w:val="21"/>
        </w:rPr>
      </w:pPr>
      <w:r>
        <w:rPr>
          <w:rFonts w:ascii="宋体" w:hAnsi="宋体" w:cs="宋体" w:hint="eastAsia"/>
          <w:b/>
          <w:bCs/>
          <w:szCs w:val="21"/>
        </w:rPr>
        <w:t>4、得分确认及评审报告编写</w:t>
      </w:r>
    </w:p>
    <w:p w:rsidR="00473C68">
      <w:pPr>
        <w:spacing w:line="360" w:lineRule="auto"/>
        <w:ind w:firstLine="420" w:firstLineChars="200"/>
        <w:rPr>
          <w:rFonts w:ascii="宋体" w:hAnsi="宋体" w:cs="宋体"/>
          <w:szCs w:val="21"/>
        </w:rPr>
      </w:pPr>
      <w:r>
        <w:rPr>
          <w:rFonts w:ascii="宋体" w:hAnsi="宋体" w:cs="宋体" w:hint="eastAsia"/>
          <w:szCs w:val="21"/>
        </w:rPr>
        <w:t>（1）评标委员会对报价文件进行复核，对于系统计算出的价格分及总得分进行确认；</w:t>
      </w:r>
    </w:p>
    <w:p w:rsidR="00473C68">
      <w:pPr>
        <w:spacing w:line="360" w:lineRule="auto"/>
        <w:ind w:firstLine="420" w:firstLineChars="200"/>
        <w:rPr>
          <w:rFonts w:ascii="宋体" w:hAnsi="宋体" w:cs="宋体"/>
          <w:szCs w:val="21"/>
        </w:rPr>
      </w:pPr>
      <w:r>
        <w:rPr>
          <w:rFonts w:ascii="宋体" w:hAnsi="宋体" w:cs="宋体" w:hint="eastAsia"/>
          <w:szCs w:val="21"/>
        </w:rPr>
        <w:t>（2）评标委员会应当按照招标文件中规定的评标方法和标准，对符合性审查合格的投标文件进行商务和技术评估，综合比较与评价。</w:t>
      </w:r>
    </w:p>
    <w:p w:rsidR="00473C68">
      <w:pPr>
        <w:spacing w:line="360" w:lineRule="auto"/>
        <w:ind w:firstLine="420" w:firstLineChars="200"/>
        <w:rPr>
          <w:rFonts w:ascii="宋体" w:hAnsi="宋体" w:cs="宋体"/>
          <w:szCs w:val="21"/>
        </w:rPr>
      </w:pPr>
      <w:r>
        <w:rPr>
          <w:rFonts w:ascii="宋体" w:hAnsi="宋体" w:cs="宋体" w:hint="eastAsia"/>
          <w:szCs w:val="21"/>
        </w:rPr>
        <w:t>（3）评标委员会按评标原则及得分情况编写评审报告。</w:t>
      </w:r>
    </w:p>
    <w:p w:rsidR="00473C68">
      <w:pPr>
        <w:spacing w:line="360" w:lineRule="auto"/>
        <w:ind w:firstLine="420" w:firstLineChars="200"/>
        <w:rPr>
          <w:rFonts w:ascii="宋体" w:hAnsi="宋体" w:cs="宋体"/>
          <w:b/>
          <w:bCs/>
          <w:szCs w:val="21"/>
        </w:rPr>
      </w:pPr>
      <w:r>
        <w:rPr>
          <w:rFonts w:ascii="宋体" w:hAnsi="宋体" w:cs="宋体" w:hint="eastAsia"/>
          <w:b/>
          <w:bCs/>
          <w:szCs w:val="21"/>
        </w:rPr>
        <w:t>5、评价</w:t>
      </w:r>
    </w:p>
    <w:p w:rsidR="00473C68">
      <w:pPr>
        <w:spacing w:line="360" w:lineRule="auto"/>
        <w:ind w:firstLine="420" w:firstLineChars="200"/>
        <w:rPr>
          <w:rFonts w:ascii="宋体" w:hAnsi="宋体" w:cs="宋体"/>
          <w:szCs w:val="21"/>
        </w:rPr>
      </w:pPr>
      <w:r>
        <w:rPr>
          <w:rFonts w:ascii="宋体" w:hAnsi="宋体" w:cs="宋体" w:hint="eastAsia"/>
          <w:szCs w:val="21"/>
        </w:rPr>
        <w:t>采购组织机构对评标委员会评审专家进行评价。</w:t>
      </w:r>
    </w:p>
    <w:p w:rsidR="00473C68">
      <w:pPr>
        <w:spacing w:line="360" w:lineRule="auto"/>
        <w:ind w:firstLine="420" w:firstLineChars="200"/>
        <w:rPr>
          <w:rFonts w:ascii="宋体" w:hAnsi="宋体" w:cs="宋体"/>
          <w:b/>
          <w:bCs/>
          <w:szCs w:val="21"/>
        </w:rPr>
      </w:pPr>
      <w:r>
        <w:rPr>
          <w:rFonts w:ascii="宋体" w:hAnsi="宋体" w:cs="宋体" w:hint="eastAsia"/>
          <w:b/>
          <w:bCs/>
          <w:szCs w:val="21"/>
        </w:rPr>
        <w:t>（三）澄清问题的形式</w:t>
      </w:r>
    </w:p>
    <w:p w:rsidR="00473C68">
      <w:pPr>
        <w:spacing w:line="360" w:lineRule="auto"/>
        <w:ind w:firstLine="420" w:firstLineChars="200"/>
        <w:rPr>
          <w:rFonts w:ascii="宋体" w:hAnsi="宋体" w:cs="宋体"/>
          <w:szCs w:val="21"/>
        </w:rPr>
      </w:pPr>
      <w:r>
        <w:rPr>
          <w:rFonts w:ascii="宋体" w:hAnsi="宋体" w:cs="宋体" w:hint="eastAsia"/>
          <w:szCs w:val="21"/>
        </w:rPr>
        <w:t>投标人的澄清、说明或者补正应当采用书面形式，并加盖公章或者由法定代表人或授权委托代理人签字，并不得超出投标文件的范围或者改变投标文件的实质性内容。</w:t>
      </w:r>
    </w:p>
    <w:p w:rsidR="00473C68">
      <w:pPr>
        <w:spacing w:line="360" w:lineRule="auto"/>
        <w:ind w:firstLine="420" w:firstLineChars="200"/>
        <w:rPr>
          <w:rFonts w:ascii="宋体" w:hAnsi="宋体" w:cs="宋体"/>
          <w:b/>
          <w:bCs/>
          <w:szCs w:val="21"/>
        </w:rPr>
      </w:pPr>
      <w:r>
        <w:rPr>
          <w:rFonts w:ascii="宋体" w:hAnsi="宋体" w:cs="宋体" w:hint="eastAsia"/>
          <w:b/>
          <w:bCs/>
          <w:szCs w:val="21"/>
        </w:rPr>
        <w:t>（四）错误修正</w:t>
      </w:r>
    </w:p>
    <w:p w:rsidR="00473C68">
      <w:pPr>
        <w:spacing w:line="360" w:lineRule="auto"/>
        <w:ind w:firstLine="420" w:firstLineChars="200"/>
        <w:rPr>
          <w:rFonts w:ascii="宋体" w:hAnsi="宋体" w:cs="宋体"/>
          <w:szCs w:val="21"/>
        </w:rPr>
      </w:pPr>
      <w:r>
        <w:rPr>
          <w:rFonts w:ascii="宋体" w:hAnsi="宋体" w:cs="宋体" w:hint="eastAsia"/>
          <w:szCs w:val="21"/>
        </w:rPr>
        <w:t>投标文件报价出现前后不一致的，除招标文件另有规定外，按照下列规定修正：</w:t>
      </w:r>
    </w:p>
    <w:p w:rsidR="00473C68">
      <w:pPr>
        <w:spacing w:line="360" w:lineRule="auto"/>
        <w:ind w:firstLine="420" w:firstLineChars="200"/>
        <w:rPr>
          <w:rFonts w:ascii="宋体" w:hAnsi="宋体" w:cs="宋体"/>
          <w:szCs w:val="21"/>
        </w:rPr>
      </w:pPr>
      <w:r>
        <w:rPr>
          <w:rFonts w:ascii="宋体" w:hAnsi="宋体" w:cs="宋体" w:hint="eastAsia"/>
          <w:szCs w:val="21"/>
        </w:rPr>
        <w:t>1、投标文件中开标一览表（报价表）内容与投标文件中相应内容不一致的，以开标一览表（报价表）为准。政采云平台开标一览表中填报的价格与上传的报价响应文件中开标一览表的报价不一致的，以上传的报价响应文件中开标一览表的价格为准，修正平台上的投标报价；</w:t>
      </w:r>
    </w:p>
    <w:p w:rsidR="00473C68">
      <w:pPr>
        <w:spacing w:line="360" w:lineRule="auto"/>
        <w:ind w:firstLine="420" w:firstLineChars="200"/>
        <w:rPr>
          <w:rFonts w:ascii="宋体" w:hAnsi="宋体" w:cs="宋体"/>
          <w:szCs w:val="21"/>
        </w:rPr>
      </w:pPr>
      <w:r>
        <w:rPr>
          <w:rFonts w:ascii="宋体" w:hAnsi="宋体" w:cs="宋体" w:hint="eastAsia"/>
          <w:szCs w:val="21"/>
        </w:rPr>
        <w:t>2、大写金额和小写金额不一致的，以大写金额为准；</w:t>
      </w:r>
    </w:p>
    <w:p w:rsidR="00473C68">
      <w:pPr>
        <w:spacing w:line="360" w:lineRule="auto"/>
        <w:ind w:firstLine="420" w:firstLineChars="200"/>
        <w:rPr>
          <w:rFonts w:ascii="宋体" w:hAnsi="宋体" w:cs="宋体"/>
          <w:szCs w:val="21"/>
        </w:rPr>
        <w:sectPr>
          <w:headerReference w:type="default" r:id="rId45"/>
          <w:footerReference w:type="default" r:id="rId46"/>
          <w:type w:val="nextPage"/>
          <w:pgSz w:w="11906" w:h="16838"/>
          <w:pgMar w:top="1440" w:right="1440" w:bottom="1440" w:left="1803" w:header="851" w:footer="992" w:gutter="0"/>
          <w:pgNumType w:start="19"/>
          <w:cols w:space="0"/>
          <w:titlePg w:val="0"/>
          <w:docGrid w:type="lines" w:linePitch="325"/>
        </w:sectPr>
      </w:pPr>
      <w:r>
        <w:rPr>
          <w:rFonts w:ascii="宋体" w:hAnsi="宋体" w:cs="宋体" w:hint="eastAsia"/>
          <w:szCs w:val="21"/>
        </w:rPr>
        <w:t>3、单价金额小数点或者百分比有明显错位的，以开标一览表的总价为准，并修改单价；</w:t>
      </w:r>
    </w:p>
    <w:p w:rsidR="00473C68">
      <w:pPr>
        <w:spacing w:line="360" w:lineRule="auto"/>
        <w:ind w:firstLine="420" w:firstLineChars="200"/>
        <w:rPr>
          <w:rFonts w:ascii="宋体" w:hAnsi="宋体" w:cs="宋体"/>
          <w:szCs w:val="21"/>
        </w:rPr>
      </w:pPr>
      <w:r>
        <w:rPr>
          <w:rFonts w:ascii="宋体" w:hAnsi="宋体" w:cs="宋体" w:hint="eastAsia"/>
          <w:szCs w:val="21"/>
        </w:rPr>
        <w:t>4、总价金额与按单价汇总金额不一致的，以单价金额计算结果为准。</w:t>
      </w:r>
    </w:p>
    <w:p w:rsidR="00473C68">
      <w:pPr>
        <w:spacing w:line="360" w:lineRule="auto"/>
        <w:ind w:firstLine="420" w:firstLineChars="200"/>
        <w:rPr>
          <w:rFonts w:ascii="宋体" w:hAnsi="宋体" w:cs="宋体"/>
          <w:szCs w:val="21"/>
        </w:rPr>
      </w:pPr>
      <w:r>
        <w:rPr>
          <w:rFonts w:ascii="宋体" w:hAnsi="宋体" w:cs="宋体" w:hint="eastAsia"/>
          <w:szCs w:val="21"/>
        </w:rPr>
        <w:t>▲同时出现两种以上不一致的，按照前款规定的顺序修正。修正应当采用书面形式，并加盖公章，或者由法定代表人或授权委托代理人签字。修正后的报价经投标人确认后产生约束力，投标人不确认的，其投标无效。</w:t>
      </w:r>
    </w:p>
    <w:p w:rsidR="00473C68">
      <w:pPr>
        <w:spacing w:line="360" w:lineRule="auto"/>
        <w:ind w:firstLine="420" w:firstLineChars="200"/>
        <w:rPr>
          <w:rFonts w:ascii="宋体" w:hAnsi="宋体" w:cs="宋体"/>
          <w:b/>
          <w:bCs/>
          <w:szCs w:val="21"/>
        </w:rPr>
      </w:pPr>
      <w:r>
        <w:rPr>
          <w:rFonts w:ascii="宋体" w:hAnsi="宋体" w:cs="宋体" w:hint="eastAsia"/>
          <w:b/>
          <w:bCs/>
          <w:szCs w:val="21"/>
        </w:rPr>
        <w:t>（五）投标人存在下列情况之一的，投标无效</w:t>
      </w:r>
    </w:p>
    <w:p w:rsidR="00473C68">
      <w:pPr>
        <w:spacing w:line="360" w:lineRule="auto"/>
        <w:ind w:firstLine="420" w:firstLineChars="200"/>
        <w:rPr>
          <w:rFonts w:ascii="宋体" w:hAnsi="宋体" w:cs="宋体"/>
          <w:szCs w:val="21"/>
        </w:rPr>
      </w:pPr>
      <w:r>
        <w:rPr>
          <w:rFonts w:ascii="宋体" w:hAnsi="宋体" w:cs="宋体" w:hint="eastAsia"/>
          <w:szCs w:val="21"/>
        </w:rPr>
        <w:t>1、资格证明文件或商务与技术文件跟报价文件出现混装或在资格证明文件或商务与技术文件中出现投标报价的，或者报价文件中报价的货物跟商务与技术文件中的投标货物出现重大偏差的；</w:t>
      </w:r>
    </w:p>
    <w:p w:rsidR="00473C68">
      <w:pPr>
        <w:spacing w:line="360" w:lineRule="auto"/>
        <w:ind w:firstLine="420" w:firstLineChars="200"/>
        <w:rPr>
          <w:rFonts w:ascii="宋体" w:hAnsi="宋体" w:cs="宋体"/>
          <w:szCs w:val="21"/>
        </w:rPr>
      </w:pPr>
      <w:r>
        <w:rPr>
          <w:rFonts w:ascii="宋体" w:hAnsi="宋体" w:cs="宋体" w:hint="eastAsia"/>
          <w:szCs w:val="21"/>
        </w:rPr>
        <w:t>2、不具备招标文件中规定的资格要求的。</w:t>
      </w:r>
      <w:r>
        <w:rPr>
          <w:rFonts w:ascii="宋体" w:hAnsi="宋体" w:cs="宋体" w:hint="eastAsia"/>
          <w:szCs w:val="21"/>
        </w:rPr>
        <w:tab/>
      </w:r>
    </w:p>
    <w:p w:rsidR="00473C68">
      <w:pPr>
        <w:spacing w:line="360" w:lineRule="auto"/>
        <w:ind w:firstLine="420" w:firstLineChars="200"/>
        <w:rPr>
          <w:rFonts w:ascii="宋体" w:hAnsi="宋体" w:cs="宋体"/>
          <w:szCs w:val="21"/>
        </w:rPr>
      </w:pPr>
      <w:r>
        <w:rPr>
          <w:rFonts w:ascii="宋体" w:hAnsi="宋体" w:cs="宋体" w:hint="eastAsia"/>
          <w:szCs w:val="21"/>
        </w:rPr>
        <w:t>3、投标文件含有采购人不能接受的附加条件的。</w:t>
      </w:r>
    </w:p>
    <w:p w:rsidR="00473C68">
      <w:pPr>
        <w:spacing w:line="360" w:lineRule="auto"/>
        <w:ind w:firstLine="420" w:firstLineChars="200"/>
        <w:rPr>
          <w:rFonts w:ascii="宋体" w:hAnsi="宋体" w:cs="宋体"/>
          <w:szCs w:val="21"/>
        </w:rPr>
      </w:pPr>
      <w:r>
        <w:rPr>
          <w:rFonts w:ascii="宋体" w:hAnsi="宋体" w:cs="宋体" w:hint="eastAsia"/>
          <w:szCs w:val="21"/>
        </w:rPr>
        <w:t>4、投标人的授权委托代理人未能出具身份证明或与法定代表人授权委托人身份不符的（受疫情影响，投标人的授权委托代理人无须现场参加开标）；</w:t>
      </w:r>
    </w:p>
    <w:p w:rsidR="00473C68">
      <w:pPr>
        <w:spacing w:line="360" w:lineRule="auto"/>
        <w:ind w:firstLine="420" w:firstLineChars="200"/>
        <w:rPr>
          <w:rFonts w:ascii="宋体" w:hAnsi="宋体" w:cs="宋体"/>
          <w:szCs w:val="21"/>
        </w:rPr>
      </w:pPr>
      <w:r>
        <w:rPr>
          <w:rFonts w:ascii="宋体" w:hAnsi="宋体" w:cs="宋体" w:hint="eastAsia"/>
          <w:szCs w:val="21"/>
        </w:rPr>
        <w:t>5、投标人的电子投标文件无法按时解密的。</w:t>
      </w:r>
    </w:p>
    <w:p w:rsidR="00473C68">
      <w:pPr>
        <w:spacing w:line="360" w:lineRule="auto"/>
        <w:ind w:firstLine="420" w:firstLineChars="200"/>
        <w:rPr>
          <w:rFonts w:ascii="宋体" w:hAnsi="宋体" w:cs="宋体"/>
          <w:szCs w:val="21"/>
        </w:rPr>
      </w:pPr>
      <w:r>
        <w:rPr>
          <w:rFonts w:ascii="宋体" w:hAnsi="宋体" w:cs="宋体" w:hint="eastAsia"/>
          <w:szCs w:val="21"/>
        </w:rPr>
        <w:t>6、电子投标文件解密失败的，且未在规定时间内提交备份投标文件的；</w:t>
      </w:r>
    </w:p>
    <w:p w:rsidR="00473C68">
      <w:pPr>
        <w:spacing w:line="360" w:lineRule="auto"/>
        <w:ind w:firstLine="420" w:firstLineChars="200"/>
        <w:rPr>
          <w:rFonts w:ascii="宋体" w:hAnsi="宋体" w:cs="宋体"/>
          <w:szCs w:val="21"/>
        </w:rPr>
      </w:pPr>
      <w:r>
        <w:rPr>
          <w:rFonts w:ascii="宋体" w:hAnsi="宋体" w:cs="宋体" w:hint="eastAsia"/>
          <w:szCs w:val="21"/>
        </w:rPr>
        <w:t>7、电子投标文件未按规定要求提供电子签章的；</w:t>
      </w:r>
    </w:p>
    <w:p w:rsidR="00473C68">
      <w:pPr>
        <w:spacing w:line="360" w:lineRule="auto"/>
        <w:ind w:firstLine="420" w:firstLineChars="200"/>
        <w:rPr>
          <w:rFonts w:ascii="宋体" w:hAnsi="宋体" w:cs="宋体"/>
          <w:szCs w:val="21"/>
        </w:rPr>
      </w:pPr>
      <w:r>
        <w:rPr>
          <w:rFonts w:ascii="宋体" w:hAnsi="宋体" w:cs="宋体" w:hint="eastAsia"/>
          <w:szCs w:val="21"/>
        </w:rPr>
        <w:t>8、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473C68">
      <w:pPr>
        <w:spacing w:line="360" w:lineRule="auto"/>
        <w:ind w:firstLine="420" w:firstLineChars="200"/>
        <w:rPr>
          <w:rFonts w:ascii="宋体" w:hAnsi="宋体" w:cs="宋体"/>
          <w:szCs w:val="21"/>
        </w:rPr>
      </w:pPr>
      <w:r>
        <w:rPr>
          <w:rFonts w:ascii="宋体" w:hAnsi="宋体" w:cs="宋体" w:hint="eastAsia"/>
          <w:szCs w:val="21"/>
        </w:rPr>
        <w:t xml:space="preserve">9、报价超过招标文件中规定的预算价/最高限(单)价。 </w:t>
      </w:r>
    </w:p>
    <w:p w:rsidR="00473C68">
      <w:pPr>
        <w:spacing w:line="360" w:lineRule="auto"/>
        <w:ind w:firstLine="420" w:firstLineChars="200"/>
        <w:rPr>
          <w:rFonts w:ascii="宋体" w:hAnsi="宋体" w:cs="宋体"/>
          <w:szCs w:val="21"/>
        </w:rPr>
      </w:pPr>
      <w:r>
        <w:rPr>
          <w:rFonts w:ascii="宋体" w:hAnsi="宋体" w:cs="宋体" w:hint="eastAsia"/>
          <w:szCs w:val="21"/>
        </w:rPr>
        <w:t>10、投标参数未如实填写，完全复制粘贴招标参数的。</w:t>
      </w:r>
    </w:p>
    <w:p w:rsidR="00473C68">
      <w:pPr>
        <w:spacing w:line="360" w:lineRule="auto"/>
        <w:ind w:firstLine="420" w:firstLineChars="200"/>
        <w:rPr>
          <w:rFonts w:ascii="宋体" w:hAnsi="宋体" w:cs="宋体"/>
          <w:szCs w:val="21"/>
        </w:rPr>
      </w:pPr>
      <w:r>
        <w:rPr>
          <w:rFonts w:ascii="宋体" w:hAnsi="宋体" w:cs="宋体" w:hint="eastAsia"/>
          <w:szCs w:val="21"/>
        </w:rPr>
        <w:t xml:space="preserve">11、投标文件提供虚假材料的。 </w:t>
      </w:r>
    </w:p>
    <w:p w:rsidR="00473C68">
      <w:pPr>
        <w:spacing w:line="360" w:lineRule="auto"/>
        <w:ind w:firstLine="420" w:firstLineChars="200"/>
        <w:rPr>
          <w:rFonts w:ascii="宋体" w:hAnsi="宋体" w:cs="宋体"/>
          <w:szCs w:val="21"/>
        </w:rPr>
      </w:pPr>
      <w:r>
        <w:rPr>
          <w:rFonts w:ascii="宋体" w:hAnsi="宋体" w:cs="宋体" w:hint="eastAsia"/>
          <w:szCs w:val="21"/>
        </w:rPr>
        <w:t>12、不符合中华人民共和国财政部令第87号《政府采购货物和服务招标投标管理办法》第三十七条情形之一的，视为投标人串通投标，其投标无效，并移送采购监管部门：</w:t>
      </w:r>
    </w:p>
    <w:p w:rsidR="00473C68">
      <w:pPr>
        <w:spacing w:line="360" w:lineRule="auto"/>
        <w:ind w:firstLine="420" w:firstLineChars="200"/>
        <w:rPr>
          <w:rFonts w:ascii="宋体" w:hAnsi="宋体" w:cs="宋体"/>
          <w:szCs w:val="21"/>
        </w:rPr>
      </w:pPr>
      <w:r>
        <w:rPr>
          <w:rFonts w:ascii="宋体" w:hAnsi="宋体" w:cs="宋体" w:hint="eastAsia"/>
          <w:szCs w:val="21"/>
        </w:rPr>
        <w:t>（1）不同投标人的投标文件由同一单位或者个人编制；</w:t>
      </w:r>
    </w:p>
    <w:p w:rsidR="00473C68">
      <w:pPr>
        <w:spacing w:line="360" w:lineRule="auto"/>
        <w:ind w:firstLine="420" w:firstLineChars="200"/>
        <w:rPr>
          <w:rFonts w:ascii="宋体" w:hAnsi="宋体" w:cs="宋体"/>
          <w:szCs w:val="21"/>
        </w:rPr>
      </w:pPr>
      <w:r>
        <w:rPr>
          <w:rFonts w:ascii="宋体" w:hAnsi="宋体" w:cs="宋体" w:hint="eastAsia"/>
          <w:szCs w:val="21"/>
        </w:rPr>
        <w:t>（2）不同投标人委托同一单位或者个人办理投标事宜；</w:t>
      </w:r>
    </w:p>
    <w:p w:rsidR="00473C68">
      <w:pPr>
        <w:spacing w:line="360" w:lineRule="auto"/>
        <w:ind w:firstLine="420" w:firstLineChars="200"/>
        <w:rPr>
          <w:rFonts w:ascii="宋体" w:hAnsi="宋体" w:cs="宋体"/>
          <w:szCs w:val="21"/>
        </w:rPr>
      </w:pPr>
      <w:r>
        <w:rPr>
          <w:rFonts w:ascii="宋体" w:hAnsi="宋体" w:cs="宋体" w:hint="eastAsia"/>
          <w:szCs w:val="21"/>
        </w:rPr>
        <w:t>（3）不同投标人的投标文件载明的项目管理成员或者联系人员为同一人；</w:t>
      </w:r>
    </w:p>
    <w:p w:rsidR="00473C68">
      <w:pPr>
        <w:spacing w:line="360" w:lineRule="auto"/>
        <w:ind w:firstLine="420" w:firstLineChars="200"/>
        <w:rPr>
          <w:rFonts w:ascii="宋体" w:hAnsi="宋体" w:cs="宋体"/>
          <w:szCs w:val="21"/>
        </w:rPr>
      </w:pPr>
      <w:r>
        <w:rPr>
          <w:rFonts w:ascii="宋体" w:hAnsi="宋体" w:cs="宋体" w:hint="eastAsia"/>
          <w:szCs w:val="21"/>
        </w:rPr>
        <w:t>（4）不同投标人的投标文件异常一致或者投标报价呈规律性差异；</w:t>
      </w:r>
    </w:p>
    <w:p w:rsidR="00473C68">
      <w:pPr>
        <w:spacing w:line="360" w:lineRule="auto"/>
        <w:ind w:firstLine="420" w:firstLineChars="200"/>
        <w:rPr>
          <w:rFonts w:ascii="宋体" w:hAnsi="宋体" w:cs="宋体"/>
          <w:szCs w:val="21"/>
        </w:rPr>
        <w:sectPr>
          <w:headerReference w:type="default" r:id="rId47"/>
          <w:footerReference w:type="default" r:id="rId48"/>
          <w:type w:val="nextPage"/>
          <w:pgSz w:w="11906" w:h="16838"/>
          <w:pgMar w:top="1440" w:right="1440" w:bottom="1440" w:left="1803" w:header="851" w:footer="992" w:gutter="0"/>
          <w:pgNumType w:start="20"/>
          <w:cols w:space="0"/>
          <w:titlePg w:val="0"/>
          <w:docGrid w:type="lines" w:linePitch="325"/>
        </w:sectPr>
      </w:pPr>
      <w:r>
        <w:rPr>
          <w:rFonts w:ascii="宋体" w:hAnsi="宋体" w:cs="宋体" w:hint="eastAsia"/>
          <w:szCs w:val="21"/>
        </w:rPr>
        <w:t>（5）不同投标人的投标文件相互混装；</w:t>
      </w:r>
    </w:p>
    <w:p w:rsidR="00473C68">
      <w:pPr>
        <w:spacing w:line="360" w:lineRule="auto"/>
        <w:ind w:firstLine="420" w:firstLineChars="200"/>
        <w:rPr>
          <w:rFonts w:ascii="宋体" w:hAnsi="宋体" w:cs="宋体"/>
          <w:szCs w:val="21"/>
        </w:rPr>
      </w:pPr>
      <w:r>
        <w:rPr>
          <w:rFonts w:ascii="宋体" w:hAnsi="宋体" w:cs="宋体" w:hint="eastAsia"/>
          <w:szCs w:val="21"/>
        </w:rPr>
        <w:t>11、不符合法律、法规和招标文件中规定的其他实质性要求的（招标文件中打“▲”内容及被拒绝的条款）。</w:t>
      </w:r>
    </w:p>
    <w:p w:rsidR="00473C68">
      <w:pPr>
        <w:spacing w:line="360" w:lineRule="auto"/>
        <w:ind w:firstLine="420" w:firstLineChars="200"/>
        <w:rPr>
          <w:rFonts w:ascii="宋体" w:hAnsi="宋体" w:cs="宋体"/>
          <w:b/>
          <w:bCs/>
          <w:szCs w:val="21"/>
        </w:rPr>
      </w:pPr>
      <w:r>
        <w:rPr>
          <w:rFonts w:ascii="宋体" w:hAnsi="宋体" w:cs="宋体" w:hint="eastAsia"/>
          <w:b/>
          <w:bCs/>
          <w:szCs w:val="21"/>
        </w:rPr>
        <w:t>（六）有下列情况之一的，本次招标作为废标处理</w:t>
      </w:r>
    </w:p>
    <w:p w:rsidR="00473C68">
      <w:pPr>
        <w:spacing w:line="360" w:lineRule="auto"/>
        <w:ind w:firstLine="420" w:firstLineChars="200"/>
        <w:rPr>
          <w:rFonts w:ascii="宋体" w:hAnsi="宋体" w:cs="宋体"/>
          <w:szCs w:val="21"/>
        </w:rPr>
      </w:pPr>
      <w:r>
        <w:rPr>
          <w:rFonts w:ascii="宋体" w:hAnsi="宋体" w:cs="宋体" w:hint="eastAsia"/>
          <w:szCs w:val="21"/>
        </w:rPr>
        <w:t>1、出现影响采购公正的违法、违规行为的；</w:t>
      </w:r>
    </w:p>
    <w:p w:rsidR="00473C68">
      <w:pPr>
        <w:spacing w:line="360" w:lineRule="auto"/>
        <w:ind w:firstLine="420" w:firstLineChars="200"/>
        <w:rPr>
          <w:rFonts w:ascii="宋体" w:hAnsi="宋体" w:cs="宋体"/>
          <w:szCs w:val="21"/>
        </w:rPr>
      </w:pPr>
      <w:r>
        <w:rPr>
          <w:rFonts w:ascii="宋体" w:hAnsi="宋体" w:cs="宋体" w:hint="eastAsia"/>
          <w:szCs w:val="21"/>
        </w:rPr>
        <w:t>2、评标委员会发现招标文件存在歧义、重大缺陷导致评标工作无法进行，或者招标文件内容违反国家有关强制性规定的；</w:t>
      </w:r>
    </w:p>
    <w:p w:rsidR="00473C68">
      <w:pPr>
        <w:spacing w:line="360" w:lineRule="auto"/>
        <w:ind w:firstLine="420" w:firstLineChars="200"/>
        <w:rPr>
          <w:rFonts w:ascii="宋体" w:hAnsi="宋体" w:cs="宋体"/>
          <w:szCs w:val="21"/>
        </w:rPr>
      </w:pPr>
      <w:r>
        <w:rPr>
          <w:rFonts w:ascii="宋体" w:hAnsi="宋体" w:cs="宋体" w:hint="eastAsia"/>
          <w:szCs w:val="21"/>
        </w:rPr>
        <w:t>3、因重大变故，采购任务取消的；</w:t>
      </w:r>
    </w:p>
    <w:p w:rsidR="00473C68">
      <w:pPr>
        <w:spacing w:line="360" w:lineRule="auto"/>
        <w:ind w:firstLine="420" w:firstLineChars="200"/>
        <w:rPr>
          <w:rFonts w:ascii="宋体" w:hAnsi="宋体" w:cs="宋体"/>
          <w:szCs w:val="21"/>
        </w:rPr>
      </w:pPr>
      <w:r>
        <w:rPr>
          <w:rFonts w:ascii="宋体" w:hAnsi="宋体" w:cs="宋体" w:hint="eastAsia"/>
          <w:szCs w:val="21"/>
        </w:rPr>
        <w:t>4、法律、法规和招标文件规定的其他导致评标结果无效的。</w:t>
      </w:r>
    </w:p>
    <w:p w:rsidR="00473C68">
      <w:pPr>
        <w:spacing w:line="360" w:lineRule="auto"/>
        <w:ind w:firstLine="420" w:firstLineChars="200"/>
        <w:rPr>
          <w:rFonts w:ascii="宋体" w:hAnsi="宋体" w:cs="宋体"/>
          <w:b/>
          <w:bCs/>
          <w:szCs w:val="21"/>
        </w:rPr>
      </w:pPr>
      <w:r>
        <w:rPr>
          <w:rFonts w:ascii="宋体" w:hAnsi="宋体" w:cs="宋体" w:hint="eastAsia"/>
          <w:b/>
          <w:bCs/>
          <w:szCs w:val="21"/>
        </w:rPr>
        <w:t>（七）评标原则和评标办法</w:t>
      </w:r>
    </w:p>
    <w:p w:rsidR="00473C68">
      <w:pPr>
        <w:spacing w:line="360" w:lineRule="auto"/>
        <w:ind w:firstLine="420" w:firstLineChars="200"/>
        <w:rPr>
          <w:rFonts w:ascii="宋体" w:hAnsi="宋体" w:cs="宋体"/>
          <w:szCs w:val="21"/>
        </w:rPr>
      </w:pPr>
      <w:r>
        <w:rPr>
          <w:rFonts w:ascii="宋体" w:hAnsi="宋体" w:cs="宋体" w:hint="eastAsia"/>
          <w:szCs w:val="21"/>
        </w:rPr>
        <w:t>1、评标原则。评标委员会必须公平、公正、客观，不带任何倾向性和启发性；不得向外界透露任何与评标有关的内容；任何单位和个人不得干扰、影响评标的正常进行；评标委员会及有关工作人员不得私下与投标人接触。</w:t>
      </w:r>
    </w:p>
    <w:p w:rsidR="00473C68">
      <w:pPr>
        <w:spacing w:line="360" w:lineRule="auto"/>
        <w:ind w:firstLine="420" w:firstLineChars="200"/>
        <w:rPr>
          <w:rFonts w:ascii="宋体" w:hAnsi="宋体" w:cs="宋体"/>
          <w:szCs w:val="21"/>
        </w:rPr>
      </w:pPr>
      <w:r>
        <w:rPr>
          <w:rFonts w:ascii="宋体" w:hAnsi="宋体" w:cs="宋体" w:hint="eastAsia"/>
          <w:szCs w:val="21"/>
        </w:rPr>
        <w:t>2、评标办法。具体评标内容及评分标准等详见《第三章：评标方法及评分标准》。</w:t>
      </w:r>
    </w:p>
    <w:p w:rsidR="00473C68">
      <w:pPr>
        <w:spacing w:line="360" w:lineRule="auto"/>
        <w:ind w:firstLine="420" w:firstLineChars="200"/>
        <w:rPr>
          <w:rFonts w:ascii="宋体" w:hAnsi="宋体" w:cs="宋体"/>
          <w:b/>
          <w:bCs/>
          <w:szCs w:val="21"/>
        </w:rPr>
      </w:pPr>
      <w:r>
        <w:rPr>
          <w:rFonts w:ascii="宋体" w:hAnsi="宋体" w:cs="宋体" w:hint="eastAsia"/>
          <w:b/>
          <w:bCs/>
          <w:szCs w:val="21"/>
        </w:rPr>
        <w:t>（八）评标过程的监控</w:t>
      </w:r>
    </w:p>
    <w:p w:rsidR="00473C68">
      <w:pPr>
        <w:spacing w:line="360" w:lineRule="auto"/>
        <w:ind w:firstLine="420" w:firstLineChars="200"/>
        <w:rPr>
          <w:rFonts w:ascii="宋体" w:hAnsi="宋体" w:cs="宋体"/>
          <w:szCs w:val="21"/>
        </w:rPr>
      </w:pPr>
      <w:r>
        <w:rPr>
          <w:rFonts w:ascii="宋体" w:hAnsi="宋体" w:cs="宋体" w:hint="eastAsia"/>
          <w:szCs w:val="21"/>
        </w:rPr>
        <w:t>本项目评标过程实行全程录音、录像监控，政府采购监管部门视情进行现场监督，投标人在评标过程中所进行的试图影响评标结果的不公正活动，可能导致其投标被拒绝。</w:t>
      </w:r>
    </w:p>
    <w:p w:rsidR="00473C68">
      <w:pPr>
        <w:spacing w:line="360" w:lineRule="auto"/>
        <w:rPr>
          <w:rFonts w:ascii="宋体" w:hAnsi="宋体" w:cs="宋体"/>
          <w:b/>
          <w:bCs/>
          <w:szCs w:val="21"/>
        </w:rPr>
      </w:pPr>
      <w:r>
        <w:rPr>
          <w:rFonts w:ascii="宋体" w:hAnsi="宋体" w:cs="宋体" w:hint="eastAsia"/>
          <w:b/>
          <w:bCs/>
          <w:szCs w:val="21"/>
        </w:rPr>
        <w:t>六、定标</w:t>
      </w:r>
    </w:p>
    <w:p w:rsidR="00473C68">
      <w:pPr>
        <w:spacing w:line="360" w:lineRule="auto"/>
        <w:ind w:firstLine="420" w:firstLineChars="200"/>
        <w:jc w:val="left"/>
        <w:rPr>
          <w:rFonts w:ascii="宋体" w:hAnsi="宋体" w:cs="宋体"/>
          <w:szCs w:val="21"/>
        </w:rPr>
      </w:pPr>
      <w:r>
        <w:rPr>
          <w:rFonts w:ascii="宋体" w:hAnsi="宋体" w:cs="宋体" w:hint="eastAsia"/>
          <w:szCs w:val="21"/>
        </w:rPr>
        <w:t>1、确定中标供应商。评标委员会根据采购单位的《授权意见确认书》，推荐中标候选人或确定中标人。其中推荐中标候选人的，采购组织机构在评审结束后2个工作日内将评标报告送采购人，采购人自收到评审报告之日起5个工作日内在评审报告推荐的中标候选人中按顺序确定中标人。</w:t>
      </w:r>
    </w:p>
    <w:p w:rsidR="00473C68">
      <w:pPr>
        <w:spacing w:line="360" w:lineRule="auto"/>
        <w:ind w:firstLine="420" w:firstLineChars="200"/>
        <w:jc w:val="left"/>
        <w:rPr>
          <w:rFonts w:ascii="宋体" w:hAnsi="宋体" w:cs="宋体"/>
          <w:szCs w:val="21"/>
        </w:rPr>
      </w:pPr>
      <w:r>
        <w:rPr>
          <w:rFonts w:ascii="宋体" w:hAnsi="宋体" w:cs="宋体" w:hint="eastAsia"/>
          <w:szCs w:val="21"/>
        </w:rPr>
        <w:t>2、发布中标结果公告。中标结果将自中标人确定之日起2个工作日内在省级以上财政部门指定的媒体及相关网站公告。如发现中标供应商资格无效或其放弃中标资格，则按本次评标供应商得分排序结果依次替补或重新组织。</w:t>
      </w:r>
    </w:p>
    <w:p w:rsidR="00473C68">
      <w:pPr>
        <w:spacing w:line="360" w:lineRule="auto"/>
        <w:ind w:firstLine="420" w:firstLineChars="200"/>
        <w:jc w:val="left"/>
        <w:rPr>
          <w:rFonts w:ascii="宋体" w:hAnsi="宋体" w:cs="宋体"/>
          <w:szCs w:val="21"/>
        </w:rPr>
      </w:pPr>
      <w:r>
        <w:rPr>
          <w:rFonts w:ascii="宋体" w:hAnsi="宋体" w:cs="宋体" w:hint="eastAsia"/>
          <w:szCs w:val="21"/>
        </w:rPr>
        <w:t>3、发出中标通知书。采购组织机构在发布中标结果的同时，向中标人发出中标通知书。</w:t>
      </w:r>
    </w:p>
    <w:p w:rsidR="00473C68">
      <w:pPr>
        <w:pStyle w:val="NormalWeb"/>
        <w:spacing w:before="0" w:beforeAutospacing="0" w:after="0" w:afterAutospacing="0" w:line="360" w:lineRule="auto"/>
        <w:ind w:firstLine="420" w:firstLineChars="200"/>
        <w:jc w:val="both"/>
        <w:rPr>
          <w:rFonts w:cs="宋体"/>
          <w:sz w:val="21"/>
          <w:szCs w:val="21"/>
        </w:rPr>
        <w:sectPr>
          <w:headerReference w:type="default" r:id="rId49"/>
          <w:footerReference w:type="default" r:id="rId50"/>
          <w:type w:val="nextPage"/>
          <w:pgSz w:w="11906" w:h="16838"/>
          <w:pgMar w:top="1440" w:right="1440" w:bottom="1440" w:left="1803" w:header="851" w:footer="992" w:gutter="0"/>
          <w:pgNumType w:start="21"/>
          <w:cols w:space="0"/>
          <w:titlePg w:val="0"/>
          <w:docGrid w:type="lines" w:linePitch="325"/>
        </w:sectPr>
      </w:pPr>
    </w:p>
    <w:p w:rsidR="00473C68">
      <w:pPr>
        <w:pStyle w:val="NormalWeb"/>
        <w:spacing w:before="0" w:beforeAutospacing="0" w:after="0" w:afterAutospacing="0" w:line="360" w:lineRule="auto"/>
        <w:ind w:firstLine="420" w:firstLineChars="200"/>
        <w:jc w:val="both"/>
        <w:rPr>
          <w:rFonts w:cs="宋体"/>
          <w:sz w:val="21"/>
          <w:szCs w:val="21"/>
        </w:rPr>
      </w:pPr>
      <w:r>
        <w:rPr>
          <w:rFonts w:cs="宋体" w:hint="eastAsia"/>
          <w:sz w:val="21"/>
          <w:szCs w:val="21"/>
        </w:rPr>
        <w:t>4、中标人在中标之后领取通知书之前，应向招标代理机构交纳招标代理服务费。若中标人未在约定时间内支付招标代理服务费，从逾期之日起按日利率千分之一承担违约金。若中标人未按上述规定办理，需承担招标代理机构为实现债权的所有费用（包括但不限于律师费、催讨车旅费、保全担保费等）。</w:t>
      </w:r>
    </w:p>
    <w:p w:rsidR="00473C68">
      <w:pPr>
        <w:spacing w:line="360" w:lineRule="auto"/>
        <w:ind w:firstLine="420" w:firstLineChars="200"/>
        <w:rPr>
          <w:rFonts w:ascii="宋体" w:hAnsi="宋体" w:cs="宋体"/>
          <w:szCs w:val="21"/>
        </w:rPr>
      </w:pPr>
      <w:r>
        <w:rPr>
          <w:rFonts w:ascii="宋体" w:hAnsi="宋体" w:cs="宋体" w:hint="eastAsia"/>
          <w:szCs w:val="21"/>
        </w:rPr>
        <w:t>5、招标代理费：按照《国家发展改革委关于进一步放开建设项目专业服务价格的通知》（发改价格2015 299号）执行，按照中标通知书确定的中标金额，按下附表收费标准，采用差额累进算法向中标单位收取代理服务费。代理服务费结算不足陆仟元的，按定额陆仟元收取。该费用中标方须在领取中标通知书时一次性付清。（单位名称：台州永安工程咨询有限公司；人民币账号：5305；开户行：台州银行黄岩工业园区支行）</w:t>
      </w:r>
    </w:p>
    <w:p w:rsidR="00473C68">
      <w:pPr>
        <w:jc w:val="center"/>
        <w:rPr>
          <w:rFonts w:ascii="宋体" w:hAnsi="宋体" w:cs="宋体"/>
          <w:b/>
          <w:bCs/>
          <w:szCs w:val="21"/>
        </w:rPr>
      </w:pPr>
      <w:r>
        <w:rPr>
          <w:rFonts w:ascii="宋体" w:hAnsi="宋体" w:cs="宋体" w:hint="eastAsia"/>
          <w:b/>
          <w:bCs/>
          <w:szCs w:val="21"/>
        </w:rPr>
        <w:t>附表：招标代理服务收费标准</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6"/>
        <w:gridCol w:w="2067"/>
        <w:gridCol w:w="2067"/>
        <w:gridCol w:w="2067"/>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167"/>
        </w:trPr>
        <w:tc>
          <w:tcPr>
            <w:tcW w:w="2556" w:type="dxa"/>
          </w:tcPr>
          <w:p w:rsidR="00473C68">
            <w:pPr>
              <w:ind w:firstLine="1470" w:firstLineChars="700"/>
              <w:rPr>
                <w:rFonts w:ascii="宋体" w:hAnsi="宋体" w:cs="宋体"/>
                <w:b/>
                <w:szCs w:val="21"/>
              </w:rPr>
            </w:pPr>
            <w:r>
              <w:rPr>
                <w:rFonts w:ascii="宋体" w:hAnsi="宋体" w:cs="宋体" w:hint="eastAsia"/>
                <w:noProof/>
              </w:rPr>
              <mc:AlternateContent>
                <mc:Choice Requires="wps">
                  <w:drawing>
                    <wp:anchor distT="0" distB="0" distL="114300" distR="114300" simplePos="0" relativeHeight="251664384" behindDoc="0" locked="0" layoutInCell="1" allowOverlap="1">
                      <wp:simplePos x="0" y="0"/>
                      <wp:positionH relativeFrom="column">
                        <wp:posOffset>-58420</wp:posOffset>
                      </wp:positionH>
                      <wp:positionV relativeFrom="paragraph">
                        <wp:posOffset>21590</wp:posOffset>
                      </wp:positionV>
                      <wp:extent cx="1619250" cy="725170"/>
                      <wp:effectExtent l="1905" t="4445" r="17145" b="13335"/>
                      <wp:wrapNone/>
                      <wp:docPr id="6" name="直接连接符 6"/>
                      <wp:cNvGraphicFramePr/>
                      <a:graphic xmlns:a="http://schemas.openxmlformats.org/drawingml/2006/main">
                        <a:graphicData uri="http://schemas.microsoft.com/office/word/2010/wordprocessingShape">
                          <wps:wsp xmlns:wps="http://schemas.microsoft.com/office/word/2010/wordprocessingShape">
                            <wps:cNvCnPr/>
                            <wps:spPr>
                              <a:xfrm flipH="1" flipV="1">
                                <a:off x="999490" y="935355"/>
                                <a:ext cx="1619250" cy="725170"/>
                              </a:xfrm>
                              <a:prstGeom prst="line">
                                <a:avLst/>
                              </a:prstGeom>
                              <a:noFill/>
                              <a:ln w="9525">
                                <a:solidFill>
                                  <a:srgbClr val="000000">
                                    <a:shade val="95000"/>
                                    <a:satMod val="105000"/>
                                  </a:srgbClr>
                                </a:solidFill>
                                <a:prstDash val="solid"/>
                              </a:ln>
                              <a:effectLst/>
                            </wps:spPr>
                            <wps:bodyPr/>
                          </wps:wsp>
                        </a:graphicData>
                      </a:graphic>
                    </wp:anchor>
                  </w:drawing>
                </mc:Choice>
                <mc:Fallback>
                  <w:pict>
                    <v:line id="直接连接符 6" o:spid="_x0000_s1026" style="flip:x y;mso-wrap-distance-bottom:0;mso-wrap-distance-left:9pt;mso-wrap-distance-right:9pt;mso-wrap-distance-top:0;position:absolute;v-text-anchor:top;z-index:251663360" from="-4.6pt,1.7pt" to="122.9pt,58.8pt" fillcolor="this" stroked="t" strokecolor="black" strokeweight="0.75pt"/>
                  </w:pict>
                </mc:Fallback>
              </mc:AlternateContent>
            </w:r>
            <w:r>
              <w:rPr>
                <w:rFonts w:ascii="宋体" w:hAnsi="宋体" w:cs="宋体" w:hint="eastAsia"/>
                <w:noProof/>
              </w:rPr>
              <mc:AlternateContent>
                <mc:Choice Requires="wps">
                  <w:drawing>
                    <wp:anchor distT="0" distB="0" distL="114300" distR="114300" simplePos="0" relativeHeight="251662336" behindDoc="0" locked="0" layoutInCell="1" allowOverlap="1">
                      <wp:simplePos x="0" y="0"/>
                      <wp:positionH relativeFrom="column">
                        <wp:posOffset>645160</wp:posOffset>
                      </wp:positionH>
                      <wp:positionV relativeFrom="paragraph">
                        <wp:posOffset>0</wp:posOffset>
                      </wp:positionV>
                      <wp:extent cx="922655" cy="739775"/>
                      <wp:effectExtent l="3175" t="3810" r="7620" b="18415"/>
                      <wp:wrapNone/>
                      <wp:docPr id="4" name="直接连接符 4"/>
                      <wp:cNvGraphicFramePr/>
                      <a:graphic xmlns:a="http://schemas.openxmlformats.org/drawingml/2006/main">
                        <a:graphicData uri="http://schemas.microsoft.com/office/word/2010/wordprocessingShape">
                          <wps:wsp xmlns:wps="http://schemas.microsoft.com/office/word/2010/wordprocessingShape">
                            <wps:cNvCnPr/>
                            <wps:spPr>
                              <a:xfrm>
                                <a:off x="1812925" y="964565"/>
                                <a:ext cx="922655" cy="739775"/>
                              </a:xfrm>
                              <a:prstGeom prst="line">
                                <a:avLst/>
                              </a:prstGeom>
                              <a:noFill/>
                              <a:ln w="9525">
                                <a:solidFill>
                                  <a:srgbClr val="000000">
                                    <a:shade val="95000"/>
                                    <a:satMod val="105000"/>
                                  </a:srgbClr>
                                </a:solidFill>
                                <a:prstDash val="solid"/>
                              </a:ln>
                              <a:effectLst/>
                            </wps:spPr>
                            <wps:bodyPr/>
                          </wps:wsp>
                        </a:graphicData>
                      </a:graphic>
                    </wp:anchor>
                  </w:drawing>
                </mc:Choice>
                <mc:Fallback>
                  <w:pict>
                    <v:line id="直接连接符 4" o:spid="_x0000_s1027" style="mso-wrap-distance-bottom:0;mso-wrap-distance-left:9pt;mso-wrap-distance-right:9pt;mso-wrap-distance-top:0;position:absolute;v-text-anchor:top;z-index:251661312" from="50.8pt,0" to="123.45pt,58.25pt" fillcolor="this" stroked="t" strokecolor="black" strokeweight="0.75pt"/>
                  </w:pict>
                </mc:Fallback>
              </mc:AlternateContent>
            </w:r>
            <w:r>
              <w:rPr>
                <w:rFonts w:ascii="宋体" w:hAnsi="宋体" w:cs="宋体" w:hint="eastAsia"/>
                <w:b/>
                <w:noProof/>
                <w:szCs w:val="21"/>
              </w:rPr>
              <mc:AlternateContent>
                <mc:Choice Requires="wps">
                  <w:drawing>
                    <wp:anchor distT="0" distB="0" distL="114300" distR="114300" simplePos="0" relativeHeight="251660288" behindDoc="0" locked="0" layoutInCell="0" allowOverlap="1">
                      <wp:simplePos x="0" y="0"/>
                      <wp:positionH relativeFrom="column">
                        <wp:posOffset>-114300</wp:posOffset>
                      </wp:positionH>
                      <wp:positionV relativeFrom="paragraph">
                        <wp:posOffset>-6350</wp:posOffset>
                      </wp:positionV>
                      <wp:extent cx="635" cy="0"/>
                      <wp:effectExtent l="0" t="0" r="0" b="0"/>
                      <wp:wrapNone/>
                      <wp:docPr id="22" name="直接连接符 22"/>
                      <wp:cNvGraphicFramePr/>
                      <a:graphic xmlns:a="http://schemas.openxmlformats.org/drawingml/2006/main">
                        <a:graphicData uri="http://schemas.microsoft.com/office/word/2010/wordprocessingShape">
                          <wps:wsp xmlns:wps="http://schemas.microsoft.com/office/word/2010/wordprocessingShape">
                            <wps:cNvCnPr/>
                            <wps:spPr>
                              <a:xfrm>
                                <a:off x="0" y="0"/>
                                <a:ext cx="635" cy="0"/>
                              </a:xfrm>
                              <a:prstGeom prst="line">
                                <a:avLst/>
                              </a:prstGeom>
                              <a:ln w="9525">
                                <a:solidFill>
                                  <a:srgbClr val="000000"/>
                                </a:solidFill>
                                <a:prstDash val="solid"/>
                                <a:headEnd/>
                                <a:tailEnd/>
                              </a:ln>
                              <a:effectLst/>
                            </wps:spPr>
                            <wps:bodyPr/>
                          </wps:wsp>
                        </a:graphicData>
                      </a:graphic>
                    </wp:anchor>
                  </w:drawing>
                </mc:Choice>
                <mc:Fallback>
                  <w:pict>
                    <v:line id="直接连接符 22" o:spid="_x0000_s1028" style="mso-wrap-distance-bottom:0;mso-wrap-distance-left:9pt;mso-wrap-distance-right:9pt;mso-wrap-distance-top:0;position:absolute;v-text-anchor:top;z-index:251659264" from="-9pt,-0.5pt" to="-8.95pt,-0.5pt" o:allowincell="f" fillcolor="this" stroked="t" strokecolor="black" strokeweight="0.75pt"/>
                  </w:pict>
                </mc:Fallback>
              </mc:AlternateContent>
            </w:r>
            <w:r>
              <w:rPr>
                <w:rFonts w:ascii="宋体" w:hAnsi="宋体" w:cs="宋体" w:hint="eastAsia"/>
                <w:b/>
                <w:szCs w:val="21"/>
              </w:rPr>
              <w:t>服务</w:t>
            </w:r>
          </w:p>
          <w:p w:rsidR="00473C68">
            <w:pPr>
              <w:ind w:firstLine="1050" w:firstLineChars="500"/>
              <w:rPr>
                <w:rFonts w:ascii="宋体" w:hAnsi="宋体" w:cs="宋体"/>
                <w:b/>
                <w:szCs w:val="21"/>
              </w:rPr>
            </w:pPr>
            <w:r>
              <w:rPr>
                <w:rFonts w:ascii="宋体" w:hAnsi="宋体" w:cs="宋体" w:hint="eastAsia"/>
                <w:b/>
                <w:szCs w:val="21"/>
              </w:rPr>
              <w:t>费　　类型</w:t>
            </w:r>
          </w:p>
          <w:p w:rsidR="00473C68">
            <w:pPr>
              <w:ind w:firstLine="1470" w:firstLineChars="700"/>
              <w:rPr>
                <w:rFonts w:ascii="宋体" w:hAnsi="宋体" w:cs="宋体"/>
                <w:b/>
                <w:szCs w:val="21"/>
              </w:rPr>
            </w:pPr>
            <w:r>
              <w:rPr>
                <w:rFonts w:ascii="宋体" w:hAnsi="宋体" w:cs="宋体" w:hint="eastAsia"/>
                <w:b/>
                <w:szCs w:val="21"/>
              </w:rPr>
              <w:t>率</w:t>
            </w:r>
          </w:p>
          <w:p w:rsidR="00473C68">
            <w:pPr>
              <w:rPr>
                <w:rFonts w:ascii="宋体" w:hAnsi="宋体" w:cs="宋体"/>
                <w:b/>
                <w:szCs w:val="21"/>
              </w:rPr>
            </w:pPr>
            <w:r>
              <w:rPr>
                <w:rFonts w:ascii="宋体" w:hAnsi="宋体" w:cs="宋体" w:hint="eastAsia"/>
                <w:b/>
                <w:szCs w:val="21"/>
              </w:rPr>
              <w:t>中标金额（万元）</w:t>
            </w:r>
          </w:p>
        </w:tc>
        <w:tc>
          <w:tcPr>
            <w:tcW w:w="2067" w:type="dxa"/>
            <w:vAlign w:val="center"/>
          </w:tcPr>
          <w:p w:rsidR="00473C68">
            <w:pPr>
              <w:jc w:val="center"/>
              <w:rPr>
                <w:rFonts w:ascii="宋体" w:hAnsi="宋体" w:cs="宋体"/>
                <w:b/>
                <w:szCs w:val="21"/>
              </w:rPr>
            </w:pPr>
            <w:r>
              <w:rPr>
                <w:rFonts w:ascii="宋体" w:hAnsi="宋体" w:cs="宋体" w:hint="eastAsia"/>
                <w:b/>
                <w:szCs w:val="21"/>
              </w:rPr>
              <w:t>货物招标</w:t>
            </w:r>
          </w:p>
        </w:tc>
        <w:tc>
          <w:tcPr>
            <w:tcW w:w="2067" w:type="dxa"/>
            <w:vAlign w:val="center"/>
          </w:tcPr>
          <w:p w:rsidR="00473C68">
            <w:pPr>
              <w:jc w:val="center"/>
              <w:rPr>
                <w:rFonts w:ascii="宋体" w:hAnsi="宋体" w:cs="宋体"/>
                <w:b/>
                <w:szCs w:val="21"/>
              </w:rPr>
            </w:pPr>
            <w:r>
              <w:rPr>
                <w:rFonts w:ascii="宋体" w:hAnsi="宋体" w:cs="宋体" w:hint="eastAsia"/>
                <w:b/>
                <w:szCs w:val="21"/>
              </w:rPr>
              <w:t>服务招标</w:t>
            </w:r>
          </w:p>
        </w:tc>
        <w:tc>
          <w:tcPr>
            <w:tcW w:w="2067" w:type="dxa"/>
            <w:vAlign w:val="center"/>
          </w:tcPr>
          <w:p w:rsidR="00473C68">
            <w:pPr>
              <w:jc w:val="center"/>
              <w:rPr>
                <w:rFonts w:ascii="宋体" w:hAnsi="宋体" w:cs="宋体"/>
                <w:b/>
                <w:szCs w:val="21"/>
              </w:rPr>
            </w:pPr>
            <w:r>
              <w:rPr>
                <w:rFonts w:ascii="宋体" w:hAnsi="宋体" w:cs="宋体" w:hint="eastAsia"/>
                <w:b/>
                <w:szCs w:val="21"/>
              </w:rPr>
              <w:t>工程招标</w:t>
            </w:r>
          </w:p>
        </w:tc>
      </w:tr>
      <w:tr>
        <w:tblPrEx>
          <w:tblW w:w="0" w:type="auto"/>
          <w:tblLayout w:type="fixed"/>
          <w:tblLook w:val="04A0"/>
        </w:tblPrEx>
        <w:trPr>
          <w:trHeight w:val="299"/>
        </w:trPr>
        <w:tc>
          <w:tcPr>
            <w:tcW w:w="2556" w:type="dxa"/>
          </w:tcPr>
          <w:p w:rsidR="00473C68">
            <w:pPr>
              <w:jc w:val="center"/>
              <w:rPr>
                <w:rFonts w:ascii="宋体" w:hAnsi="宋体" w:cs="宋体"/>
                <w:szCs w:val="21"/>
              </w:rPr>
            </w:pPr>
            <w:r>
              <w:rPr>
                <w:rFonts w:ascii="宋体" w:hAnsi="宋体" w:cs="宋体" w:hint="eastAsia"/>
                <w:szCs w:val="21"/>
              </w:rPr>
              <w:t>100以下</w:t>
            </w:r>
          </w:p>
        </w:tc>
        <w:tc>
          <w:tcPr>
            <w:tcW w:w="2067" w:type="dxa"/>
          </w:tcPr>
          <w:p w:rsidR="00473C68">
            <w:pPr>
              <w:jc w:val="center"/>
              <w:rPr>
                <w:rFonts w:ascii="宋体" w:hAnsi="宋体" w:cs="宋体"/>
                <w:szCs w:val="21"/>
              </w:rPr>
            </w:pPr>
            <w:r>
              <w:rPr>
                <w:rFonts w:ascii="宋体" w:hAnsi="宋体" w:cs="宋体" w:hint="eastAsia"/>
                <w:szCs w:val="21"/>
              </w:rPr>
              <w:t>1.5%</w:t>
            </w:r>
          </w:p>
        </w:tc>
        <w:tc>
          <w:tcPr>
            <w:tcW w:w="2067" w:type="dxa"/>
          </w:tcPr>
          <w:p w:rsidR="00473C68">
            <w:pPr>
              <w:jc w:val="center"/>
              <w:rPr>
                <w:rFonts w:ascii="宋体" w:hAnsi="宋体" w:cs="宋体"/>
                <w:szCs w:val="21"/>
              </w:rPr>
            </w:pPr>
            <w:r>
              <w:rPr>
                <w:rFonts w:ascii="宋体" w:hAnsi="宋体" w:cs="宋体" w:hint="eastAsia"/>
                <w:szCs w:val="21"/>
              </w:rPr>
              <w:t>1.5%</w:t>
            </w:r>
          </w:p>
        </w:tc>
        <w:tc>
          <w:tcPr>
            <w:tcW w:w="2067" w:type="dxa"/>
          </w:tcPr>
          <w:p w:rsidR="00473C68">
            <w:pPr>
              <w:jc w:val="center"/>
              <w:rPr>
                <w:rFonts w:ascii="宋体" w:hAnsi="宋体" w:cs="宋体"/>
                <w:szCs w:val="21"/>
              </w:rPr>
            </w:pPr>
            <w:r>
              <w:rPr>
                <w:rFonts w:ascii="宋体" w:hAnsi="宋体" w:cs="宋体" w:hint="eastAsia"/>
                <w:szCs w:val="21"/>
              </w:rPr>
              <w:t>1.0%</w:t>
            </w:r>
          </w:p>
        </w:tc>
      </w:tr>
      <w:tr>
        <w:tblPrEx>
          <w:tblW w:w="0" w:type="auto"/>
          <w:tblLayout w:type="fixed"/>
          <w:tblLook w:val="04A0"/>
        </w:tblPrEx>
        <w:trPr>
          <w:trHeight w:val="299"/>
        </w:trPr>
        <w:tc>
          <w:tcPr>
            <w:tcW w:w="2556" w:type="dxa"/>
          </w:tcPr>
          <w:p w:rsidR="00473C68">
            <w:pPr>
              <w:jc w:val="center"/>
              <w:rPr>
                <w:rFonts w:ascii="宋体" w:hAnsi="宋体" w:cs="宋体"/>
                <w:szCs w:val="21"/>
              </w:rPr>
            </w:pPr>
            <w:r>
              <w:rPr>
                <w:rFonts w:ascii="宋体" w:hAnsi="宋体" w:cs="宋体" w:hint="eastAsia"/>
                <w:szCs w:val="21"/>
              </w:rPr>
              <w:t>100-500</w:t>
            </w:r>
          </w:p>
        </w:tc>
        <w:tc>
          <w:tcPr>
            <w:tcW w:w="2067" w:type="dxa"/>
          </w:tcPr>
          <w:p w:rsidR="00473C68">
            <w:pPr>
              <w:jc w:val="center"/>
              <w:rPr>
                <w:rFonts w:ascii="宋体" w:hAnsi="宋体" w:cs="宋体"/>
                <w:szCs w:val="21"/>
              </w:rPr>
            </w:pPr>
            <w:r>
              <w:rPr>
                <w:rFonts w:ascii="宋体" w:hAnsi="宋体" w:cs="宋体" w:hint="eastAsia"/>
                <w:szCs w:val="21"/>
              </w:rPr>
              <w:t>1.1%</w:t>
            </w:r>
          </w:p>
        </w:tc>
        <w:tc>
          <w:tcPr>
            <w:tcW w:w="2067" w:type="dxa"/>
          </w:tcPr>
          <w:p w:rsidR="00473C68">
            <w:pPr>
              <w:jc w:val="center"/>
              <w:rPr>
                <w:rFonts w:ascii="宋体" w:hAnsi="宋体" w:cs="宋体"/>
                <w:szCs w:val="21"/>
              </w:rPr>
            </w:pPr>
            <w:r>
              <w:rPr>
                <w:rFonts w:ascii="宋体" w:hAnsi="宋体" w:cs="宋体" w:hint="eastAsia"/>
                <w:szCs w:val="21"/>
              </w:rPr>
              <w:t>0.8%</w:t>
            </w:r>
          </w:p>
        </w:tc>
        <w:tc>
          <w:tcPr>
            <w:tcW w:w="2067" w:type="dxa"/>
          </w:tcPr>
          <w:p w:rsidR="00473C68">
            <w:pPr>
              <w:jc w:val="center"/>
              <w:rPr>
                <w:rFonts w:ascii="宋体" w:hAnsi="宋体" w:cs="宋体"/>
                <w:szCs w:val="21"/>
              </w:rPr>
            </w:pPr>
            <w:r>
              <w:rPr>
                <w:rFonts w:ascii="宋体" w:hAnsi="宋体" w:cs="宋体" w:hint="eastAsia"/>
                <w:szCs w:val="21"/>
              </w:rPr>
              <w:t>0.7%</w:t>
            </w:r>
          </w:p>
        </w:tc>
      </w:tr>
      <w:tr>
        <w:tblPrEx>
          <w:tblW w:w="0" w:type="auto"/>
          <w:tblLayout w:type="fixed"/>
          <w:tblLook w:val="04A0"/>
        </w:tblPrEx>
        <w:trPr>
          <w:trHeight w:val="299"/>
        </w:trPr>
        <w:tc>
          <w:tcPr>
            <w:tcW w:w="2556" w:type="dxa"/>
          </w:tcPr>
          <w:p w:rsidR="00473C68">
            <w:pPr>
              <w:jc w:val="center"/>
              <w:rPr>
                <w:rFonts w:ascii="宋体" w:hAnsi="宋体" w:cs="宋体"/>
                <w:szCs w:val="21"/>
              </w:rPr>
            </w:pPr>
            <w:r>
              <w:rPr>
                <w:rFonts w:ascii="宋体" w:hAnsi="宋体" w:cs="宋体" w:hint="eastAsia"/>
                <w:szCs w:val="21"/>
              </w:rPr>
              <w:t>500-1000</w:t>
            </w:r>
          </w:p>
        </w:tc>
        <w:tc>
          <w:tcPr>
            <w:tcW w:w="2067" w:type="dxa"/>
          </w:tcPr>
          <w:p w:rsidR="00473C68">
            <w:pPr>
              <w:jc w:val="center"/>
              <w:rPr>
                <w:rFonts w:ascii="宋体" w:hAnsi="宋体" w:cs="宋体"/>
                <w:szCs w:val="21"/>
              </w:rPr>
            </w:pPr>
            <w:r>
              <w:rPr>
                <w:rFonts w:ascii="宋体" w:hAnsi="宋体" w:cs="宋体" w:hint="eastAsia"/>
                <w:szCs w:val="21"/>
              </w:rPr>
              <w:t>0.8%</w:t>
            </w:r>
          </w:p>
        </w:tc>
        <w:tc>
          <w:tcPr>
            <w:tcW w:w="2067" w:type="dxa"/>
          </w:tcPr>
          <w:p w:rsidR="00473C68">
            <w:pPr>
              <w:jc w:val="center"/>
              <w:rPr>
                <w:rFonts w:ascii="宋体" w:hAnsi="宋体" w:cs="宋体"/>
                <w:szCs w:val="21"/>
              </w:rPr>
            </w:pPr>
            <w:r>
              <w:rPr>
                <w:rFonts w:ascii="宋体" w:hAnsi="宋体" w:cs="宋体" w:hint="eastAsia"/>
                <w:szCs w:val="21"/>
              </w:rPr>
              <w:t>0.45%</w:t>
            </w:r>
          </w:p>
        </w:tc>
        <w:tc>
          <w:tcPr>
            <w:tcW w:w="2067" w:type="dxa"/>
          </w:tcPr>
          <w:p w:rsidR="00473C68">
            <w:pPr>
              <w:jc w:val="center"/>
              <w:rPr>
                <w:rFonts w:ascii="宋体" w:hAnsi="宋体" w:cs="宋体"/>
                <w:szCs w:val="21"/>
              </w:rPr>
            </w:pPr>
            <w:r>
              <w:rPr>
                <w:rFonts w:ascii="宋体" w:hAnsi="宋体" w:cs="宋体" w:hint="eastAsia"/>
                <w:szCs w:val="21"/>
              </w:rPr>
              <w:t>0.55%</w:t>
            </w:r>
          </w:p>
        </w:tc>
      </w:tr>
      <w:tr>
        <w:tblPrEx>
          <w:tblW w:w="0" w:type="auto"/>
          <w:tblLayout w:type="fixed"/>
          <w:tblLook w:val="04A0"/>
        </w:tblPrEx>
        <w:trPr>
          <w:trHeight w:val="299"/>
        </w:trPr>
        <w:tc>
          <w:tcPr>
            <w:tcW w:w="2556" w:type="dxa"/>
          </w:tcPr>
          <w:p w:rsidR="00473C68">
            <w:pPr>
              <w:jc w:val="center"/>
              <w:rPr>
                <w:rFonts w:ascii="宋体" w:hAnsi="宋体" w:cs="宋体"/>
                <w:szCs w:val="21"/>
              </w:rPr>
            </w:pPr>
            <w:r>
              <w:rPr>
                <w:rFonts w:ascii="宋体" w:hAnsi="宋体" w:cs="宋体" w:hint="eastAsia"/>
                <w:szCs w:val="21"/>
              </w:rPr>
              <w:t>1000-5000</w:t>
            </w:r>
          </w:p>
        </w:tc>
        <w:tc>
          <w:tcPr>
            <w:tcW w:w="2067" w:type="dxa"/>
          </w:tcPr>
          <w:p w:rsidR="00473C68">
            <w:pPr>
              <w:jc w:val="center"/>
              <w:rPr>
                <w:rFonts w:ascii="宋体" w:hAnsi="宋体" w:cs="宋体"/>
                <w:szCs w:val="21"/>
              </w:rPr>
            </w:pPr>
            <w:r>
              <w:rPr>
                <w:rFonts w:ascii="宋体" w:hAnsi="宋体" w:cs="宋体" w:hint="eastAsia"/>
                <w:szCs w:val="21"/>
              </w:rPr>
              <w:t>0.5%</w:t>
            </w:r>
          </w:p>
        </w:tc>
        <w:tc>
          <w:tcPr>
            <w:tcW w:w="2067" w:type="dxa"/>
          </w:tcPr>
          <w:p w:rsidR="00473C68">
            <w:pPr>
              <w:jc w:val="center"/>
              <w:rPr>
                <w:rFonts w:ascii="宋体" w:hAnsi="宋体" w:cs="宋体"/>
                <w:szCs w:val="21"/>
              </w:rPr>
            </w:pPr>
            <w:r>
              <w:rPr>
                <w:rFonts w:ascii="宋体" w:hAnsi="宋体" w:cs="宋体" w:hint="eastAsia"/>
                <w:szCs w:val="21"/>
              </w:rPr>
              <w:t>0.25%</w:t>
            </w:r>
          </w:p>
        </w:tc>
        <w:tc>
          <w:tcPr>
            <w:tcW w:w="2067" w:type="dxa"/>
          </w:tcPr>
          <w:p w:rsidR="00473C68">
            <w:pPr>
              <w:jc w:val="center"/>
              <w:rPr>
                <w:rFonts w:ascii="宋体" w:hAnsi="宋体" w:cs="宋体"/>
                <w:szCs w:val="21"/>
              </w:rPr>
            </w:pPr>
            <w:r>
              <w:rPr>
                <w:rFonts w:ascii="宋体" w:hAnsi="宋体" w:cs="宋体" w:hint="eastAsia"/>
                <w:szCs w:val="21"/>
              </w:rPr>
              <w:t>0.35%</w:t>
            </w:r>
          </w:p>
        </w:tc>
      </w:tr>
      <w:tr>
        <w:tblPrEx>
          <w:tblW w:w="0" w:type="auto"/>
          <w:tblLayout w:type="fixed"/>
          <w:tblLook w:val="04A0"/>
        </w:tblPrEx>
        <w:trPr>
          <w:trHeight w:val="299"/>
        </w:trPr>
        <w:tc>
          <w:tcPr>
            <w:tcW w:w="2556" w:type="dxa"/>
          </w:tcPr>
          <w:p w:rsidR="00473C68">
            <w:pPr>
              <w:jc w:val="center"/>
              <w:rPr>
                <w:rFonts w:ascii="宋体" w:hAnsi="宋体" w:cs="宋体"/>
                <w:szCs w:val="21"/>
              </w:rPr>
            </w:pPr>
            <w:r>
              <w:rPr>
                <w:rFonts w:ascii="宋体" w:hAnsi="宋体" w:cs="宋体" w:hint="eastAsia"/>
                <w:szCs w:val="21"/>
              </w:rPr>
              <w:t>5000-10000</w:t>
            </w:r>
          </w:p>
        </w:tc>
        <w:tc>
          <w:tcPr>
            <w:tcW w:w="2067" w:type="dxa"/>
          </w:tcPr>
          <w:p w:rsidR="00473C68">
            <w:pPr>
              <w:jc w:val="center"/>
              <w:rPr>
                <w:rFonts w:ascii="宋体" w:hAnsi="宋体" w:cs="宋体"/>
                <w:szCs w:val="21"/>
              </w:rPr>
            </w:pPr>
            <w:r>
              <w:rPr>
                <w:rFonts w:ascii="宋体" w:hAnsi="宋体" w:cs="宋体" w:hint="eastAsia"/>
                <w:szCs w:val="21"/>
              </w:rPr>
              <w:t>0.25%</w:t>
            </w:r>
          </w:p>
        </w:tc>
        <w:tc>
          <w:tcPr>
            <w:tcW w:w="2067" w:type="dxa"/>
          </w:tcPr>
          <w:p w:rsidR="00473C68">
            <w:pPr>
              <w:jc w:val="center"/>
              <w:rPr>
                <w:rFonts w:ascii="宋体" w:hAnsi="宋体" w:cs="宋体"/>
                <w:szCs w:val="21"/>
              </w:rPr>
            </w:pPr>
            <w:r>
              <w:rPr>
                <w:rFonts w:ascii="宋体" w:hAnsi="宋体" w:cs="宋体" w:hint="eastAsia"/>
                <w:szCs w:val="21"/>
              </w:rPr>
              <w:t>0.1%</w:t>
            </w:r>
          </w:p>
        </w:tc>
        <w:tc>
          <w:tcPr>
            <w:tcW w:w="2067" w:type="dxa"/>
          </w:tcPr>
          <w:p w:rsidR="00473C68">
            <w:pPr>
              <w:jc w:val="center"/>
              <w:rPr>
                <w:rFonts w:ascii="宋体" w:hAnsi="宋体" w:cs="宋体"/>
                <w:szCs w:val="21"/>
              </w:rPr>
            </w:pPr>
            <w:r>
              <w:rPr>
                <w:rFonts w:ascii="宋体" w:hAnsi="宋体" w:cs="宋体" w:hint="eastAsia"/>
                <w:szCs w:val="21"/>
              </w:rPr>
              <w:t>0.2%</w:t>
            </w:r>
          </w:p>
        </w:tc>
      </w:tr>
      <w:tr>
        <w:tblPrEx>
          <w:tblW w:w="0" w:type="auto"/>
          <w:tblLayout w:type="fixed"/>
          <w:tblLook w:val="04A0"/>
        </w:tblPrEx>
        <w:trPr>
          <w:trHeight w:val="299"/>
        </w:trPr>
        <w:tc>
          <w:tcPr>
            <w:tcW w:w="2556" w:type="dxa"/>
          </w:tcPr>
          <w:p w:rsidR="00473C68">
            <w:pPr>
              <w:jc w:val="center"/>
              <w:rPr>
                <w:rFonts w:ascii="宋体" w:hAnsi="宋体" w:cs="宋体"/>
                <w:szCs w:val="21"/>
              </w:rPr>
            </w:pPr>
            <w:r>
              <w:rPr>
                <w:rFonts w:ascii="宋体" w:hAnsi="宋体" w:cs="宋体" w:hint="eastAsia"/>
                <w:szCs w:val="21"/>
              </w:rPr>
              <w:t>10000-100000</w:t>
            </w:r>
          </w:p>
        </w:tc>
        <w:tc>
          <w:tcPr>
            <w:tcW w:w="2067" w:type="dxa"/>
          </w:tcPr>
          <w:p w:rsidR="00473C68">
            <w:pPr>
              <w:jc w:val="center"/>
              <w:rPr>
                <w:rFonts w:ascii="宋体" w:hAnsi="宋体" w:cs="宋体"/>
                <w:szCs w:val="21"/>
              </w:rPr>
            </w:pPr>
            <w:r>
              <w:rPr>
                <w:rFonts w:ascii="宋体" w:hAnsi="宋体" w:cs="宋体" w:hint="eastAsia"/>
                <w:szCs w:val="21"/>
              </w:rPr>
              <w:t>0.05%</w:t>
            </w:r>
          </w:p>
        </w:tc>
        <w:tc>
          <w:tcPr>
            <w:tcW w:w="2067" w:type="dxa"/>
          </w:tcPr>
          <w:p w:rsidR="00473C68">
            <w:pPr>
              <w:jc w:val="center"/>
              <w:rPr>
                <w:rFonts w:ascii="宋体" w:hAnsi="宋体" w:cs="宋体"/>
                <w:szCs w:val="21"/>
              </w:rPr>
            </w:pPr>
            <w:r>
              <w:rPr>
                <w:rFonts w:ascii="宋体" w:hAnsi="宋体" w:cs="宋体" w:hint="eastAsia"/>
                <w:szCs w:val="21"/>
              </w:rPr>
              <w:t>0.05%</w:t>
            </w:r>
          </w:p>
        </w:tc>
        <w:tc>
          <w:tcPr>
            <w:tcW w:w="2067" w:type="dxa"/>
          </w:tcPr>
          <w:p w:rsidR="00473C68">
            <w:pPr>
              <w:jc w:val="center"/>
              <w:rPr>
                <w:rFonts w:ascii="宋体" w:hAnsi="宋体" w:cs="宋体"/>
                <w:szCs w:val="21"/>
              </w:rPr>
            </w:pPr>
            <w:r>
              <w:rPr>
                <w:rFonts w:ascii="宋体" w:hAnsi="宋体" w:cs="宋体" w:hint="eastAsia"/>
                <w:szCs w:val="21"/>
              </w:rPr>
              <w:t>0.05%</w:t>
            </w:r>
          </w:p>
        </w:tc>
      </w:tr>
      <w:tr>
        <w:tblPrEx>
          <w:tblW w:w="0" w:type="auto"/>
          <w:tblLayout w:type="fixed"/>
          <w:tblLook w:val="04A0"/>
        </w:tblPrEx>
        <w:trPr>
          <w:trHeight w:val="308"/>
        </w:trPr>
        <w:tc>
          <w:tcPr>
            <w:tcW w:w="2556" w:type="dxa"/>
          </w:tcPr>
          <w:p w:rsidR="00473C68">
            <w:pPr>
              <w:jc w:val="center"/>
              <w:rPr>
                <w:rFonts w:ascii="宋体" w:hAnsi="宋体" w:cs="宋体"/>
                <w:szCs w:val="21"/>
              </w:rPr>
            </w:pPr>
            <w:r>
              <w:rPr>
                <w:rFonts w:ascii="宋体" w:hAnsi="宋体" w:cs="宋体" w:hint="eastAsia"/>
                <w:szCs w:val="21"/>
              </w:rPr>
              <w:t>100000以上</w:t>
            </w:r>
          </w:p>
        </w:tc>
        <w:tc>
          <w:tcPr>
            <w:tcW w:w="2067" w:type="dxa"/>
          </w:tcPr>
          <w:p w:rsidR="00473C68">
            <w:pPr>
              <w:jc w:val="center"/>
              <w:rPr>
                <w:rFonts w:ascii="宋体" w:hAnsi="宋体" w:cs="宋体"/>
                <w:szCs w:val="21"/>
              </w:rPr>
            </w:pPr>
            <w:r>
              <w:rPr>
                <w:rFonts w:ascii="宋体" w:hAnsi="宋体" w:cs="宋体" w:hint="eastAsia"/>
                <w:szCs w:val="21"/>
              </w:rPr>
              <w:t>0.01%</w:t>
            </w:r>
          </w:p>
        </w:tc>
        <w:tc>
          <w:tcPr>
            <w:tcW w:w="2067" w:type="dxa"/>
          </w:tcPr>
          <w:p w:rsidR="00473C68">
            <w:pPr>
              <w:jc w:val="center"/>
              <w:rPr>
                <w:rFonts w:ascii="宋体" w:hAnsi="宋体" w:cs="宋体"/>
                <w:szCs w:val="21"/>
              </w:rPr>
            </w:pPr>
            <w:r>
              <w:rPr>
                <w:rFonts w:ascii="宋体" w:hAnsi="宋体" w:cs="宋体" w:hint="eastAsia"/>
                <w:szCs w:val="21"/>
              </w:rPr>
              <w:t>0.01%</w:t>
            </w:r>
          </w:p>
        </w:tc>
        <w:tc>
          <w:tcPr>
            <w:tcW w:w="2067" w:type="dxa"/>
          </w:tcPr>
          <w:p w:rsidR="00473C68">
            <w:pPr>
              <w:jc w:val="center"/>
              <w:rPr>
                <w:rFonts w:ascii="宋体" w:hAnsi="宋体" w:cs="宋体"/>
                <w:szCs w:val="21"/>
              </w:rPr>
            </w:pPr>
            <w:r>
              <w:rPr>
                <w:rFonts w:ascii="宋体" w:hAnsi="宋体" w:cs="宋体" w:hint="eastAsia"/>
                <w:szCs w:val="21"/>
              </w:rPr>
              <w:t>0.01%</w:t>
            </w:r>
          </w:p>
        </w:tc>
      </w:tr>
    </w:tbl>
    <w:p w:rsidR="00473C68">
      <w:pPr>
        <w:spacing w:line="360" w:lineRule="auto"/>
        <w:rPr>
          <w:rFonts w:ascii="宋体" w:hAnsi="宋体" w:cs="宋体"/>
          <w:b/>
          <w:bCs/>
          <w:szCs w:val="21"/>
        </w:rPr>
      </w:pPr>
      <w:r>
        <w:rPr>
          <w:rFonts w:ascii="宋体" w:hAnsi="宋体" w:cs="宋体" w:hint="eastAsia"/>
          <w:b/>
          <w:bCs/>
          <w:szCs w:val="21"/>
        </w:rPr>
        <w:t>七、合同签订及公告</w:t>
      </w:r>
    </w:p>
    <w:p w:rsidR="00473C68">
      <w:pPr>
        <w:spacing w:line="360" w:lineRule="auto"/>
        <w:ind w:firstLine="420" w:firstLineChars="200"/>
        <w:rPr>
          <w:rFonts w:ascii="宋体" w:hAnsi="宋体" w:cs="宋体"/>
          <w:b/>
          <w:bCs/>
          <w:szCs w:val="21"/>
        </w:rPr>
      </w:pPr>
      <w:r>
        <w:rPr>
          <w:rFonts w:ascii="宋体" w:hAnsi="宋体" w:cs="宋体" w:hint="eastAsia"/>
          <w:b/>
          <w:bCs/>
          <w:szCs w:val="21"/>
        </w:rPr>
        <w:t>（一）签订合同</w:t>
      </w:r>
    </w:p>
    <w:p w:rsidR="00473C68">
      <w:pPr>
        <w:spacing w:line="360" w:lineRule="auto"/>
        <w:ind w:firstLine="420" w:firstLineChars="200"/>
        <w:rPr>
          <w:rFonts w:ascii="宋体" w:hAnsi="宋体" w:cs="宋体"/>
          <w:szCs w:val="21"/>
        </w:rPr>
      </w:pPr>
      <w:r>
        <w:rPr>
          <w:rFonts w:ascii="宋体" w:hAnsi="宋体" w:cs="宋体" w:hint="eastAsia"/>
          <w:szCs w:val="21"/>
        </w:rPr>
        <w:t>1、采购人应当自中标通知书发出之日起30日内，按照招标文件和中标人投标文件的规定，与中标人签订书面合同。所签订的合同不得对招标文件确定的事项和中标人投标文件作实质性修改。</w:t>
      </w:r>
    </w:p>
    <w:p w:rsidR="00473C68">
      <w:pPr>
        <w:spacing w:line="360" w:lineRule="auto"/>
        <w:ind w:firstLine="420" w:firstLineChars="200"/>
        <w:rPr>
          <w:rFonts w:ascii="宋体" w:hAnsi="宋体" w:cs="宋体"/>
          <w:szCs w:val="21"/>
        </w:rPr>
      </w:pPr>
      <w:r>
        <w:rPr>
          <w:rFonts w:ascii="宋体" w:hAnsi="宋体" w:cs="宋体" w:hint="eastAsia"/>
          <w:szCs w:val="21"/>
        </w:rPr>
        <w:t>2、采购人不得向中标人提出任何不合理的要求作为签订合同的条件。</w:t>
      </w:r>
    </w:p>
    <w:p w:rsidR="00473C68">
      <w:pPr>
        <w:spacing w:line="360" w:lineRule="auto"/>
        <w:ind w:firstLine="420" w:firstLineChars="200"/>
        <w:rPr>
          <w:rFonts w:ascii="宋体" w:hAnsi="宋体" w:cs="宋体"/>
          <w:szCs w:val="21"/>
        </w:rPr>
      </w:pPr>
      <w:r>
        <w:rPr>
          <w:rFonts w:ascii="宋体" w:hAnsi="宋体" w:cs="宋体" w:hint="eastAsia"/>
          <w:szCs w:val="21"/>
        </w:rPr>
        <w:t>3、中标供应商无故拖延、拒签合同的,取消中标资格。</w:t>
      </w:r>
    </w:p>
    <w:p w:rsidR="00473C68">
      <w:pPr>
        <w:spacing w:line="360" w:lineRule="auto"/>
        <w:ind w:firstLine="420" w:firstLineChars="200"/>
        <w:rPr>
          <w:rFonts w:ascii="宋体" w:hAnsi="宋体" w:cs="宋体"/>
          <w:szCs w:val="21"/>
        </w:rPr>
      </w:pPr>
      <w:r>
        <w:rPr>
          <w:rFonts w:ascii="宋体" w:hAnsi="宋体" w:cs="宋体" w:hint="eastAsia"/>
          <w:szCs w:val="21"/>
        </w:rPr>
        <w:t>4、中标供应商拒绝与采购人签订合同的，采购人可以按照评审报告推荐的中标候选人名单排序，确定下一候选人为中标供应商，也可以重新开展政府采购活动。同时，拒绝与采购人签订合同的供应商，由同级财政部门依法作出处理。</w:t>
      </w:r>
    </w:p>
    <w:p w:rsidR="00473C68">
      <w:pPr>
        <w:spacing w:line="360" w:lineRule="auto"/>
        <w:ind w:firstLine="420" w:firstLineChars="200"/>
        <w:rPr>
          <w:rFonts w:ascii="宋体" w:hAnsi="宋体" w:cs="宋体"/>
          <w:szCs w:val="21"/>
        </w:rPr>
      </w:pPr>
      <w:r>
        <w:rPr>
          <w:rFonts w:ascii="宋体" w:hAnsi="宋体" w:cs="宋体" w:hint="eastAsia"/>
          <w:szCs w:val="21"/>
        </w:rPr>
        <w:t>5、询问或者质疑事项可能影响中标结果的，采购人应当暂停签订合同，已经签订合同的，应当中止履行合同（中标结果的质疑期为中标结果公告期限届满之日起七个工作日）。</w:t>
      </w:r>
    </w:p>
    <w:p w:rsidR="00473C68">
      <w:pPr>
        <w:spacing w:line="360" w:lineRule="auto"/>
        <w:ind w:firstLine="420" w:firstLineChars="200"/>
        <w:rPr>
          <w:rFonts w:ascii="宋体" w:hAnsi="宋体" w:cs="宋体"/>
          <w:b/>
          <w:bCs/>
          <w:szCs w:val="21"/>
        </w:rPr>
        <w:sectPr>
          <w:headerReference w:type="default" r:id="rId51"/>
          <w:footerReference w:type="default" r:id="rId52"/>
          <w:type w:val="nextPage"/>
          <w:pgSz w:w="11906" w:h="16838"/>
          <w:pgMar w:top="1440" w:right="1440" w:bottom="1440" w:left="1803" w:header="851" w:footer="992" w:gutter="0"/>
          <w:pgNumType w:start="22"/>
          <w:cols w:space="0"/>
          <w:titlePg w:val="0"/>
          <w:docGrid w:type="lines" w:linePitch="325"/>
        </w:sectPr>
      </w:pPr>
      <w:r>
        <w:rPr>
          <w:rFonts w:ascii="宋体" w:hAnsi="宋体" w:cs="宋体" w:hint="eastAsia"/>
          <w:b/>
          <w:bCs/>
          <w:szCs w:val="21"/>
        </w:rPr>
        <w:t>（二）合同公告及备案</w:t>
      </w:r>
    </w:p>
    <w:p w:rsidR="00473C68">
      <w:pPr>
        <w:spacing w:line="360" w:lineRule="auto"/>
        <w:ind w:firstLine="420" w:firstLineChars="200"/>
        <w:rPr>
          <w:rFonts w:ascii="宋体" w:hAnsi="宋体" w:cs="宋体"/>
          <w:szCs w:val="21"/>
        </w:rPr>
      </w:pPr>
      <w:r>
        <w:rPr>
          <w:rFonts w:ascii="宋体" w:hAnsi="宋体" w:cs="宋体" w:hint="eastAsia"/>
          <w:szCs w:val="21"/>
        </w:rPr>
        <w:t>1、采购人应当自政府采购合同签订之日起2个工作日内，在省级以上财政部门指定的政府采购信息发布媒体及相关网站上公告。</w:t>
      </w:r>
    </w:p>
    <w:p w:rsidR="00473C68">
      <w:pPr>
        <w:spacing w:line="360" w:lineRule="auto"/>
        <w:ind w:firstLine="420" w:firstLineChars="200"/>
        <w:rPr>
          <w:rFonts w:ascii="宋体" w:hAnsi="宋体" w:cs="宋体"/>
          <w:szCs w:val="21"/>
        </w:rPr>
      </w:pPr>
      <w:r>
        <w:rPr>
          <w:rFonts w:ascii="宋体" w:hAnsi="宋体" w:cs="宋体" w:hint="eastAsia"/>
          <w:szCs w:val="21"/>
        </w:rPr>
        <w:t>2、采购人应当自政府采购合同签订之日起7个工作日内，将政府采购合同副本报同级人民政府财政部门备案以及采购组织机构存档。</w:t>
      </w:r>
    </w:p>
    <w:p w:rsidR="00473C68">
      <w:pPr>
        <w:spacing w:line="360" w:lineRule="auto"/>
        <w:rPr>
          <w:rFonts w:ascii="宋体" w:hAnsi="宋体" w:cs="宋体"/>
          <w:b/>
          <w:sz w:val="36"/>
          <w:szCs w:val="36"/>
        </w:rPr>
        <w:sectPr>
          <w:headerReference w:type="default" r:id="rId53"/>
          <w:footerReference w:type="default" r:id="rId54"/>
          <w:type w:val="nextPage"/>
          <w:pgSz w:w="11906" w:h="16838"/>
          <w:pgMar w:top="1440" w:right="1440" w:bottom="1440" w:left="1803" w:header="851" w:footer="992" w:gutter="0"/>
          <w:pgNumType w:start="23"/>
          <w:cols w:space="0"/>
          <w:titlePg w:val="0"/>
          <w:docGrid w:type="lines" w:linePitch="325"/>
        </w:sectPr>
      </w:pPr>
    </w:p>
    <w:p w:rsidR="00473C68">
      <w:pPr>
        <w:spacing w:line="360" w:lineRule="auto"/>
        <w:jc w:val="center"/>
        <w:outlineLvl w:val="0"/>
        <w:rPr>
          <w:rFonts w:ascii="宋体" w:hAnsi="宋体" w:cs="宋体"/>
          <w:b/>
          <w:sz w:val="36"/>
          <w:szCs w:val="36"/>
        </w:rPr>
      </w:pPr>
      <w:r>
        <w:rPr>
          <w:rFonts w:ascii="宋体" w:hAnsi="宋体" w:cs="宋体" w:hint="eastAsia"/>
          <w:b/>
          <w:sz w:val="36"/>
          <w:szCs w:val="36"/>
        </w:rPr>
        <w:t>第三章 评标办法及评分标准</w:t>
      </w:r>
    </w:p>
    <w:p w:rsidR="00473C68">
      <w:pPr>
        <w:spacing w:line="360" w:lineRule="auto"/>
        <w:ind w:firstLine="420" w:firstLineChars="200"/>
        <w:rPr>
          <w:rFonts w:ascii="宋体" w:hAnsi="宋体" w:cs="宋体"/>
          <w:szCs w:val="21"/>
        </w:rPr>
      </w:pPr>
      <w:r>
        <w:rPr>
          <w:rFonts w:ascii="宋体" w:hAnsi="宋体" w:cs="宋体" w:hint="eastAsia"/>
          <w:szCs w:val="21"/>
        </w:rPr>
        <w:t>一、采购组织机构将组织评标委员会，对投标人提供的投标文件进行综合评审。</w:t>
      </w:r>
    </w:p>
    <w:p w:rsidR="00473C68">
      <w:pPr>
        <w:spacing w:line="360" w:lineRule="auto"/>
        <w:ind w:firstLine="420" w:firstLineChars="200"/>
        <w:rPr>
          <w:rFonts w:ascii="宋体" w:hAnsi="宋体" w:cs="宋体"/>
          <w:szCs w:val="21"/>
        </w:rPr>
      </w:pPr>
      <w:r>
        <w:rPr>
          <w:rFonts w:ascii="宋体" w:hAnsi="宋体" w:cs="宋体" w:hint="eastAsia"/>
          <w:szCs w:val="21"/>
        </w:rPr>
        <w:t>二、本次招标项目的评标方法为综合评分法，总计100分，其中资格及</w:t>
      </w:r>
      <w:r>
        <w:rPr>
          <w:rFonts w:ascii="宋体" w:hAnsi="宋体" w:cs="宋体" w:hint="eastAsia"/>
          <w:szCs w:val="21"/>
          <w:lang w:val="zh-CN"/>
        </w:rPr>
        <w:t>商务技术文件分值</w:t>
      </w:r>
      <w:r>
        <w:rPr>
          <w:rFonts w:ascii="宋体" w:hAnsi="宋体" w:cs="宋体" w:hint="eastAsia"/>
          <w:szCs w:val="21"/>
        </w:rPr>
        <w:t>90</w:t>
      </w:r>
      <w:r>
        <w:rPr>
          <w:rFonts w:ascii="宋体" w:hAnsi="宋体" w:cs="宋体" w:hint="eastAsia"/>
          <w:szCs w:val="21"/>
          <w:lang w:val="zh-CN"/>
        </w:rPr>
        <w:t>分，投标报价分值</w:t>
      </w:r>
      <w:r>
        <w:rPr>
          <w:rFonts w:ascii="宋体" w:hAnsi="宋体" w:cs="宋体" w:hint="eastAsia"/>
          <w:szCs w:val="21"/>
        </w:rPr>
        <w:t>10</w:t>
      </w:r>
      <w:r>
        <w:rPr>
          <w:rFonts w:ascii="宋体" w:hAnsi="宋体" w:cs="宋体" w:hint="eastAsia"/>
          <w:szCs w:val="21"/>
          <w:lang w:val="zh-CN"/>
        </w:rPr>
        <w:t>分</w:t>
      </w:r>
      <w:r>
        <w:rPr>
          <w:rFonts w:ascii="宋体" w:hAnsi="宋体" w:cs="宋体" w:hint="eastAsia"/>
          <w:szCs w:val="21"/>
        </w:rPr>
        <w:t>。评标标准按评分细化条款及分值进行评审。</w:t>
      </w:r>
    </w:p>
    <w:p w:rsidR="00473C68">
      <w:pPr>
        <w:spacing w:line="360" w:lineRule="auto"/>
        <w:ind w:firstLine="420" w:firstLineChars="200"/>
        <w:rPr>
          <w:rFonts w:ascii="宋体" w:hAnsi="宋体" w:cs="宋体"/>
          <w:szCs w:val="21"/>
          <w:lang w:val="zh-CN"/>
        </w:rPr>
      </w:pPr>
      <w:r>
        <w:rPr>
          <w:rFonts w:ascii="宋体" w:hAnsi="宋体" w:cs="宋体" w:hint="eastAsia"/>
          <w:szCs w:val="21"/>
          <w:lang w:val="zh-CN"/>
        </w:rPr>
        <w:t>（一）</w:t>
      </w:r>
      <w:r>
        <w:rPr>
          <w:rFonts w:ascii="宋体" w:hAnsi="宋体" w:cs="宋体" w:hint="eastAsia"/>
          <w:szCs w:val="21"/>
        </w:rPr>
        <w:t>资格及</w:t>
      </w:r>
      <w:r>
        <w:rPr>
          <w:rFonts w:ascii="宋体" w:hAnsi="宋体" w:cs="宋体" w:hint="eastAsia"/>
          <w:szCs w:val="21"/>
          <w:lang w:val="zh-CN"/>
        </w:rPr>
        <w:t>商务技术文件中的客观分应由评审小组成员独立评审，</w:t>
      </w:r>
      <w:r>
        <w:rPr>
          <w:rFonts w:ascii="宋体" w:hAnsi="宋体" w:cs="宋体" w:hint="eastAsia"/>
          <w:szCs w:val="21"/>
        </w:rPr>
        <w:t>但客观分打分应一致</w:t>
      </w:r>
      <w:r>
        <w:rPr>
          <w:rFonts w:ascii="宋体" w:hAnsi="宋体" w:cs="宋体" w:hint="eastAsia"/>
          <w:szCs w:val="21"/>
          <w:lang w:val="zh-CN"/>
        </w:rPr>
        <w:t>；客观分不一致时，由评审委员会复核或书面说明理由，其余在规定的分值内单独评定打分</w:t>
      </w:r>
      <w:r>
        <w:rPr>
          <w:rFonts w:ascii="宋体" w:hAnsi="宋体" w:cs="宋体" w:hint="eastAsia"/>
          <w:szCs w:val="21"/>
        </w:rPr>
        <w:t>（小数点后保留1位）</w:t>
      </w:r>
      <w:r>
        <w:rPr>
          <w:rFonts w:ascii="宋体" w:hAnsi="宋体" w:cs="宋体" w:hint="eastAsia"/>
          <w:szCs w:val="21"/>
          <w:lang w:val="zh-CN"/>
        </w:rPr>
        <w:t>。</w:t>
      </w:r>
    </w:p>
    <w:p w:rsidR="00473C68">
      <w:pPr>
        <w:spacing w:line="360" w:lineRule="auto"/>
        <w:ind w:firstLine="420" w:firstLineChars="200"/>
        <w:rPr>
          <w:rFonts w:ascii="宋体" w:hAnsi="宋体" w:cs="宋体"/>
          <w:szCs w:val="21"/>
          <w:lang w:val="zh-CN"/>
        </w:rPr>
      </w:pPr>
      <w:r>
        <w:rPr>
          <w:rFonts w:ascii="宋体" w:hAnsi="宋体" w:cs="宋体" w:hint="eastAsia"/>
          <w:szCs w:val="21"/>
          <w:lang w:val="zh-CN"/>
        </w:rPr>
        <w:t>（二）各投标人</w:t>
      </w:r>
      <w:r>
        <w:rPr>
          <w:rFonts w:ascii="宋体" w:hAnsi="宋体" w:cs="宋体" w:hint="eastAsia"/>
          <w:szCs w:val="21"/>
        </w:rPr>
        <w:t>资格及</w:t>
      </w:r>
      <w:r>
        <w:rPr>
          <w:rFonts w:ascii="宋体" w:hAnsi="宋体" w:cs="宋体" w:hint="eastAsia"/>
          <w:szCs w:val="21"/>
          <w:lang w:val="zh-CN"/>
        </w:rPr>
        <w:t>商务技术文件得分按照评标委员会成员的独立评分结果汇总后的算术平均分计算</w:t>
      </w:r>
      <w:r>
        <w:rPr>
          <w:rFonts w:ascii="宋体" w:hAnsi="宋体" w:cs="宋体" w:hint="eastAsia"/>
          <w:szCs w:val="21"/>
        </w:rPr>
        <w:t>（小数点后保留2位）</w:t>
      </w:r>
      <w:r>
        <w:rPr>
          <w:rFonts w:ascii="宋体" w:hAnsi="宋体" w:cs="宋体" w:hint="eastAsia"/>
          <w:szCs w:val="21"/>
          <w:lang w:val="zh-CN"/>
        </w:rPr>
        <w:t>，计算公式为：</w:t>
      </w:r>
    </w:p>
    <w:p w:rsidR="00473C68">
      <w:pPr>
        <w:spacing w:line="360" w:lineRule="auto"/>
        <w:ind w:firstLine="420" w:firstLineChars="200"/>
        <w:rPr>
          <w:rFonts w:ascii="宋体" w:hAnsi="宋体" w:cs="宋体"/>
          <w:szCs w:val="21"/>
          <w:lang w:val="zh-CN"/>
        </w:rPr>
      </w:pPr>
      <w:r>
        <w:rPr>
          <w:rFonts w:ascii="宋体" w:hAnsi="宋体" w:cs="宋体" w:hint="eastAsia"/>
          <w:szCs w:val="21"/>
        </w:rPr>
        <w:t>资格及</w:t>
      </w:r>
      <w:r>
        <w:rPr>
          <w:rFonts w:ascii="宋体" w:hAnsi="宋体" w:cs="宋体" w:hint="eastAsia"/>
          <w:szCs w:val="21"/>
          <w:lang w:val="zh-CN"/>
        </w:rPr>
        <w:t>商务技术文件</w:t>
      </w:r>
      <w:r>
        <w:rPr>
          <w:rFonts w:ascii="宋体" w:hAnsi="宋体" w:cs="宋体" w:hint="eastAsia"/>
          <w:szCs w:val="21"/>
        </w:rPr>
        <w:t>得分</w:t>
      </w:r>
      <w:r>
        <w:rPr>
          <w:rFonts w:ascii="宋体" w:hAnsi="宋体" w:cs="宋体" w:hint="eastAsia"/>
          <w:szCs w:val="21"/>
          <w:lang w:val="zh-CN"/>
        </w:rPr>
        <w:t>=评标委员会所有成员评分合计数/评标委员会组成人员数。</w:t>
      </w:r>
    </w:p>
    <w:p w:rsidR="00473C68">
      <w:pPr>
        <w:spacing w:line="360" w:lineRule="auto"/>
        <w:ind w:firstLine="420" w:firstLineChars="200"/>
        <w:rPr>
          <w:rFonts w:ascii="宋体" w:hAnsi="宋体" w:cs="宋体"/>
          <w:szCs w:val="21"/>
          <w:lang w:val="zh-CN"/>
        </w:rPr>
      </w:pPr>
      <w:r>
        <w:rPr>
          <w:rFonts w:ascii="宋体" w:hAnsi="宋体" w:cs="宋体" w:hint="eastAsia"/>
          <w:szCs w:val="21"/>
          <w:lang w:val="zh-CN"/>
        </w:rPr>
        <w:t>（三）投标报价得分采用低价优先法计算</w:t>
      </w:r>
      <w:r>
        <w:rPr>
          <w:rFonts w:ascii="宋体" w:hAnsi="宋体" w:cs="宋体" w:hint="eastAsia"/>
          <w:szCs w:val="21"/>
        </w:rPr>
        <w:t>（小数点后保留2位）</w:t>
      </w:r>
      <w:r>
        <w:rPr>
          <w:rFonts w:ascii="宋体" w:hAnsi="宋体" w:cs="宋体" w:hint="eastAsia"/>
          <w:szCs w:val="21"/>
          <w:lang w:val="zh-CN"/>
        </w:rPr>
        <w:t>，即满足招标文件要求且投标价格最低的投标报价为评标基准价，其报价得满分。其他投标人的投标报价得分按下列公式计算：</w:t>
      </w:r>
    </w:p>
    <w:p w:rsidR="00473C68">
      <w:pPr>
        <w:spacing w:line="360" w:lineRule="auto"/>
        <w:ind w:firstLine="420" w:firstLineChars="200"/>
        <w:rPr>
          <w:rFonts w:ascii="宋体" w:hAnsi="宋体" w:cs="宋体"/>
          <w:szCs w:val="21"/>
          <w:u w:val="single"/>
          <w:lang w:val="zh-CN"/>
        </w:rPr>
      </w:pPr>
      <w:r>
        <w:rPr>
          <w:rFonts w:ascii="宋体" w:hAnsi="宋体" w:cs="宋体" w:hint="eastAsia"/>
          <w:szCs w:val="21"/>
          <w:u w:val="single"/>
          <w:lang w:val="zh-CN"/>
        </w:rPr>
        <w:t>投标报价得分=(评标基准价／投标报价)×</w:t>
      </w:r>
      <w:r>
        <w:rPr>
          <w:rFonts w:ascii="宋体" w:hAnsi="宋体" w:cs="宋体" w:hint="eastAsia"/>
          <w:szCs w:val="21"/>
          <w:u w:val="single"/>
        </w:rPr>
        <w:t>10</w:t>
      </w:r>
      <w:r>
        <w:rPr>
          <w:rFonts w:ascii="宋体" w:hAnsi="宋体" w:cs="宋体" w:hint="eastAsia"/>
          <w:szCs w:val="21"/>
          <w:u w:val="single"/>
          <w:lang w:val="zh-CN"/>
        </w:rPr>
        <w:t>%×100 。</w:t>
      </w:r>
    </w:p>
    <w:p w:rsidR="00473C68">
      <w:pPr>
        <w:spacing w:line="360" w:lineRule="auto"/>
        <w:ind w:firstLine="420" w:firstLineChars="200"/>
        <w:rPr>
          <w:rFonts w:ascii="宋体" w:hAnsi="宋体" w:cs="宋体"/>
          <w:szCs w:val="21"/>
          <w:lang w:val="zh-CN"/>
        </w:rPr>
      </w:pPr>
      <w:r>
        <w:rPr>
          <w:rFonts w:ascii="宋体" w:hAnsi="宋体" w:cs="宋体" w:hint="eastAsia"/>
          <w:szCs w:val="21"/>
          <w:lang w:val="zh-CN"/>
        </w:rPr>
        <w:t>（四）投标人综合得分＝资格及商务技术文件得分＋投标报价得分。</w:t>
      </w:r>
    </w:p>
    <w:p w:rsidR="00473C68">
      <w:pPr>
        <w:spacing w:line="360" w:lineRule="auto"/>
        <w:ind w:firstLine="420" w:firstLineChars="200"/>
        <w:rPr>
          <w:rFonts w:ascii="宋体" w:hAnsi="宋体" w:cs="宋体"/>
          <w:szCs w:val="21"/>
          <w:lang w:val="zh-CN"/>
        </w:rPr>
      </w:pPr>
      <w:r>
        <w:rPr>
          <w:rFonts w:ascii="宋体" w:hAnsi="宋体" w:cs="宋体" w:hint="eastAsia"/>
          <w:szCs w:val="21"/>
          <w:lang w:val="zh-CN"/>
        </w:rPr>
        <w:t>（五）政府采购政策及优惠：</w:t>
      </w:r>
    </w:p>
    <w:p w:rsidR="00473C68">
      <w:pPr>
        <w:spacing w:line="360" w:lineRule="auto"/>
        <w:ind w:firstLine="420" w:firstLineChars="200"/>
        <w:rPr>
          <w:rFonts w:ascii="宋体" w:hAnsi="宋体" w:cs="宋体"/>
          <w:szCs w:val="21"/>
          <w:lang w:val="zh-CN"/>
        </w:rPr>
      </w:pPr>
      <w:r>
        <w:rPr>
          <w:rFonts w:ascii="宋体" w:hAnsi="宋体" w:cs="宋体" w:hint="eastAsia"/>
          <w:szCs w:val="21"/>
        </w:rPr>
        <w:t>1、</w:t>
      </w:r>
      <w:r>
        <w:rPr>
          <w:rFonts w:ascii="宋体" w:hAnsi="宋体" w:cs="宋体" w:hint="eastAsia"/>
          <w:szCs w:val="21"/>
          <w:lang w:val="zh-CN"/>
        </w:rPr>
        <w:t>关于小型、微型企业（简称小微企业）投标：①根据</w:t>
      </w:r>
      <w:r>
        <w:rPr>
          <w:rFonts w:ascii="宋体" w:hAnsi="宋体" w:cs="宋体" w:hint="eastAsia"/>
          <w:szCs w:val="21"/>
        </w:rPr>
        <w:t>浙江省财政厅</w:t>
      </w:r>
      <w:r>
        <w:rPr>
          <w:rFonts w:ascii="宋体" w:hAnsi="宋体" w:cs="宋体" w:hint="eastAsia"/>
          <w:szCs w:val="21"/>
          <w:lang w:val="zh-CN"/>
        </w:rPr>
        <w:t>发布的《浙江省财政厅关于进一步发挥政府采购政策功能全力推动经济稳进提质的通知》【</w:t>
      </w:r>
      <w:r>
        <w:rPr>
          <w:rFonts w:ascii="宋体" w:hAnsi="宋体" w:cs="宋体" w:hint="eastAsia"/>
          <w:szCs w:val="21"/>
        </w:rPr>
        <w:t>浙财采监</w:t>
      </w:r>
      <w:r>
        <w:rPr>
          <w:rFonts w:ascii="宋体" w:hAnsi="宋体" w:cs="宋体" w:hint="eastAsia"/>
          <w:szCs w:val="21"/>
          <w:lang w:val="zh-CN"/>
        </w:rPr>
        <w:t>（202</w:t>
      </w:r>
      <w:r>
        <w:rPr>
          <w:rFonts w:ascii="宋体" w:hAnsi="宋体" w:cs="宋体" w:hint="eastAsia"/>
          <w:szCs w:val="21"/>
        </w:rPr>
        <w:t>2</w:t>
      </w:r>
      <w:r>
        <w:rPr>
          <w:rFonts w:ascii="宋体" w:hAnsi="宋体" w:cs="宋体" w:hint="eastAsia"/>
          <w:szCs w:val="21"/>
          <w:lang w:val="zh-CN"/>
        </w:rPr>
        <w:t>）</w:t>
      </w:r>
      <w:r>
        <w:rPr>
          <w:rFonts w:ascii="宋体" w:hAnsi="宋体" w:cs="宋体" w:hint="eastAsia"/>
          <w:szCs w:val="21"/>
        </w:rPr>
        <w:t>3</w:t>
      </w:r>
      <w:r>
        <w:rPr>
          <w:rFonts w:ascii="宋体" w:hAnsi="宋体" w:cs="宋体" w:hint="eastAsia"/>
          <w:szCs w:val="21"/>
          <w:lang w:val="zh-CN"/>
        </w:rPr>
        <w:t>号】规定，对于经主管预算单位统筹后未预留份额专门面向中小企业采购的采购项目，以及预留份额项目中的非预留部分采购包，采购人、采购代理机构应当对符合本办法规定的小微企业报价给予</w:t>
      </w:r>
      <w:r>
        <w:rPr>
          <w:rFonts w:ascii="宋体" w:hAnsi="宋体" w:cs="宋体" w:hint="eastAsia"/>
          <w:szCs w:val="21"/>
        </w:rPr>
        <w:t>10</w:t>
      </w:r>
      <w:r>
        <w:rPr>
          <w:rFonts w:ascii="宋体" w:hAnsi="宋体" w:cs="宋体" w:hint="eastAsia"/>
          <w:szCs w:val="21"/>
          <w:lang w:val="zh-CN"/>
        </w:rPr>
        <w:t>%的扣除，用扣除后的价格参加评审。②小微企业投标是指符合《中小企业划型标准规定》的投标人，通过投标提供本企业制造的货物、承担的工程或者服务，或者提供其他小微企业制造的货物。本项所指货物不包括使用大、中型企业注册商标的货物。</w:t>
      </w:r>
    </w:p>
    <w:p w:rsidR="00473C68">
      <w:pPr>
        <w:spacing w:line="360" w:lineRule="auto"/>
        <w:ind w:firstLine="420" w:firstLineChars="200"/>
        <w:rPr>
          <w:rFonts w:ascii="宋体" w:hAnsi="宋体" w:cs="宋体"/>
          <w:szCs w:val="21"/>
          <w:lang w:val="zh-CN"/>
        </w:rPr>
      </w:pPr>
      <w:r>
        <w:rPr>
          <w:rFonts w:ascii="宋体" w:hAnsi="宋体" w:cs="宋体" w:hint="eastAsia"/>
          <w:szCs w:val="21"/>
        </w:rPr>
        <w:t>2、</w:t>
      </w:r>
      <w:r>
        <w:rPr>
          <w:rFonts w:ascii="宋体" w:hAnsi="宋体" w:cs="宋体" w:hint="eastAsia"/>
          <w:szCs w:val="21"/>
          <w:lang w:val="zh-CN"/>
        </w:rPr>
        <w:t>监狱企业参加政府采购活动时，应当提供由省级以上监狱管理局、戒毒管理局（含新疆生产建设兵团）出具的属于监狱企业的证明文件，视同小型、微型企业，享受小微企业政府采购优惠政策；</w:t>
      </w:r>
    </w:p>
    <w:p w:rsidR="00473C68">
      <w:pPr>
        <w:spacing w:line="360" w:lineRule="auto"/>
        <w:ind w:firstLine="420" w:firstLineChars="200"/>
        <w:rPr>
          <w:rFonts w:ascii="宋体" w:hAnsi="宋体" w:cs="宋体"/>
          <w:szCs w:val="21"/>
          <w:lang w:val="zh-CN"/>
        </w:rPr>
        <w:sectPr>
          <w:headerReference w:type="default" r:id="rId55"/>
          <w:footerReference w:type="default" r:id="rId56"/>
          <w:type w:val="nextPage"/>
          <w:pgSz w:w="11906" w:h="16838"/>
          <w:pgMar w:top="1440" w:right="1440" w:bottom="1440" w:left="1803" w:header="851" w:footer="992" w:gutter="0"/>
          <w:pgNumType w:start="24"/>
          <w:cols w:space="0"/>
          <w:titlePg w:val="0"/>
          <w:docGrid w:type="lines" w:linePitch="325"/>
        </w:sectPr>
      </w:pPr>
      <w:r>
        <w:rPr>
          <w:rFonts w:ascii="宋体" w:hAnsi="宋体" w:cs="宋体" w:hint="eastAsia"/>
          <w:szCs w:val="21"/>
        </w:rPr>
        <w:t>3、</w:t>
      </w:r>
      <w:r>
        <w:rPr>
          <w:rFonts w:ascii="宋体" w:hAnsi="宋体" w:cs="宋体" w:hint="eastAsia"/>
          <w:szCs w:val="21"/>
          <w:lang w:val="zh-CN"/>
        </w:rPr>
        <w:t>残疾人福利性单位在参加政府采购活动时，应提供《残疾人福利性单位声明函》（见附件），视同小型、微型企业，享受小微企业政府采购优惠政策。</w:t>
      </w:r>
    </w:p>
    <w:p w:rsidR="00473C68">
      <w:pPr>
        <w:spacing w:line="360" w:lineRule="auto"/>
        <w:ind w:firstLine="420" w:firstLineChars="200"/>
        <w:rPr>
          <w:rFonts w:ascii="宋体" w:hAnsi="宋体" w:cs="宋体"/>
          <w:szCs w:val="21"/>
          <w:lang w:val="zh-CN"/>
        </w:rPr>
      </w:pPr>
      <w:r>
        <w:rPr>
          <w:rFonts w:ascii="宋体" w:hAnsi="宋体" w:cs="宋体" w:hint="eastAsia"/>
          <w:szCs w:val="21"/>
          <w:lang w:val="zh-CN"/>
        </w:rPr>
        <w:t>具体优惠：对于非联合体投标，小型微型企业产品的价格给予</w:t>
      </w:r>
      <w:r>
        <w:rPr>
          <w:rFonts w:ascii="宋体" w:hAnsi="宋体" w:cs="宋体" w:hint="eastAsia"/>
          <w:szCs w:val="21"/>
        </w:rPr>
        <w:t>10</w:t>
      </w:r>
      <w:r>
        <w:rPr>
          <w:rFonts w:ascii="宋体" w:hAnsi="宋体" w:cs="宋体" w:hint="eastAsia"/>
          <w:szCs w:val="21"/>
          <w:lang w:val="zh-CN"/>
        </w:rPr>
        <w:t>%的扣除，用扣除后的价格计算评标基准价和投标报价。对于联合体投标，小型、微型企业的协议合同金额占到联合体协议合同总金额30%以上的，可给予联合体</w:t>
      </w:r>
      <w:r>
        <w:rPr>
          <w:rFonts w:ascii="宋体" w:hAnsi="宋体" w:cs="宋体" w:hint="eastAsia"/>
          <w:szCs w:val="21"/>
        </w:rPr>
        <w:t>6</w:t>
      </w:r>
      <w:r>
        <w:rPr>
          <w:rFonts w:ascii="宋体" w:hAnsi="宋体" w:cs="宋体" w:hint="eastAsia"/>
          <w:szCs w:val="21"/>
          <w:lang w:val="zh-CN"/>
        </w:rPr>
        <w:t>%的价格扣除。联合体各方均为小型、微型企业的，联合体视同为小型、微型企业享受扶持政策，对于小型微型企业产品的价格给予</w:t>
      </w:r>
      <w:r>
        <w:rPr>
          <w:rFonts w:ascii="宋体" w:hAnsi="宋体" w:cs="宋体" w:hint="eastAsia"/>
          <w:szCs w:val="21"/>
        </w:rPr>
        <w:t>10</w:t>
      </w:r>
      <w:r>
        <w:rPr>
          <w:rFonts w:ascii="宋体" w:hAnsi="宋体" w:cs="宋体" w:hint="eastAsia"/>
          <w:szCs w:val="21"/>
          <w:lang w:val="zh-CN"/>
        </w:rPr>
        <w:t>%的扣除，用扣除后的价格计算评标基准价和响应报价。同一投标人（包括联合体），小微企业、监狱企业、残疾人福利性单位价格扣除优惠只享受一次，不得重复享受。</w:t>
      </w:r>
    </w:p>
    <w:p w:rsidR="00473C68">
      <w:pPr>
        <w:spacing w:line="360" w:lineRule="auto"/>
        <w:ind w:firstLine="420" w:firstLineChars="200"/>
        <w:rPr>
          <w:rFonts w:ascii="宋体" w:hAnsi="宋体" w:cs="宋体"/>
          <w:szCs w:val="21"/>
          <w:lang w:val="zh-CN"/>
        </w:rPr>
      </w:pPr>
      <w:r>
        <w:rPr>
          <w:rFonts w:ascii="宋体" w:hAnsi="宋体" w:cs="宋体" w:hint="eastAsia"/>
          <w:szCs w:val="21"/>
          <w:lang w:val="zh-CN"/>
        </w:rPr>
        <w:t>注：得分以系统计算为准，保留2位小数。</w:t>
      </w:r>
    </w:p>
    <w:p w:rsidR="00473C68">
      <w:pPr>
        <w:pStyle w:val="BodyText"/>
        <w:spacing w:line="360" w:lineRule="auto"/>
        <w:ind w:firstLine="560" w:firstLineChars="200"/>
        <w:jc w:val="left"/>
        <w:rPr>
          <w:rFonts w:ascii="宋体" w:hAnsi="宋体" w:cs="宋体"/>
          <w:szCs w:val="21"/>
          <w:lang w:val="zh-CN"/>
        </w:rPr>
      </w:pPr>
      <w:r>
        <w:rPr>
          <w:rFonts w:ascii="宋体" w:hAnsi="宋体" w:cs="宋体" w:hint="eastAsia"/>
          <w:b/>
          <w:bCs/>
          <w:sz w:val="28"/>
          <w:szCs w:val="28"/>
          <w:u w:val="single"/>
        </w:rPr>
        <w:t>*</w:t>
      </w:r>
      <w:r>
        <w:rPr>
          <w:rFonts w:ascii="宋体" w:hAnsi="宋体" w:cs="宋体" w:hint="eastAsia"/>
          <w:b/>
          <w:bCs/>
          <w:szCs w:val="21"/>
          <w:u w:val="single"/>
          <w:lang w:val="zh-CN"/>
        </w:rPr>
        <w:t>以上证明材料不提供或提供不全的视为自动放弃优惠政策。</w:t>
      </w:r>
    </w:p>
    <w:p w:rsidR="00473C68">
      <w:pPr>
        <w:autoSpaceDE w:val="0"/>
        <w:autoSpaceDN w:val="0"/>
        <w:adjustRightInd w:val="0"/>
        <w:spacing w:line="360" w:lineRule="auto"/>
        <w:ind w:right="85" w:firstLine="420" w:firstLineChars="200"/>
        <w:rPr>
          <w:rFonts w:ascii="宋体" w:hAnsi="宋体" w:cs="宋体"/>
          <w:szCs w:val="21"/>
          <w:lang w:val="zh-CN"/>
        </w:rPr>
      </w:pPr>
      <w:r>
        <w:rPr>
          <w:rFonts w:ascii="宋体" w:hAnsi="宋体" w:cs="宋体" w:hint="eastAsia"/>
          <w:szCs w:val="21"/>
          <w:lang w:val="zh-CN"/>
        </w:rPr>
        <w:t>三、在最大限度地满足</w:t>
      </w:r>
      <w:r>
        <w:rPr>
          <w:rFonts w:ascii="宋体" w:hAnsi="宋体" w:cs="宋体" w:hint="eastAsia"/>
          <w:szCs w:val="21"/>
        </w:rPr>
        <w:t>招标</w:t>
      </w:r>
      <w:r>
        <w:rPr>
          <w:rFonts w:ascii="宋体" w:hAnsi="宋体" w:cs="宋体" w:hint="eastAsia"/>
          <w:szCs w:val="21"/>
          <w:lang w:val="zh-CN"/>
        </w:rPr>
        <w:t>文件实质性要求前提下，</w:t>
      </w:r>
      <w:r>
        <w:rPr>
          <w:rFonts w:ascii="宋体" w:hAnsi="宋体" w:cs="宋体" w:hint="eastAsia"/>
          <w:szCs w:val="21"/>
        </w:rPr>
        <w:t>评标委员会</w:t>
      </w:r>
      <w:r>
        <w:rPr>
          <w:rFonts w:ascii="宋体" w:hAnsi="宋体" w:cs="宋体" w:hint="eastAsia"/>
          <w:szCs w:val="21"/>
          <w:lang w:val="zh-CN"/>
        </w:rPr>
        <w:t>按照</w:t>
      </w:r>
      <w:r>
        <w:rPr>
          <w:rFonts w:ascii="宋体" w:hAnsi="宋体" w:cs="宋体" w:hint="eastAsia"/>
          <w:szCs w:val="21"/>
        </w:rPr>
        <w:t>招标</w:t>
      </w:r>
      <w:r>
        <w:rPr>
          <w:rFonts w:ascii="宋体" w:hAnsi="宋体" w:cs="宋体" w:hint="eastAsia"/>
          <w:szCs w:val="21"/>
          <w:lang w:val="zh-CN"/>
        </w:rPr>
        <w:t>文件中规定的各项因素进行综合评审后，以评审总得分最高的</w:t>
      </w:r>
      <w:r>
        <w:rPr>
          <w:rFonts w:ascii="宋体" w:hAnsi="宋体" w:cs="宋体" w:hint="eastAsia"/>
          <w:szCs w:val="21"/>
        </w:rPr>
        <w:t>投标人</w:t>
      </w:r>
      <w:r>
        <w:rPr>
          <w:rFonts w:ascii="宋体" w:hAnsi="宋体" w:cs="宋体" w:hint="eastAsia"/>
          <w:szCs w:val="21"/>
          <w:lang w:val="zh-CN"/>
        </w:rPr>
        <w:t>为</w:t>
      </w:r>
      <w:r>
        <w:rPr>
          <w:rFonts w:ascii="宋体" w:hAnsi="宋体" w:cs="宋体" w:hint="eastAsia"/>
          <w:szCs w:val="21"/>
        </w:rPr>
        <w:t>第一中标候选人，</w:t>
      </w:r>
      <w:r>
        <w:rPr>
          <w:rFonts w:ascii="宋体" w:hAnsi="宋体" w:cs="宋体" w:hint="eastAsia"/>
          <w:szCs w:val="21"/>
          <w:lang w:val="zh-CN"/>
        </w:rPr>
        <w:t>评审总得分</w:t>
      </w:r>
      <w:r>
        <w:rPr>
          <w:rFonts w:ascii="宋体" w:hAnsi="宋体" w:cs="宋体" w:hint="eastAsia"/>
          <w:szCs w:val="21"/>
        </w:rPr>
        <w:t>次</w:t>
      </w:r>
      <w:r>
        <w:rPr>
          <w:rFonts w:ascii="宋体" w:hAnsi="宋体" w:cs="宋体" w:hint="eastAsia"/>
          <w:szCs w:val="21"/>
          <w:lang w:val="zh-CN"/>
        </w:rPr>
        <w:t>高的</w:t>
      </w:r>
      <w:r>
        <w:rPr>
          <w:rFonts w:ascii="宋体" w:hAnsi="宋体" w:cs="宋体" w:hint="eastAsia"/>
          <w:szCs w:val="21"/>
        </w:rPr>
        <w:t>投标人</w:t>
      </w:r>
      <w:r>
        <w:rPr>
          <w:rFonts w:ascii="宋体" w:hAnsi="宋体" w:cs="宋体" w:hint="eastAsia"/>
          <w:szCs w:val="21"/>
          <w:lang w:val="zh-CN"/>
        </w:rPr>
        <w:t>为</w:t>
      </w:r>
      <w:r>
        <w:rPr>
          <w:rFonts w:ascii="宋体" w:hAnsi="宋体" w:cs="宋体" w:hint="eastAsia"/>
          <w:szCs w:val="21"/>
        </w:rPr>
        <w:t>第二中标候选人</w:t>
      </w:r>
      <w:r>
        <w:rPr>
          <w:rFonts w:ascii="宋体" w:hAnsi="宋体" w:cs="宋体" w:hint="eastAsia"/>
          <w:szCs w:val="21"/>
          <w:lang w:val="zh-CN"/>
        </w:rPr>
        <w:t>。</w:t>
      </w:r>
    </w:p>
    <w:p w:rsidR="00473C68">
      <w:pPr>
        <w:spacing w:line="360" w:lineRule="auto"/>
        <w:ind w:firstLine="420" w:firstLineChars="200"/>
        <w:rPr>
          <w:rFonts w:ascii="宋体" w:hAnsi="宋体" w:cs="宋体"/>
          <w:szCs w:val="21"/>
          <w:highlight w:val="yellow"/>
          <w:lang w:val="zh-CN"/>
        </w:rPr>
      </w:pPr>
      <w:r>
        <w:rPr>
          <w:rFonts w:ascii="宋体" w:hAnsi="宋体" w:cs="宋体" w:hint="eastAsia"/>
          <w:szCs w:val="21"/>
          <w:lang w:val="zh-CN"/>
        </w:rPr>
        <w:t>四、如综合得分相同，投标报价低者为先；如综合得分且投标报价相同的，以</w:t>
      </w:r>
      <w:r>
        <w:rPr>
          <w:rFonts w:ascii="宋体" w:hAnsi="宋体" w:cs="宋体" w:hint="eastAsia"/>
          <w:szCs w:val="21"/>
        </w:rPr>
        <w:t>商务分</w:t>
      </w:r>
      <w:r>
        <w:rPr>
          <w:rFonts w:ascii="宋体" w:hAnsi="宋体" w:cs="宋体" w:hint="eastAsia"/>
          <w:szCs w:val="21"/>
          <w:lang w:val="zh-CN"/>
        </w:rPr>
        <w:t>得分较高者为先，</w:t>
      </w:r>
      <w:r>
        <w:rPr>
          <w:rFonts w:ascii="宋体" w:hAnsi="宋体" w:cs="宋体" w:hint="eastAsia"/>
          <w:szCs w:val="21"/>
        </w:rPr>
        <w:t>商务分</w:t>
      </w:r>
      <w:r>
        <w:rPr>
          <w:rFonts w:ascii="宋体" w:hAnsi="宋体" w:cs="宋体" w:hint="eastAsia"/>
          <w:szCs w:val="21"/>
          <w:lang w:val="zh-CN"/>
        </w:rPr>
        <w:t>得分也相同的则抽签决定。</w:t>
      </w:r>
    </w:p>
    <w:p w:rsidR="00473C68">
      <w:pPr>
        <w:spacing w:line="360" w:lineRule="auto"/>
        <w:ind w:firstLine="420" w:firstLineChars="200"/>
        <w:rPr>
          <w:rFonts w:ascii="宋体" w:hAnsi="宋体" w:cs="宋体"/>
          <w:szCs w:val="21"/>
          <w:lang w:val="zh-CN"/>
        </w:rPr>
      </w:pPr>
      <w:r>
        <w:rPr>
          <w:rFonts w:ascii="宋体" w:hAnsi="宋体" w:cs="宋体" w:hint="eastAsia"/>
        </w:rPr>
        <w:t>五、</w:t>
      </w:r>
      <w:r>
        <w:rPr>
          <w:rFonts w:ascii="宋体" w:hAnsi="宋体" w:cs="宋体" w:hint="eastAsia"/>
          <w:szCs w:val="21"/>
          <w:lang w:val="zh-CN"/>
        </w:rPr>
        <w:t>提供相同品牌产品的不同投标人参加同一合同项下投标的，按一家供应商认定：（1）采用最低评标价法的采购项目，以其中通过资格审查、符合性审查且报价最低的参加评标；报价相同的，由评标委员会集体确定一个投标人参加评标，其他投标无效。（2）使用综合评分法的采购项目，评审后得分最高的同品牌投标人获得中标人推荐资格；评审得分相同的，由评标委员会集体推荐一个投标人作为中标候选人，其他同品牌投标人不作为中标候选人。</w:t>
      </w:r>
    </w:p>
    <w:p w:rsidR="00473C68">
      <w:pPr>
        <w:spacing w:line="360" w:lineRule="auto"/>
        <w:ind w:firstLine="420" w:firstLineChars="200"/>
        <w:rPr>
          <w:rFonts w:ascii="宋体" w:hAnsi="宋体" w:cs="宋体"/>
          <w:spacing w:val="10"/>
          <w:szCs w:val="21"/>
        </w:rPr>
      </w:pPr>
      <w:r>
        <w:rPr>
          <w:rFonts w:ascii="宋体" w:hAnsi="宋体" w:cs="宋体" w:hint="eastAsia"/>
        </w:rPr>
        <w:t>六、中标候选人放弃中标、拒绝与采购人签订合同、因不可抗力提出不能履行合同，采购人可以按照评审报告推荐的中标或者成交候选人名单排序，确定下一候选人为中标或者成交供应商，也可以重新开展政府采购活动。评标办法的解释权归招标人。</w:t>
      </w:r>
    </w:p>
    <w:p w:rsidR="00473C68">
      <w:pPr>
        <w:spacing w:line="360" w:lineRule="auto"/>
        <w:ind w:firstLine="420" w:firstLineChars="200"/>
        <w:rPr>
          <w:rFonts w:ascii="宋体" w:hAnsi="宋体" w:cs="宋体"/>
          <w:szCs w:val="21"/>
          <w:lang w:val="zh-CN"/>
        </w:rPr>
      </w:pPr>
      <w:r>
        <w:rPr>
          <w:rFonts w:ascii="宋体" w:hAnsi="宋体" w:cs="宋体" w:hint="eastAsia"/>
          <w:szCs w:val="21"/>
        </w:rPr>
        <w:t>七</w:t>
      </w:r>
      <w:r>
        <w:rPr>
          <w:rFonts w:ascii="宋体" w:hAnsi="宋体" w:cs="宋体" w:hint="eastAsia"/>
          <w:szCs w:val="21"/>
          <w:lang w:val="zh-CN"/>
        </w:rPr>
        <w:t>、本次评分具体分值细化条款如下表：</w:t>
      </w:r>
    </w:p>
    <w:p w:rsidR="00473C68">
      <w:pPr>
        <w:spacing w:line="360" w:lineRule="auto"/>
        <w:jc w:val="center"/>
        <w:rPr>
          <w:rFonts w:ascii="宋体" w:hAnsi="宋体" w:cs="宋体"/>
        </w:rPr>
      </w:pPr>
      <w:r>
        <w:rPr>
          <w:rFonts w:ascii="宋体" w:hAnsi="宋体" w:cs="宋体" w:hint="eastAsia"/>
          <w:b/>
          <w:szCs w:val="21"/>
        </w:rPr>
        <w:t>评标打分标准表</w:t>
      </w:r>
      <w:r>
        <w:rPr>
          <w:rFonts w:ascii="宋体" w:hAnsi="宋体" w:cs="宋体" w:hint="eastAsia"/>
          <w:szCs w:val="21"/>
          <w:lang w:val="zh-CN"/>
        </w:rPr>
        <w:t xml:space="preserve"> </w:t>
      </w:r>
    </w:p>
    <w:tbl>
      <w:tblPr>
        <w:tblStyle w:val="TableNormal"/>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3"/>
        <w:gridCol w:w="1194"/>
        <w:gridCol w:w="6952"/>
        <w:gridCol w:w="659"/>
      </w:tblGrid>
      <w:tr>
        <w:tblPrEx>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57"/>
          <w:jc w:val="center"/>
        </w:trPr>
        <w:tc>
          <w:tcPr>
            <w:tcW w:w="2177" w:type="dxa"/>
            <w:gridSpan w:val="2"/>
            <w:vAlign w:val="center"/>
          </w:tcPr>
          <w:p w:rsidR="00473C68">
            <w:pPr>
              <w:adjustRightInd w:val="0"/>
              <w:snapToGrid w:val="0"/>
              <w:jc w:val="cente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评标因素</w:t>
            </w:r>
          </w:p>
        </w:tc>
        <w:tc>
          <w:tcPr>
            <w:tcW w:w="6952" w:type="dxa"/>
            <w:vAlign w:val="center"/>
          </w:tcPr>
          <w:p w:rsidR="00473C68">
            <w:pPr>
              <w:adjustRightInd w:val="0"/>
              <w:snapToGrid w:val="0"/>
              <w:jc w:val="cente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评分标准</w:t>
            </w:r>
          </w:p>
        </w:tc>
        <w:tc>
          <w:tcPr>
            <w:tcW w:w="659" w:type="dxa"/>
            <w:vAlign w:val="center"/>
          </w:tcPr>
          <w:p w:rsidR="00473C68">
            <w:pPr>
              <w:adjustRightInd w:val="0"/>
              <w:snapToGrid w:val="0"/>
              <w:jc w:val="cente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分值</w:t>
            </w:r>
          </w:p>
        </w:tc>
      </w:tr>
      <w:tr>
        <w:tblPrEx>
          <w:tblW w:w="9788" w:type="dxa"/>
          <w:jc w:val="center"/>
          <w:tblLayout w:type="fixed"/>
          <w:tblLook w:val="04A0"/>
        </w:tblPrEx>
        <w:trPr>
          <w:trHeight w:val="1228"/>
          <w:jc w:val="center"/>
        </w:trPr>
        <w:tc>
          <w:tcPr>
            <w:tcW w:w="983" w:type="dxa"/>
            <w:vAlign w:val="center"/>
          </w:tcPr>
          <w:p w:rsidR="00473C68">
            <w:pPr>
              <w:adjustRightInd w:val="0"/>
              <w:snapToGrid w:val="0"/>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商务分</w:t>
            </w:r>
          </w:p>
          <w:p w:rsidR="00473C68">
            <w:pPr>
              <w:adjustRightInd w:val="0"/>
              <w:snapToGri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（25分）</w:t>
            </w:r>
          </w:p>
        </w:tc>
        <w:tc>
          <w:tcPr>
            <w:tcW w:w="1194" w:type="dxa"/>
            <w:vAlign w:val="center"/>
          </w:tcPr>
          <w:p w:rsidR="00473C68">
            <w:pPr>
              <w:adjustRightInd w:val="0"/>
              <w:snapToGri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企业综合实力</w:t>
            </w:r>
          </w:p>
        </w:tc>
        <w:tc>
          <w:tcPr>
            <w:tcW w:w="6952" w:type="dxa"/>
          </w:tcPr>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具有有效期内的质量管理体系认证证书、环境管理体系认证证书、职业健康安全管理体系认证证书、能源管理体系认证证书、信息技术服务管理体系认证证书、服务质量评价认证证书五星级的，每个证书得1分，本项最高得6分。</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b/>
                <w:bCs/>
                <w:szCs w:val="21"/>
              </w:rPr>
              <w:t>（上述证书应由具备有效资质的认证机构出具且应当在有效期内，须提供相关证书扫描件并加盖投标人公章编入投标文件中，未提供的不得分）</w:t>
            </w:r>
          </w:p>
        </w:tc>
        <w:tc>
          <w:tcPr>
            <w:tcW w:w="659" w:type="dxa"/>
            <w:vAlign w:val="center"/>
          </w:tcPr>
          <w:p w:rsidR="00473C68">
            <w:pPr>
              <w:autoSpaceDE w:val="0"/>
              <w:autoSpaceDN w:val="0"/>
              <w:adjustRightIn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p>
        </w:tc>
      </w:tr>
    </w:tbl>
    <w:p>
      <w:pPr>
        <w:sectPr>
          <w:headerReference w:type="default" r:id="rId57"/>
          <w:footerReference w:type="default" r:id="rId58"/>
          <w:type w:val="nextPage"/>
          <w:pgSz w:w="11906" w:h="16838"/>
          <w:pgMar w:top="1440" w:right="1440" w:bottom="1440" w:left="1803" w:header="851" w:footer="992" w:gutter="0"/>
          <w:pgNumType w:start="25"/>
          <w:cols w:space="0"/>
          <w:titlePg w:val="0"/>
          <w:docGrid w:type="lines" w:linePitch="325"/>
        </w:sectPr>
      </w:pPr>
    </w:p>
    <w:tbl>
      <w:tblPr>
        <w:tblStyle w:val="TableNormal"/>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3"/>
        <w:gridCol w:w="1194"/>
        <w:gridCol w:w="6952"/>
        <w:gridCol w:w="659"/>
      </w:tblGrid>
      <w:tr>
        <w:tblPrEx>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847"/>
          <w:jc w:val="center"/>
        </w:trPr>
        <w:tc>
          <w:tcPr>
            <w:tcW w:w="983" w:type="dxa"/>
            <w:vMerge w:val="restart"/>
            <w:vAlign w:val="center"/>
          </w:tcPr>
          <w:p w:rsidR="00473C68">
            <w:pPr>
              <w:adjustRightInd w:val="0"/>
              <w:snapToGrid w:val="0"/>
              <w:rPr>
                <w:rFonts w:asciiTheme="minorEastAsia" w:eastAsiaTheme="minorEastAsia" w:hAnsiTheme="minorEastAsia" w:cstheme="minorEastAsia"/>
                <w:szCs w:val="21"/>
              </w:rPr>
            </w:pPr>
          </w:p>
        </w:tc>
        <w:tc>
          <w:tcPr>
            <w:tcW w:w="1194" w:type="dxa"/>
            <w:vAlign w:val="center"/>
          </w:tcPr>
          <w:p w:rsidR="00473C68">
            <w:pPr>
              <w:adjustRightInd w:val="0"/>
              <w:snapToGrid w:val="0"/>
              <w:jc w:val="center"/>
              <w:rPr>
                <w:rFonts w:asciiTheme="minorEastAsia" w:eastAsiaTheme="minorEastAsia" w:hAnsiTheme="minorEastAsia" w:cstheme="minorEastAsia"/>
                <w:szCs w:val="21"/>
              </w:rPr>
            </w:pPr>
          </w:p>
        </w:tc>
        <w:tc>
          <w:tcPr>
            <w:tcW w:w="6952" w:type="dxa"/>
          </w:tcPr>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投标人自2020年1月1日以来（以颁发时间为准），所管理的非住宅项目获得政府部门颁发的示范项目、优秀项目荣誉，每提供1个得2分，本项最高得6分。</w:t>
            </w:r>
            <w:r>
              <w:rPr>
                <w:rFonts w:asciiTheme="minorEastAsia" w:eastAsiaTheme="minorEastAsia" w:hAnsiTheme="minorEastAsia" w:cstheme="minorEastAsia" w:hint="eastAsia"/>
                <w:b/>
                <w:bCs/>
                <w:szCs w:val="21"/>
              </w:rPr>
              <w:t>（需提供获奖证书或政府部门发文扫描件并加盖投标人公章编入投标文件中，未提供的不得分）</w:t>
            </w:r>
          </w:p>
        </w:tc>
        <w:tc>
          <w:tcPr>
            <w:tcW w:w="659" w:type="dxa"/>
            <w:vAlign w:val="center"/>
          </w:tcPr>
          <w:p w:rsidR="00473C68">
            <w:pPr>
              <w:autoSpaceDE w:val="0"/>
              <w:autoSpaceDN w:val="0"/>
              <w:adjustRightIn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p>
        </w:tc>
      </w:tr>
      <w:tr>
        <w:tblPrEx>
          <w:tblW w:w="9788" w:type="dxa"/>
          <w:jc w:val="center"/>
          <w:tblLayout w:type="fixed"/>
          <w:tblLook w:val="04A0"/>
        </w:tblPrEx>
        <w:trPr>
          <w:trHeight w:val="847"/>
          <w:jc w:val="center"/>
        </w:trPr>
        <w:tc>
          <w:tcPr>
            <w:tcW w:w="983" w:type="dxa"/>
            <w:vMerge/>
            <w:vAlign w:val="center"/>
          </w:tcPr>
          <w:p w:rsidR="00473C68">
            <w:pPr>
              <w:adjustRightInd w:val="0"/>
              <w:snapToGrid w:val="0"/>
              <w:jc w:val="center"/>
              <w:rPr>
                <w:rFonts w:asciiTheme="minorEastAsia" w:eastAsiaTheme="minorEastAsia" w:hAnsiTheme="minorEastAsia" w:cstheme="minorEastAsia"/>
                <w:szCs w:val="21"/>
              </w:rPr>
            </w:pPr>
          </w:p>
        </w:tc>
        <w:tc>
          <w:tcPr>
            <w:tcW w:w="1194" w:type="dxa"/>
            <w:vAlign w:val="center"/>
          </w:tcPr>
          <w:p w:rsidR="00473C68">
            <w:pPr>
              <w:adjustRightInd w:val="0"/>
              <w:snapToGri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6"/>
                <w:szCs w:val="21"/>
              </w:rPr>
              <w:t>承接经验</w:t>
            </w:r>
          </w:p>
        </w:tc>
        <w:tc>
          <w:tcPr>
            <w:tcW w:w="6952" w:type="dxa"/>
            <w:vAlign w:val="center"/>
          </w:tcPr>
          <w:p w:rsidR="00473C68">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投标人自2020年1月1日以来（以合同签订时间为准），承接过类似公寓服务项目的业绩案例，每提供一个得0.2分，本项最高得1分。</w:t>
            </w:r>
          </w:p>
          <w:p w:rsidR="00473C68">
            <w:pPr>
              <w:autoSpaceDE w:val="0"/>
              <w:autoSpaceDN w:val="0"/>
              <w:adjustRightInd w:val="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b/>
                <w:bCs/>
                <w:szCs w:val="21"/>
              </w:rPr>
              <w:t>（须提供相应合同扫描件并加盖投标人公章编入投标文件中，未提供的不得分）</w:t>
            </w:r>
          </w:p>
        </w:tc>
        <w:tc>
          <w:tcPr>
            <w:tcW w:w="659" w:type="dxa"/>
            <w:vAlign w:val="center"/>
          </w:tcPr>
          <w:p w:rsidR="00473C68">
            <w:pPr>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w:t>
            </w:r>
          </w:p>
        </w:tc>
      </w:tr>
      <w:tr>
        <w:tblPrEx>
          <w:tblW w:w="9788" w:type="dxa"/>
          <w:jc w:val="center"/>
          <w:tblLayout w:type="fixed"/>
          <w:tblLook w:val="04A0"/>
        </w:tblPrEx>
        <w:trPr>
          <w:trHeight w:val="847"/>
          <w:jc w:val="center"/>
        </w:trPr>
        <w:tc>
          <w:tcPr>
            <w:tcW w:w="983" w:type="dxa"/>
            <w:vMerge/>
            <w:vAlign w:val="center"/>
          </w:tcPr>
          <w:p w:rsidR="00473C68">
            <w:pPr>
              <w:adjustRightInd w:val="0"/>
              <w:snapToGrid w:val="0"/>
              <w:jc w:val="center"/>
              <w:rPr>
                <w:rFonts w:asciiTheme="minorEastAsia" w:eastAsiaTheme="minorEastAsia" w:hAnsiTheme="minorEastAsia" w:cstheme="minorEastAsia"/>
                <w:szCs w:val="21"/>
              </w:rPr>
            </w:pPr>
          </w:p>
        </w:tc>
        <w:tc>
          <w:tcPr>
            <w:tcW w:w="1194" w:type="dxa"/>
            <w:vAlign w:val="center"/>
          </w:tcPr>
          <w:p w:rsidR="00473C68">
            <w:pPr>
              <w:adjustRightInd w:val="0"/>
              <w:snapToGrid w:val="0"/>
              <w:jc w:val="center"/>
              <w:rPr>
                <w:rFonts w:asciiTheme="minorEastAsia" w:eastAsiaTheme="minorEastAsia" w:hAnsiTheme="minorEastAsia" w:cstheme="minorEastAsia"/>
                <w:spacing w:val="-6"/>
                <w:szCs w:val="21"/>
              </w:rPr>
            </w:pPr>
            <w:r>
              <w:rPr>
                <w:rFonts w:asciiTheme="minorEastAsia" w:eastAsiaTheme="minorEastAsia" w:hAnsiTheme="minorEastAsia" w:cstheme="minorEastAsia" w:hint="eastAsia"/>
                <w:spacing w:val="-6"/>
                <w:szCs w:val="21"/>
              </w:rPr>
              <w:t>项目经理</w:t>
            </w:r>
          </w:p>
        </w:tc>
        <w:tc>
          <w:tcPr>
            <w:tcW w:w="6952" w:type="dxa"/>
            <w:vAlign w:val="center"/>
          </w:tcPr>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b/>
                <w:bCs/>
                <w:szCs w:val="21"/>
              </w:rPr>
              <w:t>拟</w:t>
            </w:r>
            <w:r>
              <w:rPr>
                <w:rFonts w:ascii="宋体" w:hAnsi="宋体" w:cs="宋体" w:hint="eastAsia"/>
                <w:b/>
                <w:bCs/>
                <w:szCs w:val="21"/>
              </w:rPr>
              <w:t>派</w:t>
            </w:r>
            <w:r>
              <w:rPr>
                <w:rFonts w:asciiTheme="minorEastAsia" w:eastAsiaTheme="minorEastAsia" w:hAnsiTheme="minorEastAsia" w:cstheme="minorEastAsia" w:hint="eastAsia"/>
                <w:b/>
                <w:bCs/>
                <w:szCs w:val="21"/>
              </w:rPr>
              <w:t>本项目项目经理：</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1、具备人社保障部门颁发的有害生物防制员职业资格证书的得1分；</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2、具备高压电工操作证书的得1分；</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3、具备低压电工操作证书的得1分；</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本项最高得3分。</w:t>
            </w:r>
          </w:p>
          <w:p w:rsidR="00473C68">
            <w:pPr>
              <w:autoSpaceDE w:val="0"/>
              <w:autoSpaceDN w:val="0"/>
              <w:adjustRightInd w:val="0"/>
              <w:jc w:val="left"/>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（须提供有效的相关证书扫描件及投标截止时间前三个月的社保缴费证明并加盖投标人公章编入投标文件中，未提供或提供不全的不得分）</w:t>
            </w:r>
          </w:p>
        </w:tc>
        <w:tc>
          <w:tcPr>
            <w:tcW w:w="659" w:type="dxa"/>
            <w:vAlign w:val="center"/>
          </w:tcPr>
          <w:p w:rsidR="00473C68">
            <w:pPr>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w:t>
            </w:r>
          </w:p>
        </w:tc>
      </w:tr>
      <w:tr>
        <w:tblPrEx>
          <w:tblW w:w="9788" w:type="dxa"/>
          <w:jc w:val="center"/>
          <w:tblLayout w:type="fixed"/>
          <w:tblLook w:val="04A0"/>
        </w:tblPrEx>
        <w:trPr>
          <w:trHeight w:val="847"/>
          <w:jc w:val="center"/>
        </w:trPr>
        <w:tc>
          <w:tcPr>
            <w:tcW w:w="983" w:type="dxa"/>
            <w:vMerge/>
            <w:vAlign w:val="center"/>
          </w:tcPr>
          <w:p w:rsidR="00473C68">
            <w:pPr>
              <w:adjustRightInd w:val="0"/>
              <w:snapToGrid w:val="0"/>
              <w:jc w:val="center"/>
              <w:rPr>
                <w:rFonts w:asciiTheme="minorEastAsia" w:eastAsiaTheme="minorEastAsia" w:hAnsiTheme="minorEastAsia" w:cstheme="minorEastAsia"/>
                <w:szCs w:val="21"/>
              </w:rPr>
            </w:pPr>
          </w:p>
        </w:tc>
        <w:tc>
          <w:tcPr>
            <w:tcW w:w="1194" w:type="dxa"/>
            <w:vAlign w:val="center"/>
          </w:tcPr>
          <w:p w:rsidR="00473C68">
            <w:pPr>
              <w:adjustRightInd w:val="0"/>
              <w:snapToGrid w:val="0"/>
              <w:jc w:val="center"/>
              <w:rPr>
                <w:rFonts w:asciiTheme="minorEastAsia" w:eastAsiaTheme="minorEastAsia" w:hAnsiTheme="minorEastAsia" w:cstheme="minorEastAsia"/>
                <w:spacing w:val="-6"/>
                <w:szCs w:val="21"/>
              </w:rPr>
            </w:pPr>
            <w:r>
              <w:rPr>
                <w:rFonts w:asciiTheme="minorEastAsia" w:eastAsiaTheme="minorEastAsia" w:hAnsiTheme="minorEastAsia" w:cstheme="minorEastAsia" w:hint="eastAsia"/>
                <w:spacing w:val="-6"/>
                <w:szCs w:val="21"/>
              </w:rPr>
              <w:t>项目组成员</w:t>
            </w:r>
          </w:p>
        </w:tc>
        <w:tc>
          <w:tcPr>
            <w:tcW w:w="6952" w:type="dxa"/>
            <w:vAlign w:val="center"/>
          </w:tcPr>
          <w:p w:rsidR="00473C68">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拟</w:t>
            </w:r>
            <w:r>
              <w:rPr>
                <w:rFonts w:ascii="宋体" w:hAnsi="宋体" w:cs="宋体" w:hint="eastAsia"/>
                <w:b/>
                <w:bCs/>
                <w:szCs w:val="21"/>
              </w:rPr>
              <w:t>派</w:t>
            </w:r>
            <w:r>
              <w:rPr>
                <w:rFonts w:asciiTheme="minorEastAsia" w:eastAsiaTheme="minorEastAsia" w:hAnsiTheme="minorEastAsia" w:cstheme="minorEastAsia" w:hint="eastAsia"/>
                <w:b/>
                <w:bCs/>
                <w:szCs w:val="21"/>
              </w:rPr>
              <w:t>本项目项目组成员：</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1、宿管人员：有2人具有退伍军人证的得2分，少于2人或不提供不得分；</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2、宿管人员：具有应急管理消防救援部门颁发的消防设施操作员证，每提供1人得1分，最高得4分；</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3、维修水电工：具有高压电工操作证书、低压电工操作证书、人社部颁发的二级电工或以上职业资格证（或职业技能证书），每提供1个证书得1分，最高得3分；</w:t>
            </w:r>
          </w:p>
          <w:p w:rsidR="00473C68">
            <w:pPr>
              <w:autoSpaceDE w:val="0"/>
              <w:autoSpaceDN w:val="0"/>
              <w:adjustRightInd w:val="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本项最高得9分。</w:t>
            </w:r>
          </w:p>
          <w:p w:rsidR="00473C68">
            <w:p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（须提供有效的相关证书扫描件及投标截止时间前三个月的社保缴费证明并加盖投标人公章编入投标文件中，未提供或提供不全的不得分）</w:t>
            </w:r>
          </w:p>
        </w:tc>
        <w:tc>
          <w:tcPr>
            <w:tcW w:w="659" w:type="dxa"/>
            <w:vAlign w:val="center"/>
          </w:tcPr>
          <w:p w:rsidR="00473C68">
            <w:pPr>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9</w:t>
            </w:r>
          </w:p>
        </w:tc>
      </w:tr>
      <w:tr>
        <w:tblPrEx>
          <w:tblW w:w="9788" w:type="dxa"/>
          <w:jc w:val="center"/>
          <w:tblLayout w:type="fixed"/>
          <w:tblLook w:val="04A0"/>
        </w:tblPrEx>
        <w:trPr>
          <w:trHeight w:val="935"/>
          <w:jc w:val="center"/>
        </w:trPr>
        <w:tc>
          <w:tcPr>
            <w:tcW w:w="983" w:type="dxa"/>
            <w:vMerge w:val="restart"/>
            <w:vAlign w:val="center"/>
          </w:tcPr>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adjustRightInd w:val="0"/>
              <w:snapToGrid w:val="0"/>
              <w:jc w:val="center"/>
              <w:rPr>
                <w:rFonts w:asciiTheme="minorEastAsia" w:eastAsiaTheme="minorEastAsia" w:hAnsiTheme="minorEastAsia" w:cstheme="minorEastAsia"/>
                <w:szCs w:val="21"/>
              </w:rPr>
            </w:pPr>
          </w:p>
          <w:p w:rsidR="00473C68">
            <w:pPr>
              <w:pStyle w:val="BodyText"/>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技术分</w:t>
            </w:r>
          </w:p>
          <w:p w:rsidR="00473C68">
            <w:pPr>
              <w:pStyle w:val="BodyTex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（65分）</w:t>
            </w:r>
          </w:p>
          <w:p w:rsidR="00473C68">
            <w:pPr>
              <w:pStyle w:val="BodyTextFirstIndent"/>
              <w:ind w:left="5250" w:firstLine="0" w:firstLineChars="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（54分）</w:t>
            </w:r>
          </w:p>
        </w:tc>
        <w:tc>
          <w:tcPr>
            <w:tcW w:w="1194" w:type="dxa"/>
            <w:vMerge w:val="restart"/>
            <w:vAlign w:val="center"/>
          </w:tcPr>
          <w:p w:rsidR="00473C68">
            <w:pPr>
              <w:autoSpaceDE w:val="0"/>
              <w:autoSpaceDN w:val="0"/>
              <w:adjustRightInd w:val="0"/>
              <w:jc w:val="cente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zCs w:val="21"/>
              </w:rPr>
              <w:t>服务管理方案</w:t>
            </w:r>
          </w:p>
        </w:tc>
        <w:tc>
          <w:tcPr>
            <w:tcW w:w="6952" w:type="dxa"/>
            <w:vAlign w:val="center"/>
          </w:tcPr>
          <w:p w:rsidR="00473C68">
            <w:pPr>
              <w:tabs>
                <w:tab w:val="left" w:pos="2061"/>
              </w:tabs>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根据投标人提供的项目经理岗位工作实施方案，对其科学性、合理性进行打分。</w:t>
            </w:r>
          </w:p>
          <w:p w:rsidR="00473C68">
            <w:pPr>
              <w:tabs>
                <w:tab w:val="left" w:pos="2061"/>
              </w:tabs>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一档得6分；二档得5分；三档得4分；四档得3.5分；五档得3分；六档得2.5分；七档得2分；八档得1.5分；九档得1分；十档得0.5分；未提及此项不得分。</w:t>
            </w:r>
          </w:p>
        </w:tc>
        <w:tc>
          <w:tcPr>
            <w:tcW w:w="659" w:type="dxa"/>
            <w:vAlign w:val="center"/>
          </w:tcPr>
          <w:p w:rsidR="00473C68">
            <w:pPr>
              <w:spacing w:before="100" w:beforeAutospacing="1" w:after="100" w:afterAutospacing="1"/>
              <w:jc w:val="cente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szCs w:val="21"/>
              </w:rPr>
              <w:t>6</w:t>
            </w:r>
          </w:p>
        </w:tc>
      </w:tr>
      <w:tr>
        <w:tblPrEx>
          <w:tblW w:w="9788" w:type="dxa"/>
          <w:jc w:val="center"/>
          <w:tblLayout w:type="fixed"/>
          <w:tblLook w:val="04A0"/>
        </w:tblPrEx>
        <w:trPr>
          <w:trHeight w:val="865"/>
          <w:jc w:val="center"/>
        </w:trPr>
        <w:tc>
          <w:tcPr>
            <w:tcW w:w="983" w:type="dxa"/>
            <w:vMerge/>
            <w:vAlign w:val="center"/>
          </w:tcPr>
          <w:p w:rsidR="00473C68">
            <w:pPr>
              <w:autoSpaceDE w:val="0"/>
              <w:autoSpaceDN w:val="0"/>
              <w:adjustRightInd w:val="0"/>
              <w:jc w:val="center"/>
              <w:rPr>
                <w:rFonts w:asciiTheme="minorEastAsia" w:eastAsiaTheme="minorEastAsia" w:hAnsiTheme="minorEastAsia" w:cstheme="minorEastAsia"/>
                <w:szCs w:val="21"/>
              </w:rPr>
            </w:pPr>
          </w:p>
        </w:tc>
        <w:tc>
          <w:tcPr>
            <w:tcW w:w="1194" w:type="dxa"/>
            <w:vMerge/>
            <w:vAlign w:val="center"/>
          </w:tcPr>
          <w:p w:rsidR="00473C68">
            <w:pPr>
              <w:autoSpaceDE w:val="0"/>
              <w:autoSpaceDN w:val="0"/>
              <w:adjustRightInd w:val="0"/>
              <w:jc w:val="center"/>
              <w:rPr>
                <w:rFonts w:asciiTheme="minorEastAsia" w:eastAsiaTheme="minorEastAsia" w:hAnsiTheme="minorEastAsia" w:cstheme="minorEastAsia"/>
                <w:szCs w:val="21"/>
              </w:rPr>
            </w:pPr>
          </w:p>
        </w:tc>
        <w:tc>
          <w:tcPr>
            <w:tcW w:w="6952" w:type="dxa"/>
            <w:vAlign w:val="center"/>
          </w:tcPr>
          <w:p w:rsidR="00473C68">
            <w:pP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zCs w:val="21"/>
              </w:rPr>
              <w:t>根据投标人提供的公寓主管岗位工作实施方案，对其科学性、合理性进行打分。</w:t>
            </w:r>
          </w:p>
          <w:p w:rsidR="00473C68">
            <w:pPr>
              <w:tabs>
                <w:tab w:val="left" w:pos="2061"/>
              </w:tabs>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一档得6分；二档得5分；三档得4分；四档得3.5分；五档得3分；六档得2.5分；七档得2分；八档得1.5分；九档得1分；十档得0.5分；未提及此项不得分。</w:t>
            </w:r>
          </w:p>
        </w:tc>
        <w:tc>
          <w:tcPr>
            <w:tcW w:w="659" w:type="dxa"/>
            <w:vAlign w:val="center"/>
          </w:tcPr>
          <w:p w:rsidR="00473C68">
            <w:pPr>
              <w:adjustRightInd w:val="0"/>
              <w:snapToGri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p>
        </w:tc>
      </w:tr>
      <w:tr>
        <w:tblPrEx>
          <w:tblW w:w="9788" w:type="dxa"/>
          <w:jc w:val="center"/>
          <w:tblLayout w:type="fixed"/>
          <w:tblLook w:val="04A0"/>
        </w:tblPrEx>
        <w:trPr>
          <w:trHeight w:val="223"/>
          <w:jc w:val="center"/>
        </w:trPr>
        <w:tc>
          <w:tcPr>
            <w:tcW w:w="983" w:type="dxa"/>
            <w:vMerge/>
            <w:vAlign w:val="center"/>
          </w:tcPr>
          <w:p w:rsidR="00473C68">
            <w:pPr>
              <w:autoSpaceDE w:val="0"/>
              <w:autoSpaceDN w:val="0"/>
              <w:adjustRightInd w:val="0"/>
              <w:jc w:val="center"/>
              <w:rPr>
                <w:rFonts w:asciiTheme="minorEastAsia" w:eastAsiaTheme="minorEastAsia" w:hAnsiTheme="minorEastAsia" w:cstheme="minorEastAsia"/>
                <w:szCs w:val="21"/>
              </w:rPr>
            </w:pPr>
          </w:p>
        </w:tc>
        <w:tc>
          <w:tcPr>
            <w:tcW w:w="1194" w:type="dxa"/>
            <w:vMerge/>
            <w:vAlign w:val="center"/>
          </w:tcPr>
          <w:p w:rsidR="00473C68">
            <w:pPr>
              <w:autoSpaceDE w:val="0"/>
              <w:autoSpaceDN w:val="0"/>
              <w:adjustRightInd w:val="0"/>
              <w:jc w:val="center"/>
              <w:rPr>
                <w:rFonts w:asciiTheme="minorEastAsia" w:eastAsiaTheme="minorEastAsia" w:hAnsiTheme="minorEastAsia" w:cstheme="minorEastAsia"/>
                <w:spacing w:val="-4"/>
                <w:szCs w:val="21"/>
              </w:rPr>
            </w:pPr>
          </w:p>
        </w:tc>
        <w:tc>
          <w:tcPr>
            <w:tcW w:w="6952" w:type="dxa"/>
            <w:vAlign w:val="center"/>
          </w:tcPr>
          <w:p w:rsidR="00473C68">
            <w:pP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szCs w:val="21"/>
              </w:rPr>
              <w:t>根据投标人提供的</w:t>
            </w:r>
            <w:r>
              <w:rPr>
                <w:rFonts w:asciiTheme="minorEastAsia" w:eastAsiaTheme="minorEastAsia" w:hAnsiTheme="minorEastAsia" w:cstheme="minorEastAsia" w:hint="eastAsia"/>
                <w:szCs w:val="21"/>
              </w:rPr>
              <w:t>学生公寓值班服务实施方案，对其科学性、合理性进行打分。</w:t>
            </w:r>
          </w:p>
          <w:p w:rsidR="00473C68">
            <w:pPr>
              <w:adjustRightInd w:val="0"/>
              <w:snapToGrid w:val="0"/>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一档得7分；二档得6分；三档得5分；四档得4分；五档得3分；六档得2.5分；七档得2分；八档得1.5分；九档得1分；十档得0.5分；未提及此项不得分。</w:t>
            </w:r>
          </w:p>
        </w:tc>
        <w:tc>
          <w:tcPr>
            <w:tcW w:w="659" w:type="dxa"/>
            <w:vAlign w:val="center"/>
          </w:tcPr>
          <w:p w:rsidR="00473C68">
            <w:pPr>
              <w:adjustRightInd w:val="0"/>
              <w:snapToGrid w:val="0"/>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7</w:t>
            </w:r>
          </w:p>
        </w:tc>
      </w:tr>
      <w:tr>
        <w:tblPrEx>
          <w:tblW w:w="9788" w:type="dxa"/>
          <w:jc w:val="center"/>
          <w:tblLayout w:type="fixed"/>
          <w:tblLook w:val="04A0"/>
        </w:tblPrEx>
        <w:trPr>
          <w:trHeight w:val="621"/>
          <w:jc w:val="center"/>
        </w:trPr>
        <w:tc>
          <w:tcPr>
            <w:tcW w:w="983" w:type="dxa"/>
            <w:vMerge/>
            <w:vAlign w:val="center"/>
          </w:tcPr>
          <w:p w:rsidR="00473C68">
            <w:pPr>
              <w:jc w:val="center"/>
              <w:rPr>
                <w:rFonts w:asciiTheme="minorEastAsia" w:eastAsiaTheme="minorEastAsia" w:hAnsiTheme="minorEastAsia" w:cstheme="minorEastAsia"/>
                <w:szCs w:val="21"/>
              </w:rPr>
            </w:pPr>
          </w:p>
        </w:tc>
        <w:tc>
          <w:tcPr>
            <w:tcW w:w="1194" w:type="dxa"/>
            <w:vMerge/>
            <w:vAlign w:val="center"/>
          </w:tcPr>
          <w:p w:rsidR="00473C68">
            <w:pPr>
              <w:jc w:val="center"/>
              <w:rPr>
                <w:rStyle w:val="NormalCharacter"/>
                <w:rFonts w:asciiTheme="minorEastAsia" w:eastAsiaTheme="minorEastAsia" w:hAnsiTheme="minorEastAsia" w:cstheme="minorEastAsia"/>
                <w:szCs w:val="21"/>
              </w:rPr>
            </w:pPr>
          </w:p>
        </w:tc>
        <w:tc>
          <w:tcPr>
            <w:tcW w:w="6952" w:type="dxa"/>
            <w:vAlign w:val="center"/>
          </w:tcPr>
          <w:p w:rsidR="00473C68">
            <w:pP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szCs w:val="21"/>
              </w:rPr>
              <w:t>根据投标人提供的</w:t>
            </w:r>
            <w:r>
              <w:rPr>
                <w:rFonts w:asciiTheme="minorEastAsia" w:eastAsiaTheme="minorEastAsia" w:hAnsiTheme="minorEastAsia" w:cstheme="minorEastAsia" w:hint="eastAsia"/>
                <w:szCs w:val="21"/>
              </w:rPr>
              <w:t>校园巡视及楼内设施、秩序的管理实施</w:t>
            </w:r>
            <w:r>
              <w:rPr>
                <w:rFonts w:asciiTheme="minorEastAsia" w:eastAsiaTheme="minorEastAsia" w:hAnsiTheme="minorEastAsia" w:cstheme="minorEastAsia" w:hint="eastAsia"/>
                <w:spacing w:val="-4"/>
                <w:szCs w:val="21"/>
              </w:rPr>
              <w:t>方案</w:t>
            </w:r>
            <w:r>
              <w:rPr>
                <w:rFonts w:asciiTheme="minorEastAsia" w:eastAsiaTheme="minorEastAsia" w:hAnsiTheme="minorEastAsia" w:cstheme="minorEastAsia" w:hint="eastAsia"/>
                <w:szCs w:val="21"/>
              </w:rPr>
              <w:t>，对其科学性、合理性进行打分。</w:t>
            </w:r>
          </w:p>
          <w:p w:rsidR="00473C68">
            <w:pPr>
              <w:widowControl/>
              <w:spacing w:after="0"/>
              <w:rPr>
                <w:rFonts w:asciiTheme="minorEastAsia" w:eastAsiaTheme="minorEastAsia" w:hAnsiTheme="minorEastAsia" w:cstheme="minorEastAsia"/>
                <w:szCs w:val="21"/>
              </w:rPr>
            </w:pPr>
          </w:p>
        </w:tc>
        <w:tc>
          <w:tcPr>
            <w:tcW w:w="659" w:type="dxa"/>
            <w:vAlign w:val="center"/>
          </w:tcPr>
          <w:p w:rsidR="00473C68">
            <w:pPr>
              <w:autoSpaceDE w:val="0"/>
              <w:autoSpaceDN w:val="0"/>
              <w:adjustRightIn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p>
        </w:tc>
      </w:tr>
    </w:tbl>
    <w:p>
      <w:pPr>
        <w:sectPr>
          <w:headerReference w:type="default" r:id="rId59"/>
          <w:footerReference w:type="default" r:id="rId60"/>
          <w:type w:val="nextPage"/>
          <w:pgSz w:w="11906" w:h="16838"/>
          <w:pgMar w:top="1440" w:right="1440" w:bottom="1440" w:left="1803" w:header="851" w:footer="992" w:gutter="0"/>
          <w:pgNumType w:start="26"/>
          <w:cols w:space="0"/>
          <w:titlePg w:val="0"/>
          <w:docGrid w:type="lines" w:linePitch="325"/>
        </w:sectPr>
      </w:pPr>
    </w:p>
    <w:tbl>
      <w:tblPr>
        <w:tblStyle w:val="TableNormal"/>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3"/>
        <w:gridCol w:w="1194"/>
        <w:gridCol w:w="6952"/>
        <w:gridCol w:w="659"/>
      </w:tblGrid>
      <w:tr>
        <w:tblPrEx>
          <w:tblW w:w="9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621"/>
          <w:jc w:val="center"/>
        </w:trPr>
        <w:tc>
          <w:tcPr>
            <w:tcW w:w="983" w:type="dxa"/>
            <w:vMerge w:val="restart"/>
            <w:vAlign w:val="center"/>
          </w:tcPr>
          <w:p/>
        </w:tc>
        <w:tc>
          <w:tcPr>
            <w:tcW w:w="1194" w:type="dxa"/>
            <w:vMerge w:val="restart"/>
            <w:vAlign w:val="center"/>
          </w:tcPr>
          <w:p/>
        </w:tc>
        <w:tc>
          <w:tcPr>
            <w:tcW w:w="6952" w:type="dxa"/>
            <w:vAlign w:val="center"/>
          </w:tcPr>
          <w:p w:rsidR="00473C68">
            <w:pPr>
              <w:widowControl/>
              <w:spacing w:before="0"/>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一档得7分；二档得6分；三档得5分；四档得4分；五档得3分；六档得2.5分；七档得2分；八档得1.5分；九档得1分；十档得0.5分；未提及此项不得分。</w:t>
            </w:r>
          </w:p>
        </w:tc>
        <w:tc>
          <w:tcPr>
            <w:tcW w:w="659" w:type="dxa"/>
            <w:vAlign w:val="center"/>
          </w:tcPr>
          <w:p/>
        </w:tc>
      </w:tr>
      <w:tr>
        <w:tblPrEx>
          <w:tblW w:w="9788" w:type="dxa"/>
          <w:jc w:val="center"/>
          <w:tblLayout w:type="fixed"/>
          <w:tblLook w:val="04A0"/>
        </w:tblPrEx>
        <w:trPr>
          <w:trHeight w:val="942"/>
          <w:jc w:val="center"/>
        </w:trPr>
        <w:tc>
          <w:tcPr>
            <w:tcW w:w="983" w:type="dxa"/>
            <w:vMerge/>
            <w:vAlign w:val="center"/>
          </w:tcPr>
          <w:p w:rsidR="00473C68">
            <w:pPr>
              <w:jc w:val="center"/>
              <w:rPr>
                <w:rFonts w:asciiTheme="minorEastAsia" w:eastAsiaTheme="minorEastAsia" w:hAnsiTheme="minorEastAsia" w:cstheme="minorEastAsia"/>
                <w:szCs w:val="21"/>
              </w:rPr>
            </w:pPr>
          </w:p>
        </w:tc>
        <w:tc>
          <w:tcPr>
            <w:tcW w:w="1194" w:type="dxa"/>
            <w:vMerge/>
            <w:vAlign w:val="center"/>
          </w:tcPr>
          <w:p w:rsidR="00473C68">
            <w:pPr>
              <w:jc w:val="center"/>
              <w:rPr>
                <w:rStyle w:val="NormalCharacter"/>
                <w:rFonts w:asciiTheme="minorEastAsia" w:eastAsiaTheme="minorEastAsia" w:hAnsiTheme="minorEastAsia" w:cstheme="minorEastAsia"/>
                <w:szCs w:val="21"/>
              </w:rPr>
            </w:pPr>
          </w:p>
        </w:tc>
        <w:tc>
          <w:tcPr>
            <w:tcW w:w="6952" w:type="dxa"/>
            <w:vAlign w:val="center"/>
          </w:tcPr>
          <w:p w:rsidR="00473C68">
            <w:pP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szCs w:val="21"/>
              </w:rPr>
              <w:t>根据投标人提供的</w:t>
            </w:r>
            <w:r>
              <w:rPr>
                <w:rFonts w:asciiTheme="minorEastAsia" w:eastAsiaTheme="minorEastAsia" w:hAnsiTheme="minorEastAsia" w:cstheme="minorEastAsia" w:hint="eastAsia"/>
                <w:szCs w:val="21"/>
              </w:rPr>
              <w:t>学生管理工作实施方案，对其科学性、合理性进行打分。</w:t>
            </w:r>
          </w:p>
          <w:p w:rsidR="00473C68">
            <w:pPr>
              <w:pStyle w:val="PlainText"/>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一档得7分；二档得6分；三档得5分；四档得4分；五档得3分；六档得2.5分；七档得2分；八档得1.5分；九档得1分；十档得0.5分；未提及此项不得分。</w:t>
            </w:r>
          </w:p>
        </w:tc>
        <w:tc>
          <w:tcPr>
            <w:tcW w:w="659" w:type="dxa"/>
            <w:vAlign w:val="center"/>
          </w:tcPr>
          <w:p w:rsidR="00473C68">
            <w:pPr>
              <w:pStyle w:val="PlainText"/>
              <w:snapToGri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7</w:t>
            </w:r>
          </w:p>
        </w:tc>
      </w:tr>
      <w:tr>
        <w:tblPrEx>
          <w:tblW w:w="9788" w:type="dxa"/>
          <w:jc w:val="center"/>
          <w:tblLayout w:type="fixed"/>
          <w:tblLook w:val="04A0"/>
        </w:tblPrEx>
        <w:trPr>
          <w:trHeight w:val="1059"/>
          <w:jc w:val="center"/>
        </w:trPr>
        <w:tc>
          <w:tcPr>
            <w:tcW w:w="983" w:type="dxa"/>
            <w:vMerge/>
            <w:vAlign w:val="center"/>
          </w:tcPr>
          <w:p w:rsidR="00473C68">
            <w:pPr>
              <w:pStyle w:val="BodyTextFirstIndent"/>
              <w:ind w:left="5250" w:firstLine="0" w:firstLineChars="0"/>
              <w:jc w:val="center"/>
              <w:rPr>
                <w:rFonts w:asciiTheme="minorEastAsia" w:eastAsiaTheme="minorEastAsia" w:hAnsiTheme="minorEastAsia" w:cstheme="minorEastAsia"/>
                <w:szCs w:val="21"/>
              </w:rPr>
            </w:pPr>
          </w:p>
        </w:tc>
        <w:tc>
          <w:tcPr>
            <w:tcW w:w="1194" w:type="dxa"/>
            <w:vMerge/>
            <w:vAlign w:val="center"/>
          </w:tcPr>
          <w:p w:rsidR="00473C68">
            <w:pPr>
              <w:autoSpaceDE w:val="0"/>
              <w:autoSpaceDN w:val="0"/>
              <w:adjustRightInd w:val="0"/>
              <w:jc w:val="center"/>
              <w:rPr>
                <w:rFonts w:asciiTheme="minorEastAsia" w:eastAsiaTheme="minorEastAsia" w:hAnsiTheme="minorEastAsia" w:cstheme="minorEastAsia"/>
                <w:szCs w:val="21"/>
              </w:rPr>
            </w:pPr>
          </w:p>
        </w:tc>
        <w:tc>
          <w:tcPr>
            <w:tcW w:w="6952" w:type="dxa"/>
            <w:vAlign w:val="center"/>
          </w:tcPr>
          <w:p w:rsidR="00473C68">
            <w:pP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szCs w:val="21"/>
              </w:rPr>
              <w:t>根据投标人提供的公寓文化建设</w:t>
            </w:r>
            <w:r>
              <w:rPr>
                <w:rFonts w:asciiTheme="minorEastAsia" w:eastAsiaTheme="minorEastAsia" w:hAnsiTheme="minorEastAsia" w:cstheme="minorEastAsia" w:hint="eastAsia"/>
                <w:szCs w:val="21"/>
              </w:rPr>
              <w:t>工作实施</w:t>
            </w:r>
            <w:r>
              <w:rPr>
                <w:rFonts w:asciiTheme="minorEastAsia" w:eastAsiaTheme="minorEastAsia" w:hAnsiTheme="minorEastAsia" w:cstheme="minorEastAsia" w:hint="eastAsia"/>
                <w:spacing w:val="-4"/>
                <w:szCs w:val="21"/>
              </w:rPr>
              <w:t>方案</w:t>
            </w:r>
            <w:r>
              <w:rPr>
                <w:rFonts w:asciiTheme="minorEastAsia" w:eastAsiaTheme="minorEastAsia" w:hAnsiTheme="minorEastAsia" w:cstheme="minorEastAsia" w:hint="eastAsia"/>
                <w:szCs w:val="21"/>
              </w:rPr>
              <w:t>，对其科学性、合理性进行打分。</w:t>
            </w:r>
          </w:p>
          <w:p w:rsidR="00473C68">
            <w:pPr>
              <w:widowControl/>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一档得6分；二档得5分；三档得4分；四档得3.5分；五档得3分；六档得2.5分；七档得2分；八档得1.5分；九档得1分；十档得0.5分；未提及此项不得分。</w:t>
            </w:r>
          </w:p>
        </w:tc>
        <w:tc>
          <w:tcPr>
            <w:tcW w:w="659" w:type="dxa"/>
            <w:vAlign w:val="center"/>
          </w:tcPr>
          <w:p w:rsidR="00473C68">
            <w:pPr>
              <w:autoSpaceDE w:val="0"/>
              <w:autoSpaceDN w:val="0"/>
              <w:adjustRightIn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p>
        </w:tc>
      </w:tr>
      <w:tr>
        <w:tblPrEx>
          <w:tblW w:w="9788" w:type="dxa"/>
          <w:jc w:val="center"/>
          <w:tblLayout w:type="fixed"/>
          <w:tblLook w:val="04A0"/>
        </w:tblPrEx>
        <w:trPr>
          <w:trHeight w:val="1059"/>
          <w:jc w:val="center"/>
        </w:trPr>
        <w:tc>
          <w:tcPr>
            <w:tcW w:w="983" w:type="dxa"/>
            <w:vMerge/>
            <w:vAlign w:val="center"/>
          </w:tcPr>
          <w:p w:rsidR="00473C68">
            <w:pPr>
              <w:pStyle w:val="BodyTextFirstIndent"/>
              <w:ind w:left="5250" w:firstLine="0" w:firstLineChars="0"/>
              <w:jc w:val="center"/>
              <w:rPr>
                <w:rFonts w:asciiTheme="minorEastAsia" w:eastAsiaTheme="minorEastAsia" w:hAnsiTheme="minorEastAsia" w:cstheme="minorEastAsia"/>
                <w:szCs w:val="21"/>
              </w:rPr>
            </w:pPr>
          </w:p>
        </w:tc>
        <w:tc>
          <w:tcPr>
            <w:tcW w:w="1194" w:type="dxa"/>
            <w:vMerge/>
            <w:vAlign w:val="center"/>
          </w:tcPr>
          <w:p w:rsidR="00473C68">
            <w:pPr>
              <w:autoSpaceDE w:val="0"/>
              <w:autoSpaceDN w:val="0"/>
              <w:adjustRightInd w:val="0"/>
              <w:jc w:val="center"/>
              <w:rPr>
                <w:rFonts w:asciiTheme="minorEastAsia" w:eastAsiaTheme="minorEastAsia" w:hAnsiTheme="minorEastAsia" w:cstheme="minorEastAsia"/>
                <w:szCs w:val="21"/>
              </w:rPr>
            </w:pPr>
          </w:p>
        </w:tc>
        <w:tc>
          <w:tcPr>
            <w:tcW w:w="6952" w:type="dxa"/>
            <w:vAlign w:val="center"/>
          </w:tcPr>
          <w:p w:rsidR="00473C68">
            <w:pP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szCs w:val="21"/>
              </w:rPr>
              <w:t>根据投标人提供的</w:t>
            </w:r>
            <w:r>
              <w:rPr>
                <w:rFonts w:asciiTheme="minorEastAsia" w:eastAsiaTheme="minorEastAsia" w:hAnsiTheme="minorEastAsia" w:cstheme="minorEastAsia" w:hint="eastAsia"/>
                <w:szCs w:val="21"/>
              </w:rPr>
              <w:t>公寓保洁服务岗位工作实施方案，对其科学性、合理性进行打分。</w:t>
            </w:r>
          </w:p>
          <w:p w:rsidR="00473C68">
            <w:pPr>
              <w:tabs>
                <w:tab w:val="left" w:pos="2061"/>
              </w:tabs>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一档得6分；二档得5分；三档得4分；四档得3.5分；五档得3分；六档得2.5分；七档得2分；八档得1.5分；九档得1分；十档得0.5分；未提及此项不得分。</w:t>
            </w:r>
          </w:p>
        </w:tc>
        <w:tc>
          <w:tcPr>
            <w:tcW w:w="659" w:type="dxa"/>
            <w:vAlign w:val="center"/>
          </w:tcPr>
          <w:p w:rsidR="00473C68">
            <w:pPr>
              <w:autoSpaceDE w:val="0"/>
              <w:autoSpaceDN w:val="0"/>
              <w:adjustRightIn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6</w:t>
            </w:r>
          </w:p>
        </w:tc>
      </w:tr>
      <w:tr>
        <w:tblPrEx>
          <w:tblW w:w="9788" w:type="dxa"/>
          <w:jc w:val="center"/>
          <w:tblLayout w:type="fixed"/>
          <w:tblLook w:val="04A0"/>
        </w:tblPrEx>
        <w:trPr>
          <w:trHeight w:val="90"/>
          <w:jc w:val="center"/>
        </w:trPr>
        <w:tc>
          <w:tcPr>
            <w:tcW w:w="983" w:type="dxa"/>
            <w:vMerge/>
            <w:vAlign w:val="center"/>
          </w:tcPr>
          <w:p w:rsidR="00473C68">
            <w:pPr>
              <w:pStyle w:val="BodyTextFirstIndent"/>
              <w:ind w:left="5250" w:firstLine="0" w:firstLineChars="0"/>
              <w:jc w:val="center"/>
              <w:rPr>
                <w:rFonts w:asciiTheme="minorEastAsia" w:eastAsiaTheme="minorEastAsia" w:hAnsiTheme="minorEastAsia" w:cstheme="minorEastAsia"/>
                <w:szCs w:val="21"/>
              </w:rPr>
            </w:pPr>
          </w:p>
        </w:tc>
        <w:tc>
          <w:tcPr>
            <w:tcW w:w="1194" w:type="dxa"/>
            <w:vAlign w:val="center"/>
          </w:tcPr>
          <w:p w:rsidR="00473C68">
            <w:pPr>
              <w:autoSpaceDE w:val="0"/>
              <w:autoSpaceDN w:val="0"/>
              <w:adjustRightInd w:val="0"/>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szCs w:val="21"/>
              </w:rPr>
              <w:t>协助巡查方案</w:t>
            </w:r>
          </w:p>
        </w:tc>
        <w:tc>
          <w:tcPr>
            <w:tcW w:w="6952" w:type="dxa"/>
            <w:vAlign w:val="center"/>
          </w:tcPr>
          <w:p w:rsidR="00473C68">
            <w:pPr>
              <w:tabs>
                <w:tab w:val="left" w:pos="2061"/>
              </w:tabs>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szCs w:val="21"/>
              </w:rPr>
              <w:t>根据投标人</w:t>
            </w:r>
            <w:r>
              <w:rPr>
                <w:rFonts w:asciiTheme="minorEastAsia" w:eastAsiaTheme="minorEastAsia" w:hAnsiTheme="minorEastAsia" w:cstheme="minorEastAsia" w:hint="eastAsia"/>
                <w:szCs w:val="21"/>
              </w:rPr>
              <w:t>针对本项目的协助巡查方案情况</w:t>
            </w:r>
            <w:r>
              <w:rPr>
                <w:rFonts w:asciiTheme="minorEastAsia" w:eastAsiaTheme="minorEastAsia" w:hAnsiTheme="minorEastAsia" w:cstheme="minorEastAsia" w:hint="eastAsia"/>
                <w:spacing w:val="-4"/>
                <w:szCs w:val="21"/>
              </w:rPr>
              <w:t>进行打分。</w:t>
            </w:r>
          </w:p>
          <w:p w:rsidR="00473C68">
            <w:pPr>
              <w:widowControl/>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一档得5分；二档得4.5分；三档得4分；四档得3.5分；五档得3分；六档得2.5分；七档得2分；八档得1.5分；九档得1分；十档得0.5分；未提及此项不得分。</w:t>
            </w:r>
          </w:p>
        </w:tc>
        <w:tc>
          <w:tcPr>
            <w:tcW w:w="659" w:type="dxa"/>
            <w:vAlign w:val="center"/>
          </w:tcPr>
          <w:p w:rsidR="00473C68">
            <w:pPr>
              <w:autoSpaceDE w:val="0"/>
              <w:autoSpaceDN w:val="0"/>
              <w:adjustRightIn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p>
        </w:tc>
      </w:tr>
      <w:tr>
        <w:tblPrEx>
          <w:tblW w:w="9788" w:type="dxa"/>
          <w:jc w:val="center"/>
          <w:tblLayout w:type="fixed"/>
          <w:tblLook w:val="04A0"/>
        </w:tblPrEx>
        <w:trPr>
          <w:trHeight w:val="90"/>
          <w:jc w:val="center"/>
        </w:trPr>
        <w:tc>
          <w:tcPr>
            <w:tcW w:w="983" w:type="dxa"/>
            <w:vMerge/>
            <w:vAlign w:val="center"/>
          </w:tcPr>
          <w:p w:rsidR="00473C68">
            <w:pPr>
              <w:pStyle w:val="BodyTextFirstIndent"/>
              <w:ind w:left="5250" w:firstLine="0" w:firstLineChars="0"/>
              <w:jc w:val="center"/>
              <w:rPr>
                <w:rFonts w:asciiTheme="minorEastAsia" w:eastAsiaTheme="minorEastAsia" w:hAnsiTheme="minorEastAsia" w:cstheme="minorEastAsia"/>
                <w:szCs w:val="21"/>
              </w:rPr>
            </w:pPr>
          </w:p>
        </w:tc>
        <w:tc>
          <w:tcPr>
            <w:tcW w:w="1194" w:type="dxa"/>
            <w:vAlign w:val="center"/>
          </w:tcPr>
          <w:p w:rsidR="00473C68">
            <w:pPr>
              <w:autoSpaceDE w:val="0"/>
              <w:autoSpaceDN w:val="0"/>
              <w:adjustRightInd w:val="0"/>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szCs w:val="21"/>
              </w:rPr>
              <w:t>内部管理方案</w:t>
            </w:r>
          </w:p>
        </w:tc>
        <w:tc>
          <w:tcPr>
            <w:tcW w:w="6952" w:type="dxa"/>
            <w:vAlign w:val="center"/>
          </w:tcPr>
          <w:p w:rsidR="00473C68">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根据投标人提供的内部管理方案情况进行打分。</w:t>
            </w:r>
          </w:p>
          <w:p w:rsidR="00473C68">
            <w:pPr>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一档得5分；二档得4.5分；三档得4分；四档得3.5分；五档得3分；六档得2.5分；七档得2分；八档得1.5分；九档得1分；十档得0.5分；未提及此项不得分。</w:t>
            </w:r>
          </w:p>
        </w:tc>
        <w:tc>
          <w:tcPr>
            <w:tcW w:w="659" w:type="dxa"/>
            <w:vAlign w:val="center"/>
          </w:tcPr>
          <w:p w:rsidR="00473C68">
            <w:pPr>
              <w:autoSpaceDE w:val="0"/>
              <w:autoSpaceDN w:val="0"/>
              <w:adjustRightIn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p>
        </w:tc>
      </w:tr>
      <w:tr>
        <w:tblPrEx>
          <w:tblW w:w="9788" w:type="dxa"/>
          <w:jc w:val="center"/>
          <w:tblLayout w:type="fixed"/>
          <w:tblLook w:val="04A0"/>
        </w:tblPrEx>
        <w:trPr>
          <w:trHeight w:val="90"/>
          <w:jc w:val="center"/>
        </w:trPr>
        <w:tc>
          <w:tcPr>
            <w:tcW w:w="983" w:type="dxa"/>
            <w:vMerge/>
            <w:vAlign w:val="center"/>
          </w:tcPr>
          <w:p w:rsidR="00473C68">
            <w:pPr>
              <w:pStyle w:val="BodyTextFirstIndent"/>
              <w:ind w:left="5250" w:firstLine="0" w:firstLineChars="0"/>
              <w:jc w:val="center"/>
              <w:rPr>
                <w:rFonts w:asciiTheme="minorEastAsia" w:eastAsiaTheme="minorEastAsia" w:hAnsiTheme="minorEastAsia" w:cstheme="minorEastAsia"/>
                <w:szCs w:val="21"/>
              </w:rPr>
            </w:pPr>
          </w:p>
        </w:tc>
        <w:tc>
          <w:tcPr>
            <w:tcW w:w="1194" w:type="dxa"/>
            <w:vAlign w:val="center"/>
          </w:tcPr>
          <w:p w:rsidR="00473C68">
            <w:pPr>
              <w:jc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spacing w:val="-4"/>
                <w:szCs w:val="21"/>
              </w:rPr>
              <w:t>应急预案</w:t>
            </w:r>
          </w:p>
        </w:tc>
        <w:tc>
          <w:tcPr>
            <w:tcW w:w="6952" w:type="dxa"/>
            <w:vAlign w:val="center"/>
          </w:tcPr>
          <w:p w:rsidR="00473C68">
            <w:pP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zCs w:val="21"/>
              </w:rPr>
              <w:t>针对本项目突发事件发生后人员调动、服务响应时间、到场时间、事件处理等应急预案情况</w:t>
            </w:r>
            <w:r>
              <w:rPr>
                <w:rFonts w:asciiTheme="minorEastAsia" w:eastAsiaTheme="minorEastAsia" w:hAnsiTheme="minorEastAsia" w:cstheme="minorEastAsia" w:hint="eastAsia"/>
                <w:spacing w:val="-4"/>
                <w:szCs w:val="21"/>
              </w:rPr>
              <w:t>进行打分。</w:t>
            </w:r>
          </w:p>
          <w:p w:rsidR="00473C68">
            <w:pPr>
              <w:rPr>
                <w:rFonts w:asciiTheme="minorEastAsia" w:eastAsiaTheme="minorEastAsia" w:hAnsiTheme="minorEastAsia" w:cstheme="minorEastAsia"/>
                <w:spacing w:val="-4"/>
                <w:szCs w:val="21"/>
              </w:rPr>
            </w:pPr>
            <w:r>
              <w:rPr>
                <w:rFonts w:asciiTheme="minorEastAsia" w:eastAsiaTheme="minorEastAsia" w:hAnsiTheme="minorEastAsia" w:cstheme="minorEastAsia" w:hint="eastAsia"/>
                <w:spacing w:val="-4"/>
                <w:szCs w:val="21"/>
              </w:rPr>
              <w:t>一档得5分；二档得4.5分；三档得4分；四档得3.5分；五档得3分；六档得2.5分；七档得2分；八档得1.5分；九档得1分；十档得0.5分；未提及此项不得分。</w:t>
            </w:r>
          </w:p>
        </w:tc>
        <w:tc>
          <w:tcPr>
            <w:tcW w:w="659" w:type="dxa"/>
            <w:vAlign w:val="center"/>
          </w:tcPr>
          <w:p w:rsidR="00473C68">
            <w:pPr>
              <w:spacing w:before="100" w:beforeAutospacing="1" w:after="100" w:afterAutospacing="1"/>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pacing w:val="-4"/>
                <w:szCs w:val="21"/>
              </w:rPr>
              <w:t>5</w:t>
            </w:r>
          </w:p>
        </w:tc>
      </w:tr>
      <w:tr>
        <w:tblPrEx>
          <w:tblW w:w="9788" w:type="dxa"/>
          <w:jc w:val="center"/>
          <w:tblLayout w:type="fixed"/>
          <w:tblLook w:val="04A0"/>
        </w:tblPrEx>
        <w:trPr>
          <w:trHeight w:val="986"/>
          <w:jc w:val="center"/>
        </w:trPr>
        <w:tc>
          <w:tcPr>
            <w:tcW w:w="983" w:type="dxa"/>
            <w:vMerge/>
            <w:vAlign w:val="center"/>
          </w:tcPr>
          <w:p w:rsidR="00473C68">
            <w:pPr>
              <w:pStyle w:val="BodyTextFirstIndent"/>
              <w:ind w:left="5250" w:firstLine="0" w:firstLineChars="0"/>
              <w:rPr>
                <w:rFonts w:asciiTheme="minorEastAsia" w:eastAsiaTheme="minorEastAsia" w:hAnsiTheme="minorEastAsia" w:cstheme="minorEastAsia"/>
                <w:szCs w:val="21"/>
                <w:highlight w:val="yellow"/>
              </w:rPr>
            </w:pPr>
          </w:p>
        </w:tc>
        <w:tc>
          <w:tcPr>
            <w:tcW w:w="1194" w:type="dxa"/>
            <w:vAlign w:val="center"/>
          </w:tcPr>
          <w:p w:rsidR="00473C68">
            <w:pPr>
              <w:snapToGri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服务承诺</w:t>
            </w:r>
          </w:p>
        </w:tc>
        <w:tc>
          <w:tcPr>
            <w:tcW w:w="6952" w:type="dxa"/>
            <w:vAlign w:val="center"/>
          </w:tcPr>
          <w:p w:rsidR="00473C68">
            <w:pPr>
              <w:widowControl/>
              <w:tabs>
                <w:tab w:val="right" w:pos="4937"/>
              </w:tabs>
              <w:jc w:val="left"/>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根据投标人对本项目</w:t>
            </w:r>
            <w:r>
              <w:rPr>
                <w:rFonts w:asciiTheme="minorEastAsia" w:eastAsiaTheme="minorEastAsia" w:hAnsiTheme="minorEastAsia" w:cstheme="minorEastAsia" w:hint="eastAsia"/>
                <w:bCs/>
                <w:kern w:val="0"/>
                <w:szCs w:val="21"/>
              </w:rPr>
              <w:t>提供的服务承诺方案，对其实用性和针对性</w:t>
            </w:r>
            <w:r>
              <w:rPr>
                <w:rFonts w:asciiTheme="minorEastAsia" w:eastAsiaTheme="minorEastAsia" w:hAnsiTheme="minorEastAsia" w:cstheme="minorEastAsia" w:hint="eastAsia"/>
                <w:szCs w:val="21"/>
              </w:rPr>
              <w:t>进行打分。</w:t>
            </w:r>
          </w:p>
          <w:p w:rsidR="00473C68">
            <w:pPr>
              <w:widowControl/>
              <w:tabs>
                <w:tab w:val="right" w:pos="4937"/>
              </w:tabs>
              <w:jc w:val="left"/>
              <w:rPr>
                <w:rFonts w:asciiTheme="minorEastAsia" w:eastAsiaTheme="minorEastAsia" w:hAnsiTheme="minorEastAsia" w:cstheme="minorEastAsia"/>
                <w:snapToGrid w:val="0"/>
                <w:kern w:val="0"/>
                <w:szCs w:val="21"/>
              </w:rPr>
            </w:pPr>
            <w:r>
              <w:rPr>
                <w:rFonts w:asciiTheme="minorEastAsia" w:eastAsiaTheme="minorEastAsia" w:hAnsiTheme="minorEastAsia" w:cstheme="minorEastAsia" w:hint="eastAsia"/>
                <w:spacing w:val="-4"/>
                <w:szCs w:val="21"/>
              </w:rPr>
              <w:t>一档得5分；二档得4.5分；三档得4分；四档得3.5分；五档得3分；六档得2.5分；七档得2分；八档得1.5分；九档得1分；十档得0.5分；未提及此项不得分。</w:t>
            </w:r>
          </w:p>
        </w:tc>
        <w:tc>
          <w:tcPr>
            <w:tcW w:w="659" w:type="dxa"/>
            <w:vAlign w:val="center"/>
          </w:tcPr>
          <w:p w:rsidR="00473C68">
            <w:pPr>
              <w:tabs>
                <w:tab w:val="left" w:pos="780"/>
              </w:tabs>
              <w:autoSpaceDE w:val="0"/>
              <w:autoSpaceDN w:val="0"/>
              <w:adjustRightIn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w:t>
            </w:r>
          </w:p>
        </w:tc>
      </w:tr>
      <w:tr>
        <w:tblPrEx>
          <w:tblW w:w="9788" w:type="dxa"/>
          <w:jc w:val="center"/>
          <w:tblLayout w:type="fixed"/>
          <w:tblLook w:val="04A0"/>
        </w:tblPrEx>
        <w:trPr>
          <w:trHeight w:val="23"/>
          <w:jc w:val="center"/>
        </w:trPr>
        <w:tc>
          <w:tcPr>
            <w:tcW w:w="2177" w:type="dxa"/>
            <w:gridSpan w:val="2"/>
            <w:vAlign w:val="center"/>
          </w:tcPr>
          <w:p w:rsidR="00473C68">
            <w:pPr>
              <w:jc w:val="center"/>
              <w:rPr>
                <w:rStyle w:val="NormalCharacter"/>
                <w:rFonts w:asciiTheme="minorEastAsia" w:eastAsiaTheme="minorEastAsia" w:hAnsiTheme="minorEastAsia" w:cstheme="minorEastAsia"/>
                <w:kern w:val="0"/>
                <w:szCs w:val="21"/>
              </w:rPr>
            </w:pPr>
            <w:r>
              <w:rPr>
                <w:rStyle w:val="NormalCharacter"/>
                <w:rFonts w:asciiTheme="minorEastAsia" w:eastAsiaTheme="minorEastAsia" w:hAnsiTheme="minorEastAsia" w:cstheme="minorEastAsia" w:hint="eastAsia"/>
                <w:kern w:val="0"/>
                <w:szCs w:val="21"/>
              </w:rPr>
              <w:t>价格</w:t>
            </w:r>
          </w:p>
          <w:p w:rsidR="00473C68">
            <w:pPr>
              <w:jc w:val="center"/>
              <w:rPr>
                <w:rFonts w:asciiTheme="minorEastAsia" w:eastAsiaTheme="minorEastAsia" w:hAnsiTheme="minorEastAsia" w:cstheme="minorEastAsia"/>
                <w:kern w:val="0"/>
                <w:szCs w:val="21"/>
              </w:rPr>
            </w:pPr>
            <w:r>
              <w:rPr>
                <w:rStyle w:val="NormalCharacter"/>
                <w:rFonts w:asciiTheme="minorEastAsia" w:eastAsiaTheme="minorEastAsia" w:hAnsiTheme="minorEastAsia" w:cstheme="minorEastAsia" w:hint="eastAsia"/>
                <w:kern w:val="0"/>
                <w:szCs w:val="21"/>
              </w:rPr>
              <w:t>（10分）</w:t>
            </w:r>
          </w:p>
        </w:tc>
        <w:tc>
          <w:tcPr>
            <w:tcW w:w="6952" w:type="dxa"/>
            <w:vAlign w:val="center"/>
          </w:tcPr>
          <w:p w:rsidR="00473C68">
            <w:pPr>
              <w:rPr>
                <w:rFonts w:asciiTheme="minorEastAsia" w:eastAsiaTheme="minorEastAsia" w:hAnsiTheme="minorEastAsia" w:cstheme="minorEastAsia"/>
                <w:szCs w:val="21"/>
                <w:lang w:val="zh-CN"/>
              </w:rPr>
            </w:pPr>
            <w:r>
              <w:rPr>
                <w:rFonts w:asciiTheme="minorEastAsia" w:eastAsiaTheme="minorEastAsia" w:hAnsiTheme="minorEastAsia" w:cstheme="minorEastAsia" w:hint="eastAsia"/>
                <w:szCs w:val="21"/>
              </w:rPr>
              <w:t>取投标合格供应商的投标最终报价最低价</w:t>
            </w:r>
            <w:r>
              <w:rPr>
                <w:rFonts w:asciiTheme="minorEastAsia" w:eastAsiaTheme="minorEastAsia" w:hAnsiTheme="minorEastAsia" w:cstheme="minorEastAsia" w:hint="eastAsia"/>
                <w:szCs w:val="21"/>
                <w:lang w:val="zh-CN"/>
              </w:rPr>
              <w:t>为评标基准价，</w:t>
            </w:r>
            <w:r>
              <w:rPr>
                <w:rFonts w:asciiTheme="minorEastAsia" w:eastAsiaTheme="minorEastAsia" w:hAnsiTheme="minorEastAsia" w:cstheme="minorEastAsia" w:hint="eastAsia"/>
                <w:szCs w:val="21"/>
              </w:rPr>
              <w:t>基准价为10分</w:t>
            </w:r>
            <w:r>
              <w:rPr>
                <w:rFonts w:asciiTheme="minorEastAsia" w:eastAsiaTheme="minorEastAsia" w:hAnsiTheme="minorEastAsia" w:cstheme="minorEastAsia" w:hint="eastAsia"/>
                <w:szCs w:val="21"/>
                <w:lang w:val="zh-CN"/>
              </w:rPr>
              <w:t>。</w:t>
            </w:r>
          </w:p>
          <w:p w:rsidR="00473C68">
            <w:pPr>
              <w:rPr>
                <w:rFonts w:asciiTheme="minorEastAsia" w:eastAsiaTheme="minorEastAsia" w:hAnsiTheme="minorEastAsia" w:cstheme="minorEastAsia"/>
                <w:spacing w:val="-4"/>
                <w:kern w:val="0"/>
                <w:szCs w:val="21"/>
              </w:rPr>
            </w:pPr>
            <w:r>
              <w:rPr>
                <w:rFonts w:asciiTheme="minorEastAsia" w:eastAsiaTheme="minorEastAsia" w:hAnsiTheme="minorEastAsia" w:cstheme="minorEastAsia" w:hint="eastAsia"/>
                <w:szCs w:val="21"/>
                <w:lang w:val="zh-CN"/>
              </w:rPr>
              <w:t>投标报价得分=(评标基准价／投标报价)×</w:t>
            </w:r>
            <w:r>
              <w:rPr>
                <w:rFonts w:asciiTheme="minorEastAsia" w:eastAsiaTheme="minorEastAsia" w:hAnsiTheme="minorEastAsia" w:cstheme="minorEastAsia" w:hint="eastAsia"/>
                <w:szCs w:val="21"/>
              </w:rPr>
              <w:t>10</w:t>
            </w:r>
            <w:r>
              <w:rPr>
                <w:rFonts w:asciiTheme="minorEastAsia" w:eastAsiaTheme="minorEastAsia" w:hAnsiTheme="minorEastAsia" w:cstheme="minorEastAsia" w:hint="eastAsia"/>
                <w:szCs w:val="21"/>
                <w:lang w:val="zh-CN"/>
              </w:rPr>
              <w:t>%×100 。（</w:t>
            </w:r>
            <w:r>
              <w:rPr>
                <w:rFonts w:asciiTheme="minorEastAsia" w:eastAsiaTheme="minorEastAsia" w:hAnsiTheme="minorEastAsia" w:cstheme="minorEastAsia" w:hint="eastAsia"/>
                <w:szCs w:val="21"/>
              </w:rPr>
              <w:t>小数点后保留2位小数</w:t>
            </w:r>
            <w:r>
              <w:rPr>
                <w:rFonts w:asciiTheme="minorEastAsia" w:eastAsiaTheme="minorEastAsia" w:hAnsiTheme="minorEastAsia" w:cstheme="minorEastAsia" w:hint="eastAsia"/>
                <w:szCs w:val="21"/>
                <w:lang w:val="zh-CN"/>
              </w:rPr>
              <w:t>）。</w:t>
            </w:r>
          </w:p>
        </w:tc>
        <w:tc>
          <w:tcPr>
            <w:tcW w:w="659" w:type="dxa"/>
            <w:vAlign w:val="center"/>
          </w:tcPr>
          <w:p w:rsidR="00473C68">
            <w:pPr>
              <w:adjustRightInd w:val="0"/>
              <w:snapToGrid w:val="0"/>
              <w:jc w:val="cente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10</w:t>
            </w:r>
          </w:p>
        </w:tc>
      </w:tr>
    </w:tbl>
    <w:p w:rsidR="00473C68">
      <w:pPr>
        <w:sectPr>
          <w:headerReference w:type="default" r:id="rId61"/>
          <w:footerReference w:type="default" r:id="rId62"/>
          <w:type w:val="nextPage"/>
          <w:pgSz w:w="11906" w:h="16838"/>
          <w:pgMar w:top="1440" w:right="1440" w:bottom="1440" w:left="1803" w:header="851" w:footer="992" w:gutter="0"/>
          <w:pgNumType w:start="27"/>
          <w:cols w:space="0"/>
          <w:titlePg w:val="0"/>
          <w:docGrid w:type="lines" w:linePitch="325"/>
        </w:sectPr>
      </w:pPr>
    </w:p>
    <w:p w:rsidR="00473C68">
      <w:pPr>
        <w:spacing w:line="360" w:lineRule="auto"/>
        <w:jc w:val="center"/>
        <w:outlineLvl w:val="0"/>
        <w:rPr>
          <w:rFonts w:ascii="宋体" w:hAnsi="宋体" w:cs="宋体"/>
          <w:b/>
          <w:sz w:val="36"/>
          <w:szCs w:val="36"/>
        </w:rPr>
      </w:pPr>
      <w:r>
        <w:rPr>
          <w:rFonts w:ascii="宋体" w:hAnsi="宋体" w:cs="宋体" w:hint="eastAsia"/>
          <w:b/>
          <w:sz w:val="36"/>
          <w:szCs w:val="36"/>
        </w:rPr>
        <w:t>第四章 公开招标需求</w:t>
      </w:r>
    </w:p>
    <w:p w:rsidR="00473C68">
      <w:pPr>
        <w:pStyle w:val="Bodytext1"/>
        <w:spacing w:line="360" w:lineRule="auto"/>
        <w:ind w:firstLine="0"/>
        <w:rPr>
          <w:sz w:val="21"/>
          <w:szCs w:val="21"/>
        </w:rPr>
      </w:pPr>
      <w:r>
        <w:rPr>
          <w:rFonts w:hint="eastAsia"/>
          <w:b/>
          <w:bCs/>
          <w:sz w:val="21"/>
          <w:szCs w:val="21"/>
          <w:lang w:val="en-US" w:eastAsia="zh-CN"/>
        </w:rPr>
        <w:t>一、项目</w:t>
      </w:r>
      <w:r>
        <w:rPr>
          <w:rFonts w:hint="eastAsia"/>
          <w:b/>
          <w:bCs/>
          <w:sz w:val="21"/>
          <w:szCs w:val="21"/>
        </w:rPr>
        <w:t>内容</w:t>
      </w:r>
    </w:p>
    <w:p w:rsidR="00473C68">
      <w:pPr>
        <w:pStyle w:val="Bodytext1"/>
        <w:spacing w:line="360" w:lineRule="auto"/>
        <w:ind w:firstLine="500"/>
        <w:rPr>
          <w:b/>
          <w:bCs/>
          <w:sz w:val="21"/>
          <w:szCs w:val="21"/>
          <w:lang w:val="en-US" w:eastAsia="zh-CN"/>
        </w:rPr>
      </w:pPr>
      <w:r>
        <w:rPr>
          <w:rFonts w:hint="eastAsia"/>
          <w:sz w:val="21"/>
          <w:szCs w:val="21"/>
        </w:rPr>
        <w:t>台州市路桥中学</w:t>
      </w:r>
      <w:r>
        <w:rPr>
          <w:rFonts w:hint="eastAsia"/>
          <w:sz w:val="21"/>
          <w:szCs w:val="21"/>
          <w:lang w:val="en-US" w:eastAsia="zh-CN"/>
        </w:rPr>
        <w:t>2024年学生公寓管理服务项目</w:t>
      </w:r>
      <w:r>
        <w:rPr>
          <w:rFonts w:hint="eastAsia"/>
          <w:sz w:val="21"/>
          <w:szCs w:val="21"/>
        </w:rPr>
        <w:t>，主要包括</w:t>
      </w:r>
      <w:r>
        <w:rPr>
          <w:rFonts w:hint="eastAsia"/>
          <w:sz w:val="21"/>
          <w:szCs w:val="21"/>
          <w:lang w:eastAsia="zh-CN"/>
        </w:rPr>
        <w:t>公寓服务、</w:t>
      </w:r>
      <w:r>
        <w:rPr>
          <w:rFonts w:hint="eastAsia"/>
          <w:sz w:val="21"/>
          <w:szCs w:val="21"/>
        </w:rPr>
        <w:t>学生管理（住宿生管理与服务、住宿安排、调整和退宿等）</w:t>
      </w:r>
      <w:r>
        <w:rPr>
          <w:rFonts w:hint="eastAsia"/>
          <w:sz w:val="21"/>
          <w:szCs w:val="21"/>
          <w:lang w:eastAsia="zh-CN"/>
        </w:rPr>
        <w:t>、维修服务、校园安全和卫生检查、协助菜品核验和就餐秩序管理等</w:t>
      </w:r>
      <w:r>
        <w:rPr>
          <w:rFonts w:hint="eastAsia"/>
          <w:sz w:val="21"/>
          <w:szCs w:val="21"/>
        </w:rPr>
        <w:t>。</w:t>
      </w:r>
    </w:p>
    <w:p w:rsidR="00473C68">
      <w:pPr>
        <w:pStyle w:val="Bodytext1"/>
        <w:spacing w:line="360" w:lineRule="auto"/>
        <w:ind w:firstLine="0"/>
        <w:rPr>
          <w:b/>
          <w:bCs/>
          <w:sz w:val="21"/>
          <w:szCs w:val="21"/>
          <w:lang w:eastAsia="zh-CN"/>
        </w:rPr>
      </w:pPr>
      <w:r>
        <w:rPr>
          <w:rFonts w:hint="eastAsia"/>
          <w:b/>
          <w:bCs/>
          <w:sz w:val="21"/>
          <w:szCs w:val="21"/>
          <w:lang w:val="en-US" w:eastAsia="zh-CN"/>
        </w:rPr>
        <w:t>二、</w:t>
      </w:r>
      <w:r>
        <w:rPr>
          <w:rFonts w:hint="eastAsia"/>
          <w:b/>
          <w:bCs/>
          <w:sz w:val="21"/>
          <w:szCs w:val="21"/>
          <w:lang w:eastAsia="zh-CN"/>
        </w:rPr>
        <w:t>人员需求</w:t>
      </w:r>
    </w:p>
    <w:p w:rsidR="00473C68">
      <w:pPr>
        <w:widowControl/>
        <w:spacing w:line="360" w:lineRule="auto"/>
        <w:jc w:val="center"/>
        <w:rPr>
          <w:rFonts w:ascii="楷体_GB2312" w:hAnsi="楷体_GB2312"/>
          <w:b/>
          <w:sz w:val="22"/>
          <w:szCs w:val="22"/>
        </w:rPr>
      </w:pPr>
      <w:r>
        <w:rPr>
          <w:rFonts w:ascii="楷体_GB2312" w:hAnsi="楷体_GB2312"/>
          <w:b/>
          <w:sz w:val="22"/>
          <w:szCs w:val="22"/>
        </w:rPr>
        <w:t>服务岗位人员配备表</w:t>
      </w:r>
    </w:p>
    <w:tbl>
      <w:tblPr>
        <w:tblStyle w:val="TableNormal"/>
        <w:tblW w:w="7818" w:type="dxa"/>
        <w:tblLayout w:type="fixed"/>
        <w:tblLook w:val="04A0"/>
      </w:tblPr>
      <w:tblGrid>
        <w:gridCol w:w="661"/>
        <w:gridCol w:w="752"/>
        <w:gridCol w:w="1146"/>
        <w:gridCol w:w="733"/>
        <w:gridCol w:w="4526"/>
      </w:tblGrid>
      <w:tr>
        <w:tblPrEx>
          <w:tblW w:w="7818" w:type="dxa"/>
          <w:tblLayout w:type="fixed"/>
          <w:tblLook w:val="04A0"/>
        </w:tblPrEx>
        <w:trPr>
          <w:trHeight w:val="624"/>
        </w:trPr>
        <w:tc>
          <w:tcPr>
            <w:tcW w:w="661" w:type="dxa"/>
            <w:tcBorders>
              <w:top w:val="single" w:sz="4" w:space="0" w:color="000000"/>
              <w:left w:val="single" w:sz="4" w:space="0" w:color="000000"/>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kern w:val="0"/>
                <w:szCs w:val="21"/>
              </w:rPr>
              <w:t>序号</w:t>
            </w:r>
          </w:p>
        </w:tc>
        <w:tc>
          <w:tcPr>
            <w:tcW w:w="752"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b/>
                <w:bCs/>
                <w:kern w:val="0"/>
                <w:szCs w:val="21"/>
              </w:rPr>
            </w:pPr>
          </w:p>
        </w:tc>
        <w:tc>
          <w:tcPr>
            <w:tcW w:w="1146"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kern w:val="0"/>
                <w:szCs w:val="21"/>
              </w:rPr>
              <w:t>岗  位</w:t>
            </w:r>
          </w:p>
        </w:tc>
        <w:tc>
          <w:tcPr>
            <w:tcW w:w="733"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kern w:val="0"/>
                <w:szCs w:val="21"/>
              </w:rPr>
              <w:t>人数</w:t>
            </w:r>
          </w:p>
        </w:tc>
        <w:tc>
          <w:tcPr>
            <w:tcW w:w="4526"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kern w:val="0"/>
                <w:szCs w:val="21"/>
              </w:rPr>
              <w:t>岗位备注</w:t>
            </w:r>
          </w:p>
        </w:tc>
      </w:tr>
      <w:tr>
        <w:tblPrEx>
          <w:tblW w:w="7818" w:type="dxa"/>
          <w:tblLayout w:type="fixed"/>
          <w:tblLook w:val="04A0"/>
        </w:tblPrEx>
        <w:trPr>
          <w:trHeight w:val="90"/>
        </w:trPr>
        <w:tc>
          <w:tcPr>
            <w:tcW w:w="661" w:type="dxa"/>
            <w:tcBorders>
              <w:top w:val="single" w:sz="4" w:space="0" w:color="000000"/>
              <w:left w:val="single" w:sz="4" w:space="0" w:color="000000"/>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1</w:t>
            </w:r>
          </w:p>
        </w:tc>
        <w:tc>
          <w:tcPr>
            <w:tcW w:w="752" w:type="dxa"/>
            <w:vMerge w:val="restart"/>
            <w:tcBorders>
              <w:top w:val="nil"/>
              <w:left w:val="nil"/>
              <w:bottom w:val="nil"/>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管理团队</w:t>
            </w:r>
          </w:p>
        </w:tc>
        <w:tc>
          <w:tcPr>
            <w:tcW w:w="1146"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项目经理</w:t>
            </w:r>
          </w:p>
        </w:tc>
        <w:tc>
          <w:tcPr>
            <w:tcW w:w="733"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1</w:t>
            </w:r>
          </w:p>
        </w:tc>
        <w:tc>
          <w:tcPr>
            <w:tcW w:w="4526" w:type="dxa"/>
            <w:tcBorders>
              <w:top w:val="single" w:sz="4" w:space="0" w:color="000000"/>
              <w:left w:val="nil"/>
              <w:bottom w:val="single" w:sz="4" w:space="0" w:color="000000"/>
              <w:right w:val="single" w:sz="4" w:space="0" w:color="000000"/>
            </w:tcBorders>
            <w:shd w:val="clear" w:color="FFFF00" w:fill="auto"/>
            <w:vAlign w:val="center"/>
          </w:tcPr>
          <w:p w:rsidR="00473C68">
            <w:pPr>
              <w:widowControl/>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1.年龄45周岁（含）以下；</w:t>
            </w:r>
          </w:p>
          <w:p w:rsidR="00473C68">
            <w:pPr>
              <w:widowControl/>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2.本科及以上学历；</w:t>
            </w:r>
          </w:p>
          <w:p w:rsidR="00473C68">
            <w:pPr>
              <w:widowControl/>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3.一年以上类似宿舍管理项目经理工作经历。</w:t>
            </w:r>
          </w:p>
        </w:tc>
      </w:tr>
      <w:tr>
        <w:tblPrEx>
          <w:tblW w:w="7818" w:type="dxa"/>
          <w:tblLayout w:type="fixed"/>
          <w:tblLook w:val="04A0"/>
        </w:tblPrEx>
        <w:trPr>
          <w:trHeight w:val="761"/>
        </w:trPr>
        <w:tc>
          <w:tcPr>
            <w:tcW w:w="661" w:type="dxa"/>
            <w:vMerge w:val="restart"/>
            <w:tcBorders>
              <w:top w:val="single" w:sz="4" w:space="0" w:color="000000"/>
              <w:left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2</w:t>
            </w:r>
          </w:p>
        </w:tc>
        <w:tc>
          <w:tcPr>
            <w:tcW w:w="752" w:type="dxa"/>
            <w:vMerge/>
            <w:tcBorders>
              <w:top w:val="nil"/>
              <w:left w:val="nil"/>
              <w:bottom w:val="nil"/>
              <w:right w:val="single" w:sz="4" w:space="0" w:color="000000"/>
            </w:tcBorders>
            <w:shd w:val="clear" w:color="FFFF00" w:fill="auto"/>
            <w:vAlign w:val="center"/>
          </w:tcPr>
          <w:p w:rsidR="00473C68">
            <w:pPr>
              <w:widowControl/>
              <w:jc w:val="left"/>
              <w:rPr>
                <w:rFonts w:asciiTheme="minorEastAsia" w:eastAsiaTheme="minorEastAsia" w:hAnsiTheme="minorEastAsia" w:cstheme="minorEastAsia"/>
                <w:kern w:val="0"/>
                <w:szCs w:val="21"/>
              </w:rPr>
            </w:pPr>
          </w:p>
        </w:tc>
        <w:tc>
          <w:tcPr>
            <w:tcW w:w="1146" w:type="dxa"/>
            <w:vMerge w:val="restart"/>
            <w:tcBorders>
              <w:top w:val="single" w:sz="4" w:space="0" w:color="000000"/>
              <w:left w:val="nil"/>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宿管员</w:t>
            </w:r>
          </w:p>
        </w:tc>
        <w:tc>
          <w:tcPr>
            <w:tcW w:w="733" w:type="dxa"/>
            <w:vMerge w:val="restart"/>
            <w:tcBorders>
              <w:top w:val="single" w:sz="4" w:space="0" w:color="000000"/>
              <w:left w:val="nil"/>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8</w:t>
            </w:r>
          </w:p>
        </w:tc>
        <w:tc>
          <w:tcPr>
            <w:tcW w:w="4526" w:type="dxa"/>
            <w:tcBorders>
              <w:top w:val="single" w:sz="4" w:space="0" w:color="000000"/>
              <w:left w:val="nil"/>
              <w:bottom w:val="single" w:sz="4" w:space="0" w:color="000000"/>
              <w:right w:val="single" w:sz="4" w:space="0" w:color="000000"/>
            </w:tcBorders>
            <w:shd w:val="clear" w:color="FFFF00" w:fill="auto"/>
            <w:vAlign w:val="center"/>
          </w:tcPr>
          <w:p w:rsidR="00473C68">
            <w:pPr>
              <w:widowControl/>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男宿管员4名：</w:t>
            </w:r>
          </w:p>
          <w:p w:rsidR="00473C68">
            <w:pPr>
              <w:widowControl/>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1.年龄50周岁（含）以下；</w:t>
            </w:r>
          </w:p>
        </w:tc>
      </w:tr>
      <w:tr>
        <w:tblPrEx>
          <w:tblW w:w="7818" w:type="dxa"/>
          <w:tblLayout w:type="fixed"/>
          <w:tblLook w:val="04A0"/>
        </w:tblPrEx>
        <w:trPr>
          <w:trHeight w:val="536"/>
        </w:trPr>
        <w:tc>
          <w:tcPr>
            <w:tcW w:w="661" w:type="dxa"/>
            <w:vMerge/>
            <w:tcBorders>
              <w:left w:val="single" w:sz="4" w:space="0" w:color="000000"/>
              <w:bottom w:val="single" w:sz="4" w:space="0" w:color="000000"/>
              <w:right w:val="single" w:sz="4" w:space="0" w:color="000000"/>
            </w:tcBorders>
            <w:shd w:val="clear" w:color="FFFF00" w:fill="auto"/>
            <w:vAlign w:val="center"/>
          </w:tcPr>
          <w:p w:rsidR="00473C68">
            <w:pPr>
              <w:pStyle w:val="Heading3"/>
              <w:tabs>
                <w:tab w:val="left" w:pos="1275"/>
              </w:tabs>
              <w:autoSpaceDE/>
              <w:autoSpaceDN/>
              <w:snapToGrid/>
              <w:spacing w:line="240" w:lineRule="auto"/>
              <w:ind w:firstLine="422"/>
              <w:rPr>
                <w:rFonts w:asciiTheme="minorEastAsia" w:eastAsiaTheme="minorEastAsia" w:hAnsiTheme="minorEastAsia" w:cstheme="minorEastAsia"/>
                <w:szCs w:val="21"/>
              </w:rPr>
            </w:pPr>
          </w:p>
        </w:tc>
        <w:tc>
          <w:tcPr>
            <w:tcW w:w="752" w:type="dxa"/>
            <w:vMerge/>
            <w:tcBorders>
              <w:left w:val="nil"/>
              <w:bottom w:val="nil"/>
              <w:right w:val="single" w:sz="4" w:space="0" w:color="000000"/>
            </w:tcBorders>
            <w:shd w:val="clear" w:color="FFFF00" w:fill="auto"/>
            <w:vAlign w:val="center"/>
          </w:tcPr>
          <w:p w:rsidR="00473C68">
            <w:pPr>
              <w:pStyle w:val="Heading3"/>
              <w:tabs>
                <w:tab w:val="left" w:pos="1275"/>
              </w:tabs>
              <w:autoSpaceDE/>
              <w:autoSpaceDN/>
              <w:snapToGrid/>
              <w:spacing w:line="240" w:lineRule="auto"/>
              <w:ind w:firstLine="422"/>
              <w:rPr>
                <w:rFonts w:asciiTheme="minorEastAsia" w:eastAsiaTheme="minorEastAsia" w:hAnsiTheme="minorEastAsia" w:cstheme="minorEastAsia"/>
                <w:szCs w:val="21"/>
              </w:rPr>
            </w:pPr>
          </w:p>
        </w:tc>
        <w:tc>
          <w:tcPr>
            <w:tcW w:w="1146" w:type="dxa"/>
            <w:vMerge/>
            <w:tcBorders>
              <w:left w:val="nil"/>
              <w:bottom w:val="single" w:sz="4" w:space="0" w:color="000000"/>
              <w:right w:val="single" w:sz="4" w:space="0" w:color="000000"/>
            </w:tcBorders>
            <w:shd w:val="clear" w:color="FFFF00" w:fill="auto"/>
            <w:vAlign w:val="center"/>
          </w:tcPr>
          <w:p w:rsidR="00473C68">
            <w:pPr>
              <w:pStyle w:val="Heading3"/>
              <w:tabs>
                <w:tab w:val="left" w:pos="1275"/>
              </w:tabs>
              <w:autoSpaceDE/>
              <w:autoSpaceDN/>
              <w:snapToGrid/>
              <w:spacing w:line="240" w:lineRule="auto"/>
              <w:ind w:firstLine="422"/>
              <w:rPr>
                <w:rFonts w:asciiTheme="minorEastAsia" w:eastAsiaTheme="minorEastAsia" w:hAnsiTheme="minorEastAsia" w:cstheme="minorEastAsia"/>
                <w:szCs w:val="21"/>
              </w:rPr>
            </w:pPr>
          </w:p>
        </w:tc>
        <w:tc>
          <w:tcPr>
            <w:tcW w:w="733" w:type="dxa"/>
            <w:vMerge/>
            <w:tcBorders>
              <w:left w:val="nil"/>
              <w:bottom w:val="single" w:sz="4" w:space="0" w:color="000000"/>
              <w:right w:val="single" w:sz="4" w:space="0" w:color="000000"/>
            </w:tcBorders>
            <w:shd w:val="clear" w:color="FFFF00" w:fill="auto"/>
            <w:vAlign w:val="center"/>
          </w:tcPr>
          <w:p w:rsidR="00473C68">
            <w:pPr>
              <w:pStyle w:val="Heading3"/>
              <w:tabs>
                <w:tab w:val="left" w:pos="1275"/>
              </w:tabs>
              <w:autoSpaceDE/>
              <w:autoSpaceDN/>
              <w:snapToGrid/>
              <w:spacing w:line="240" w:lineRule="auto"/>
              <w:ind w:firstLine="422"/>
              <w:rPr>
                <w:rFonts w:asciiTheme="minorEastAsia" w:eastAsiaTheme="minorEastAsia" w:hAnsiTheme="minorEastAsia" w:cstheme="minorEastAsia"/>
                <w:szCs w:val="21"/>
              </w:rPr>
            </w:pPr>
          </w:p>
        </w:tc>
        <w:tc>
          <w:tcPr>
            <w:tcW w:w="4526" w:type="dxa"/>
            <w:tcBorders>
              <w:top w:val="single" w:sz="4" w:space="0" w:color="000000"/>
              <w:left w:val="nil"/>
              <w:bottom w:val="single" w:sz="4" w:space="0" w:color="000000"/>
              <w:right w:val="single" w:sz="4" w:space="0" w:color="000000"/>
            </w:tcBorders>
            <w:shd w:val="clear" w:color="FFFF00" w:fill="auto"/>
            <w:vAlign w:val="center"/>
          </w:tcPr>
          <w:p w:rsidR="00473C68">
            <w:pPr>
              <w:pStyle w:val="Heading3"/>
              <w:tabs>
                <w:tab w:val="left" w:pos="1275"/>
              </w:tabs>
              <w:autoSpaceDE/>
              <w:autoSpaceDN/>
              <w:snapToGrid/>
              <w:spacing w:line="240" w:lineRule="auto"/>
              <w:ind w:firstLine="0" w:firstLineChars="0"/>
              <w:rPr>
                <w:rFonts w:asciiTheme="minorEastAsia" w:eastAsiaTheme="minorEastAsia" w:hAnsiTheme="minorEastAsia" w:cstheme="minorEastAsia"/>
                <w:b w:val="0"/>
                <w:bCs/>
                <w:kern w:val="0"/>
                <w:szCs w:val="21"/>
              </w:rPr>
            </w:pPr>
            <w:r>
              <w:rPr>
                <w:rFonts w:asciiTheme="minorEastAsia" w:eastAsiaTheme="minorEastAsia" w:hAnsiTheme="minorEastAsia" w:cstheme="minorEastAsia" w:hint="eastAsia"/>
                <w:b w:val="0"/>
                <w:bCs/>
                <w:kern w:val="0"/>
                <w:szCs w:val="21"/>
              </w:rPr>
              <w:t>女宿管员4名：</w:t>
            </w:r>
          </w:p>
          <w:p w:rsidR="00473C68">
            <w:pPr>
              <w:pStyle w:val="Heading3"/>
              <w:tabs>
                <w:tab w:val="left" w:pos="1275"/>
              </w:tabs>
              <w:autoSpaceDE/>
              <w:autoSpaceDN/>
              <w:snapToGrid/>
              <w:spacing w:line="240" w:lineRule="auto"/>
              <w:ind w:firstLine="0" w:firstLineChars="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val="0"/>
                <w:bCs/>
                <w:kern w:val="0"/>
                <w:szCs w:val="21"/>
              </w:rPr>
              <w:t>年龄50周岁（含）以下。</w:t>
            </w:r>
          </w:p>
        </w:tc>
      </w:tr>
      <w:tr>
        <w:tblPrEx>
          <w:tblW w:w="7818" w:type="dxa"/>
          <w:tblLayout w:type="fixed"/>
          <w:tblLook w:val="04A0"/>
        </w:tblPrEx>
        <w:trPr>
          <w:trHeight w:val="624"/>
        </w:trPr>
        <w:tc>
          <w:tcPr>
            <w:tcW w:w="661" w:type="dxa"/>
            <w:tcBorders>
              <w:top w:val="single" w:sz="4" w:space="0" w:color="000000"/>
              <w:left w:val="single" w:sz="4" w:space="0" w:color="000000"/>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3</w:t>
            </w:r>
          </w:p>
        </w:tc>
        <w:tc>
          <w:tcPr>
            <w:tcW w:w="752" w:type="dxa"/>
            <w:vMerge/>
            <w:tcBorders>
              <w:top w:val="nil"/>
              <w:left w:val="nil"/>
              <w:bottom w:val="nil"/>
              <w:right w:val="single" w:sz="4" w:space="0" w:color="000000"/>
            </w:tcBorders>
            <w:shd w:val="clear" w:color="FFFF00" w:fill="auto"/>
            <w:vAlign w:val="center"/>
          </w:tcPr>
          <w:p w:rsidR="00473C68">
            <w:pPr>
              <w:widowControl/>
              <w:jc w:val="left"/>
              <w:rPr>
                <w:rFonts w:asciiTheme="minorEastAsia" w:eastAsiaTheme="minorEastAsia" w:hAnsiTheme="minorEastAsia" w:cstheme="minorEastAsia"/>
                <w:kern w:val="0"/>
                <w:szCs w:val="21"/>
              </w:rPr>
            </w:pPr>
          </w:p>
        </w:tc>
        <w:tc>
          <w:tcPr>
            <w:tcW w:w="1146"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保洁员</w:t>
            </w:r>
          </w:p>
        </w:tc>
        <w:tc>
          <w:tcPr>
            <w:tcW w:w="733"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3</w:t>
            </w:r>
          </w:p>
        </w:tc>
        <w:tc>
          <w:tcPr>
            <w:tcW w:w="4526" w:type="dxa"/>
            <w:tcBorders>
              <w:top w:val="single" w:sz="4" w:space="0" w:color="000000"/>
              <w:left w:val="nil"/>
              <w:bottom w:val="single" w:sz="4" w:space="0" w:color="000000"/>
              <w:right w:val="single" w:sz="4" w:space="0" w:color="000000"/>
            </w:tcBorders>
            <w:shd w:val="clear" w:color="FFFF00" w:fill="auto"/>
            <w:vAlign w:val="center"/>
          </w:tcPr>
          <w:p w:rsidR="00473C68">
            <w:pPr>
              <w:widowControl/>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年龄55周岁以下，吃苦耐劳。</w:t>
            </w:r>
          </w:p>
        </w:tc>
      </w:tr>
      <w:tr>
        <w:tblPrEx>
          <w:tblW w:w="7818" w:type="dxa"/>
          <w:tblLayout w:type="fixed"/>
          <w:tblLook w:val="04A0"/>
        </w:tblPrEx>
        <w:trPr>
          <w:trHeight w:val="624"/>
        </w:trPr>
        <w:tc>
          <w:tcPr>
            <w:tcW w:w="661" w:type="dxa"/>
            <w:tcBorders>
              <w:top w:val="single" w:sz="4" w:space="0" w:color="000000"/>
              <w:left w:val="single" w:sz="4" w:space="0" w:color="000000"/>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4</w:t>
            </w:r>
          </w:p>
        </w:tc>
        <w:tc>
          <w:tcPr>
            <w:tcW w:w="752" w:type="dxa"/>
            <w:vMerge/>
            <w:tcBorders>
              <w:top w:val="nil"/>
              <w:left w:val="nil"/>
              <w:bottom w:val="nil"/>
              <w:right w:val="single" w:sz="4" w:space="0" w:color="000000"/>
            </w:tcBorders>
            <w:shd w:val="clear" w:color="FFFF00" w:fill="auto"/>
            <w:vAlign w:val="center"/>
          </w:tcPr>
          <w:p w:rsidR="00473C68">
            <w:pPr>
              <w:widowControl/>
              <w:jc w:val="left"/>
              <w:rPr>
                <w:rFonts w:asciiTheme="minorEastAsia" w:eastAsiaTheme="minorEastAsia" w:hAnsiTheme="minorEastAsia" w:cstheme="minorEastAsia"/>
                <w:kern w:val="0"/>
                <w:szCs w:val="21"/>
              </w:rPr>
            </w:pPr>
          </w:p>
        </w:tc>
        <w:tc>
          <w:tcPr>
            <w:tcW w:w="1146"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维修水电工</w:t>
            </w:r>
          </w:p>
        </w:tc>
        <w:tc>
          <w:tcPr>
            <w:tcW w:w="733"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1</w:t>
            </w:r>
          </w:p>
        </w:tc>
        <w:tc>
          <w:tcPr>
            <w:tcW w:w="4526" w:type="dxa"/>
            <w:tcBorders>
              <w:top w:val="single" w:sz="4" w:space="0" w:color="000000"/>
              <w:left w:val="nil"/>
              <w:bottom w:val="single" w:sz="4" w:space="0" w:color="000000"/>
              <w:right w:val="single" w:sz="4" w:space="0" w:color="000000"/>
            </w:tcBorders>
            <w:shd w:val="clear" w:color="FFFF00" w:fill="auto"/>
            <w:vAlign w:val="center"/>
          </w:tcPr>
          <w:p w:rsidR="00473C68">
            <w:pPr>
              <w:widowControl/>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年龄55周岁以下，具有维修电工证。</w:t>
            </w:r>
          </w:p>
        </w:tc>
      </w:tr>
      <w:tr>
        <w:tblPrEx>
          <w:tblW w:w="7818" w:type="dxa"/>
          <w:tblLayout w:type="fixed"/>
          <w:tblLook w:val="04A0"/>
        </w:tblPrEx>
        <w:trPr>
          <w:trHeight w:val="536"/>
        </w:trPr>
        <w:tc>
          <w:tcPr>
            <w:tcW w:w="2559" w:type="dxa"/>
            <w:gridSpan w:val="3"/>
            <w:tcBorders>
              <w:top w:val="single" w:sz="4" w:space="0" w:color="000000"/>
              <w:left w:val="single" w:sz="4" w:space="0" w:color="000000"/>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小计</w:t>
            </w:r>
          </w:p>
        </w:tc>
        <w:tc>
          <w:tcPr>
            <w:tcW w:w="733"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13</w:t>
            </w:r>
          </w:p>
        </w:tc>
        <w:tc>
          <w:tcPr>
            <w:tcW w:w="4526" w:type="dxa"/>
            <w:tcBorders>
              <w:top w:val="single" w:sz="4" w:space="0" w:color="000000"/>
              <w:left w:val="nil"/>
              <w:bottom w:val="single" w:sz="4" w:space="0" w:color="000000"/>
              <w:right w:val="single" w:sz="4" w:space="0" w:color="000000"/>
            </w:tcBorders>
            <w:shd w:val="clear" w:color="FFFF00" w:fill="auto"/>
            <w:vAlign w:val="center"/>
          </w:tcPr>
          <w:p w:rsidR="00473C68">
            <w:pPr>
              <w:widowControl/>
              <w:jc w:val="center"/>
              <w:textAlignment w:val="center"/>
              <w:rPr>
                <w:rFonts w:asciiTheme="minorEastAsia" w:eastAsiaTheme="minorEastAsia" w:hAnsiTheme="minorEastAsia" w:cstheme="minorEastAsia"/>
                <w:kern w:val="0"/>
                <w:szCs w:val="21"/>
              </w:rPr>
            </w:pPr>
          </w:p>
        </w:tc>
      </w:tr>
    </w:tbl>
    <w:p w:rsidR="00473C68">
      <w:pPr>
        <w:pStyle w:val="Bodytext1"/>
        <w:spacing w:line="360" w:lineRule="auto"/>
        <w:ind w:firstLine="0"/>
        <w:rPr>
          <w:b/>
          <w:bCs/>
          <w:sz w:val="21"/>
          <w:szCs w:val="21"/>
        </w:rPr>
      </w:pPr>
      <w:r>
        <w:rPr>
          <w:rFonts w:hint="eastAsia"/>
          <w:b/>
          <w:bCs/>
          <w:sz w:val="21"/>
          <w:szCs w:val="21"/>
          <w:lang w:val="en-US" w:eastAsia="zh-CN"/>
        </w:rPr>
        <w:t>三、</w:t>
      </w:r>
      <w:r>
        <w:rPr>
          <w:rFonts w:hint="eastAsia"/>
          <w:b/>
          <w:bCs/>
          <w:sz w:val="21"/>
          <w:szCs w:val="21"/>
        </w:rPr>
        <w:t>服务要求</w:t>
      </w:r>
    </w:p>
    <w:p w:rsidR="00473C68">
      <w:pPr>
        <w:pStyle w:val="Bodytext1"/>
        <w:tabs>
          <w:tab w:val="left" w:pos="801"/>
        </w:tabs>
        <w:spacing w:line="360" w:lineRule="auto"/>
        <w:ind w:firstLine="0"/>
        <w:rPr>
          <w:b/>
          <w:bCs/>
          <w:sz w:val="21"/>
          <w:szCs w:val="21"/>
        </w:rPr>
      </w:pPr>
      <w:bookmarkStart w:id="2" w:name="bookmark3"/>
      <w:r>
        <w:rPr>
          <w:rFonts w:hint="eastAsia"/>
          <w:b/>
          <w:bCs/>
          <w:sz w:val="21"/>
          <w:szCs w:val="21"/>
        </w:rPr>
        <w:t>（</w:t>
      </w:r>
      <w:bookmarkEnd w:id="2"/>
      <w:r>
        <w:rPr>
          <w:rFonts w:hint="eastAsia"/>
          <w:b/>
          <w:bCs/>
          <w:sz w:val="21"/>
          <w:szCs w:val="21"/>
        </w:rPr>
        <w:t>一）学生公寓概况</w:t>
      </w:r>
    </w:p>
    <w:p w:rsidR="00473C68">
      <w:pPr>
        <w:pStyle w:val="Bodytext1"/>
        <w:tabs>
          <w:tab w:val="left" w:pos="801"/>
        </w:tabs>
        <w:spacing w:line="360" w:lineRule="auto"/>
        <w:ind w:firstLine="420" w:firstLineChars="200"/>
        <w:rPr>
          <w:sz w:val="21"/>
          <w:szCs w:val="21"/>
          <w:lang w:eastAsia="zh-CN"/>
        </w:rPr>
      </w:pPr>
      <w:r>
        <w:rPr>
          <w:rFonts w:hint="eastAsia"/>
          <w:sz w:val="21"/>
          <w:szCs w:val="21"/>
        </w:rPr>
        <w:t>学生宿舍：有2幢，共5</w:t>
      </w:r>
      <w:r>
        <w:rPr>
          <w:rFonts w:hint="eastAsia"/>
          <w:sz w:val="21"/>
          <w:szCs w:val="21"/>
          <w:lang w:eastAsia="zh-CN"/>
        </w:rPr>
        <w:t>86</w:t>
      </w:r>
      <w:r>
        <w:rPr>
          <w:rFonts w:hint="eastAsia"/>
          <w:sz w:val="21"/>
          <w:szCs w:val="21"/>
        </w:rPr>
        <w:t>个房间，</w:t>
      </w:r>
      <w:r>
        <w:rPr>
          <w:rFonts w:hint="eastAsia"/>
          <w:sz w:val="21"/>
          <w:szCs w:val="21"/>
          <w:lang w:eastAsia="zh-CN"/>
        </w:rPr>
        <w:t>其中兰蕙楼为女生宿舍楼，共336个房间，每间住4人</w:t>
      </w:r>
      <w:r>
        <w:rPr>
          <w:rFonts w:hint="eastAsia"/>
          <w:sz w:val="21"/>
          <w:szCs w:val="21"/>
        </w:rPr>
        <w:t>；1幢为男生宿舍</w:t>
      </w:r>
      <w:r>
        <w:rPr>
          <w:rFonts w:hint="eastAsia"/>
          <w:sz w:val="21"/>
          <w:szCs w:val="21"/>
          <w:lang w:eastAsia="zh-CN"/>
        </w:rPr>
        <w:t>楼，共250个房间，每间住4人；</w:t>
      </w:r>
      <w:r>
        <w:rPr>
          <w:rFonts w:hint="eastAsia"/>
          <w:sz w:val="21"/>
          <w:szCs w:val="21"/>
        </w:rPr>
        <w:t>设2个宿舍管理点</w:t>
      </w:r>
      <w:r>
        <w:rPr>
          <w:rFonts w:hint="eastAsia"/>
          <w:sz w:val="21"/>
          <w:szCs w:val="21"/>
          <w:lang w:eastAsia="zh-CN"/>
        </w:rPr>
        <w:t>。</w:t>
      </w:r>
    </w:p>
    <w:p w:rsidR="00473C68">
      <w:pPr>
        <w:pStyle w:val="Bodytext1"/>
        <w:tabs>
          <w:tab w:val="left" w:pos="801"/>
        </w:tabs>
        <w:spacing w:line="360" w:lineRule="auto"/>
        <w:ind w:firstLine="420" w:firstLineChars="200"/>
        <w:rPr>
          <w:sz w:val="21"/>
          <w:szCs w:val="21"/>
        </w:rPr>
      </w:pPr>
      <w:r>
        <w:rPr>
          <w:rFonts w:hint="eastAsia"/>
          <w:sz w:val="21"/>
          <w:szCs w:val="21"/>
        </w:rPr>
        <w:t>总体要求：营造“安全、文明、卫生、有序”的学生公寓氛围，加强学生的安全意识教育和日常行为规范教育，切实保障学生的人身及财物安全，提高学生文明素质。</w:t>
      </w:r>
    </w:p>
    <w:p w:rsidR="00473C68">
      <w:pPr>
        <w:pStyle w:val="Bodytext1"/>
        <w:tabs>
          <w:tab w:val="left" w:pos="812"/>
        </w:tabs>
        <w:spacing w:line="360" w:lineRule="auto"/>
        <w:ind w:firstLine="0"/>
        <w:rPr>
          <w:sz w:val="21"/>
          <w:szCs w:val="21"/>
        </w:rPr>
      </w:pPr>
      <w:r>
        <w:rPr>
          <w:rFonts w:hint="eastAsia"/>
          <w:b/>
          <w:bCs/>
          <w:sz w:val="21"/>
          <w:szCs w:val="21"/>
        </w:rPr>
        <w:t>（二）基础服务与管理标准</w:t>
      </w:r>
    </w:p>
    <w:p w:rsidR="00473C68">
      <w:pPr>
        <w:pStyle w:val="Bodytext1"/>
        <w:spacing w:line="360" w:lineRule="auto"/>
        <w:ind w:firstLine="420" w:firstLineChars="200"/>
        <w:rPr>
          <w:b/>
          <w:bCs/>
          <w:sz w:val="21"/>
          <w:szCs w:val="21"/>
        </w:rPr>
      </w:pPr>
      <w:r>
        <w:rPr>
          <w:rFonts w:hint="eastAsia"/>
          <w:b/>
          <w:bCs/>
          <w:sz w:val="21"/>
          <w:szCs w:val="21"/>
        </w:rPr>
        <w:t>1）学生公寓值班服务</w:t>
      </w:r>
    </w:p>
    <w:p w:rsidR="00473C68">
      <w:pPr>
        <w:pStyle w:val="Bodytext1"/>
        <w:spacing w:line="360" w:lineRule="auto"/>
        <w:ind w:firstLine="420" w:firstLineChars="200"/>
        <w:rPr>
          <w:sz w:val="21"/>
          <w:szCs w:val="21"/>
          <w:lang w:eastAsia="zh-CN"/>
        </w:rPr>
      </w:pPr>
      <w:r>
        <w:rPr>
          <w:rFonts w:hint="eastAsia"/>
          <w:sz w:val="21"/>
          <w:szCs w:val="21"/>
        </w:rPr>
        <w:t>门厅值</w:t>
      </w:r>
      <w:r>
        <w:rPr>
          <w:rFonts w:hint="eastAsia"/>
          <w:sz w:val="21"/>
          <w:szCs w:val="21"/>
          <w:lang w:eastAsia="zh-CN"/>
        </w:rPr>
        <w:t>班</w:t>
      </w:r>
      <w:r>
        <w:rPr>
          <w:rFonts w:hint="eastAsia"/>
          <w:sz w:val="21"/>
          <w:szCs w:val="21"/>
        </w:rPr>
        <w:t>人员的</w:t>
      </w:r>
      <w:r>
        <w:rPr>
          <w:rFonts w:hint="eastAsia"/>
          <w:sz w:val="21"/>
          <w:szCs w:val="21"/>
          <w:lang w:eastAsia="zh-CN"/>
        </w:rPr>
        <w:t>安排</w:t>
      </w:r>
    </w:p>
    <w:p w:rsidR="00473C68">
      <w:pPr>
        <w:pStyle w:val="Bodytext1"/>
        <w:spacing w:line="360" w:lineRule="auto"/>
        <w:ind w:firstLine="420" w:firstLineChars="200"/>
        <w:rPr>
          <w:sz w:val="21"/>
          <w:szCs w:val="21"/>
        </w:rPr>
      </w:pPr>
      <w:r>
        <w:rPr>
          <w:rFonts w:hint="eastAsia"/>
          <w:sz w:val="21"/>
          <w:szCs w:val="21"/>
        </w:rPr>
        <w:t>学生寝室的</w:t>
      </w:r>
      <w:r>
        <w:rPr>
          <w:rFonts w:hint="eastAsia"/>
          <w:sz w:val="21"/>
          <w:szCs w:val="21"/>
          <w:lang w:eastAsia="zh-CN"/>
        </w:rPr>
        <w:t>统筹</w:t>
      </w:r>
      <w:r>
        <w:rPr>
          <w:rFonts w:hint="eastAsia"/>
          <w:sz w:val="21"/>
          <w:szCs w:val="21"/>
        </w:rPr>
        <w:t>安排</w:t>
      </w:r>
    </w:p>
    <w:p w:rsidR="00473C68">
      <w:pPr>
        <w:pStyle w:val="Bodytext1"/>
        <w:spacing w:line="360" w:lineRule="auto"/>
        <w:ind w:firstLine="420" w:firstLineChars="200"/>
        <w:rPr>
          <w:sz w:val="21"/>
          <w:szCs w:val="21"/>
          <w:lang w:eastAsia="zh-CN"/>
        </w:rPr>
      </w:pPr>
      <w:r>
        <w:rPr>
          <w:rFonts w:hint="eastAsia"/>
          <w:sz w:val="21"/>
          <w:szCs w:val="21"/>
          <w:lang w:eastAsia="zh-CN"/>
        </w:rPr>
        <w:t>周末留宿学生和假期体校生训练时的宿舍日常管理</w:t>
      </w:r>
    </w:p>
    <w:p w:rsidR="00473C68">
      <w:pPr>
        <w:pStyle w:val="Bodytext1"/>
        <w:spacing w:line="360" w:lineRule="auto"/>
        <w:ind w:firstLine="420" w:firstLineChars="200"/>
        <w:rPr>
          <w:sz w:val="21"/>
          <w:szCs w:val="21"/>
        </w:rPr>
      </w:pPr>
      <w:r>
        <w:rPr>
          <w:rFonts w:hint="eastAsia"/>
          <w:sz w:val="21"/>
          <w:szCs w:val="21"/>
        </w:rPr>
        <w:t>门厅进出钥匙的保管、借用，公共场所、通道门钥匙的管理</w:t>
      </w:r>
      <w:r>
        <w:rPr>
          <w:sz w:val="21"/>
          <w:szCs w:val="21"/>
        </w:rPr>
        <w:br/>
      </w:r>
      <w:r>
        <w:rPr>
          <w:sz w:val="21"/>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3" w:history="1">
        <w:r>
          <w:rPr>
            <w:rFonts w:ascii="SimSun" w:eastAsia="SimSun" w:hAnsi="SimSun" w:cs="SimSun"/>
            <w:b/>
            <w:bCs/>
            <w:color w:val="0000EE"/>
            <w:kern w:val="0"/>
            <w:sz w:val="30"/>
            <w:szCs w:val="30"/>
            <w:u w:val="single" w:color="0000EE"/>
          </w:rPr>
          <w:t>https://d.book118.com/698062113110006030</w:t>
        </w:r>
      </w:hyperlink>
    </w:p>
    <w:p w:rsidR="00473C68">
      <w:pPr>
        <w:pStyle w:val="Bodytext1"/>
        <w:spacing w:line="360" w:lineRule="auto"/>
        <w:ind w:firstLine="420" w:firstLineChars="200"/>
        <w:rPr>
          <w:sz w:val="21"/>
          <w:szCs w:val="21"/>
        </w:rPr>
      </w:pPr>
    </w:p>
    <w:sectPr>
      <w:headerReference w:type="default" r:id="rId64"/>
      <w:footerReference w:type="default" r:id="rId65"/>
      <w:pgSz w:w="11906" w:h="16838"/>
      <w:pgMar w:top="1440" w:right="1800" w:bottom="1440" w:left="1800" w:header="851" w:footer="992" w:gutter="0"/>
      <w:pgNumType w:start="28"/>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auto"/>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972185" cy="147955"/>
              <wp:effectExtent l="0" t="0" r="0" b="0"/>
              <wp:wrapNone/>
              <wp:docPr id="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49" type="#_x0000_t202" style="width:76.55pt;height:11.65pt;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w:t>
                    </w:r>
                    <w:r>
                      <w:rPr>
                        <w:rFonts w:hint="eastAsia"/>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972185" cy="147955"/>
              <wp:effectExtent l="0" t="0" r="0" b="0"/>
              <wp:wrapNone/>
              <wp:docPr id="50259086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0" type="#_x0000_t202" style="width:76.55pt;height:11.65pt;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972185" cy="147955"/>
              <wp:effectExtent l="0" t="0" r="0" b="0"/>
              <wp:wrapNone/>
              <wp:docPr id="129267017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1" type="#_x0000_t202" style="width:76.55pt;height:11.65pt;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3</w:t>
                    </w:r>
                    <w:r>
                      <w:rPr>
                        <w:rFonts w:hint="eastAsia"/>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972185" cy="147955"/>
              <wp:effectExtent l="0" t="0" r="0" b="0"/>
              <wp:wrapNone/>
              <wp:docPr id="91063720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2" type="#_x0000_t202" style="width:76.55pt;height:11.65pt;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4</w:t>
                    </w:r>
                    <w:r>
                      <w:rPr>
                        <w:rFonts w:hint="eastAsia"/>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972185" cy="147955"/>
              <wp:effectExtent l="0" t="0" r="0" b="0"/>
              <wp:wrapNone/>
              <wp:docPr id="8243246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3" type="#_x0000_t202" style="width:76.55pt;height:11.65pt;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6</w:t>
                    </w:r>
                    <w:r>
                      <w:rPr>
                        <w:rFonts w:hint="eastAsia"/>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972185" cy="147955"/>
              <wp:effectExtent l="0" t="0" r="0" b="0"/>
              <wp:wrapNone/>
              <wp:docPr id="198196143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4" type="#_x0000_t202" style="width:76.55pt;height:11.65pt;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6</w:t>
                    </w:r>
                    <w:r>
                      <w:rPr>
                        <w:rFonts w:hint="eastAsia"/>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972185" cy="147955"/>
              <wp:effectExtent l="0" t="0" r="0" b="0"/>
              <wp:wrapNone/>
              <wp:docPr id="122316238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5" type="#_x0000_t202" style="width:76.55pt;height:11.65pt;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8</w:t>
                    </w:r>
                    <w:r>
                      <w:rPr>
                        <w:rFonts w:hint="eastAsia"/>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972185" cy="147955"/>
              <wp:effectExtent l="0" t="0" r="0" b="0"/>
              <wp:wrapNone/>
              <wp:docPr id="60520320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6" type="#_x0000_t202" style="width:76.55pt;height:11.65pt;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8</w:t>
                    </w:r>
                    <w:r>
                      <w:rPr>
                        <w:rFonts w:hint="eastAsia"/>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972185" cy="147955"/>
              <wp:effectExtent l="0" t="0" r="0" b="0"/>
              <wp:wrapNone/>
              <wp:docPr id="154054494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7" type="#_x0000_t202" style="width:76.55pt;height:11.65pt;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9</w:t>
                    </w:r>
                    <w:r>
                      <w:rPr>
                        <w:rFonts w:hint="eastAsia"/>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972185" cy="147955"/>
              <wp:effectExtent l="0" t="0" r="0" b="0"/>
              <wp:wrapNone/>
              <wp:docPr id="30344753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8" type="#_x0000_t202" style="width:76.55pt;height:11.65pt;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10</w:t>
                    </w:r>
                    <w:r>
                      <w:rPr>
                        <w:rFonts w:hint="eastAsia"/>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972185" cy="147955"/>
              <wp:effectExtent l="0" t="0" r="0" b="0"/>
              <wp:wrapNone/>
              <wp:docPr id="192292062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59" type="#_x0000_t202" style="width:76.55pt;height:11.65pt;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11</w:t>
                    </w:r>
                    <w:r>
                      <w:rPr>
                        <w:rFonts w:hint="eastAsia"/>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972185" cy="147955"/>
              <wp:effectExtent l="0" t="0" r="0" b="0"/>
              <wp:wrapNone/>
              <wp:docPr id="181901186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0" type="#_x0000_t202" style="width:76.55pt;height:11.65pt;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12</w:t>
                    </w:r>
                    <w:r>
                      <w:rPr>
                        <w:rFonts w:hint="eastAsia"/>
                      </w:rPr>
                      <w:fldChar w:fldCharType="end"/>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972185" cy="147955"/>
              <wp:effectExtent l="0" t="0" r="0" b="0"/>
              <wp:wrapNone/>
              <wp:docPr id="30396112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1" type="#_x0000_t202" style="width:76.55pt;height:11.65pt;margin-top:0;margin-left:0;mso-position-horizontal:center;mso-position-horizontal-relative:margin;mso-wrap-distance-bottom:0;mso-wrap-distance-left:9pt;mso-wrap-distance-right:9pt;mso-wrap-distance-top:0;mso-wrap-style:none;position:absolute;v-text-anchor:top;z-index:251682816"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13</w:t>
                    </w:r>
                    <w:r>
                      <w:rPr>
                        <w:rFonts w:hint="eastAsia"/>
                      </w:rPr>
                      <w:fldChar w:fldCharType="end"/>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972185" cy="147955"/>
              <wp:effectExtent l="0" t="0" r="0" b="0"/>
              <wp:wrapNone/>
              <wp:docPr id="115622926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2" type="#_x0000_t202" style="width:76.55pt;height:11.65pt;margin-top:0;margin-left:0;mso-position-horizontal:center;mso-position-horizontal-relative:margin;mso-wrap-distance-bottom:0;mso-wrap-distance-left:9pt;mso-wrap-distance-right:9pt;mso-wrap-distance-top:0;mso-wrap-style:none;position:absolute;v-text-anchor:top;z-index:251684864"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14</w:t>
                    </w:r>
                    <w:r>
                      <w:rPr>
                        <w:rFonts w:hint="eastAsia"/>
                      </w:rPr>
                      <w:fldChar w:fldCharType="end"/>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972185" cy="147955"/>
              <wp:effectExtent l="0" t="0" r="0" b="0"/>
              <wp:wrapNone/>
              <wp:docPr id="95516028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3" type="#_x0000_t202" style="width:76.55pt;height:11.65pt;margin-top:0;margin-left:0;mso-position-horizontal:center;mso-position-horizontal-relative:margin;mso-wrap-distance-bottom:0;mso-wrap-distance-left:9pt;mso-wrap-distance-right:9pt;mso-wrap-distance-top:0;mso-wrap-style:none;position:absolute;v-text-anchor:top;z-index:251686912"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15</w:t>
                    </w:r>
                    <w:r>
                      <w:rPr>
                        <w:rFonts w:hint="eastAsia"/>
                      </w:rPr>
                      <w:fldChar w:fldCharType="end"/>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972185" cy="147955"/>
              <wp:effectExtent l="0" t="0" r="0" b="0"/>
              <wp:wrapNone/>
              <wp:docPr id="632796179"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4" type="#_x0000_t202" style="width:76.55pt;height:11.65pt;margin-top:0;margin-left:0;mso-position-horizontal:center;mso-position-horizontal-relative:margin;mso-wrap-distance-bottom:0;mso-wrap-distance-left:9pt;mso-wrap-distance-right:9pt;mso-wrap-distance-top:0;mso-wrap-style:none;position:absolute;v-text-anchor:top;z-index:251688960"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17</w:t>
                    </w:r>
                    <w:r>
                      <w:rPr>
                        <w:rFonts w:hint="eastAsia"/>
                      </w:rPr>
                      <w:fldChar w:fldCharType="end"/>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972185" cy="147955"/>
              <wp:effectExtent l="0" t="0" r="0" b="0"/>
              <wp:wrapNone/>
              <wp:docPr id="99653912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5" type="#_x0000_t202" style="width:76.55pt;height:11.65pt;margin-top:0;margin-left:0;mso-position-horizontal:center;mso-position-horizontal-relative:margin;mso-wrap-distance-bottom:0;mso-wrap-distance-left:9pt;mso-wrap-distance-right:9pt;mso-wrap-distance-top:0;mso-wrap-style:none;position:absolute;v-text-anchor:top;z-index:251691008"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17</w:t>
                    </w:r>
                    <w:r>
                      <w:rPr>
                        <w:rFonts w:hint="eastAsia"/>
                      </w:rPr>
                      <w:fldChar w:fldCharType="end"/>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972185" cy="147955"/>
              <wp:effectExtent l="0" t="0" r="0" b="0"/>
              <wp:wrapNone/>
              <wp:docPr id="44830185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6" type="#_x0000_t202" style="width:76.55pt;height:11.65pt;margin-top:0;margin-left:0;mso-position-horizontal:center;mso-position-horizontal-relative:margin;mso-wrap-distance-bottom:0;mso-wrap-distance-left:9pt;mso-wrap-distance-right:9pt;mso-wrap-distance-top:0;mso-wrap-style:none;position:absolute;v-text-anchor:top;z-index:251693056"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19</w:t>
                    </w:r>
                    <w:r>
                      <w:rPr>
                        <w:rFonts w:hint="eastAsia"/>
                      </w:rPr>
                      <w:fldChar w:fldCharType="end"/>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972185" cy="147955"/>
              <wp:effectExtent l="0" t="0" r="0" b="0"/>
              <wp:wrapNone/>
              <wp:docPr id="91168979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7" type="#_x0000_t202" style="width:76.55pt;height:11.65pt;margin-top:0;margin-left:0;mso-position-horizontal:center;mso-position-horizontal-relative:margin;mso-wrap-distance-bottom:0;mso-wrap-distance-left:9pt;mso-wrap-distance-right:9pt;mso-wrap-distance-top:0;mso-wrap-style:none;position:absolute;v-text-anchor:top;z-index:251695104"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19</w:t>
                    </w:r>
                    <w:r>
                      <w:rPr>
                        <w:rFonts w:hint="eastAsia"/>
                      </w:rPr>
                      <w:fldChar w:fldCharType="end"/>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972185" cy="147955"/>
              <wp:effectExtent l="0" t="0" r="0" b="0"/>
              <wp:wrapNone/>
              <wp:docPr id="8756630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8" type="#_x0000_t202" style="width:76.55pt;height:11.65pt;margin-top:0;margin-left:0;mso-position-horizontal:center;mso-position-horizontal-relative:margin;mso-wrap-distance-bottom:0;mso-wrap-distance-left:9pt;mso-wrap-distance-right:9pt;mso-wrap-distance-top:0;mso-wrap-style:none;position:absolute;v-text-anchor:top;z-index:251697152"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20</w:t>
                    </w:r>
                    <w:r>
                      <w:rPr>
                        <w:rFonts w:hint="eastAsia"/>
                      </w:rPr>
                      <w:fldChar w:fldCharType="end"/>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700224" behindDoc="0" locked="0" layoutInCell="1" allowOverlap="1">
              <wp:simplePos x="0" y="0"/>
              <wp:positionH relativeFrom="margin">
                <wp:align>center</wp:align>
              </wp:positionH>
              <wp:positionV relativeFrom="paragraph">
                <wp:posOffset>0</wp:posOffset>
              </wp:positionV>
              <wp:extent cx="972185" cy="147955"/>
              <wp:effectExtent l="0" t="0" r="0" b="0"/>
              <wp:wrapNone/>
              <wp:docPr id="1164779231"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69" type="#_x0000_t202" style="width:76.55pt;height:11.65pt;margin-top:0;margin-left:0;mso-position-horizontal:center;mso-position-horizontal-relative:margin;mso-wrap-distance-bottom:0;mso-wrap-distance-left:9pt;mso-wrap-distance-right:9pt;mso-wrap-distance-top:0;mso-wrap-style:none;position:absolute;v-text-anchor:top;z-index:251699200"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21</w:t>
                    </w:r>
                    <w:r>
                      <w:rPr>
                        <w:rFonts w:hint="eastAsia"/>
                      </w:rPr>
                      <w:fldChar w:fldCharType="end"/>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702272" behindDoc="0" locked="0" layoutInCell="1" allowOverlap="1">
              <wp:simplePos x="0" y="0"/>
              <wp:positionH relativeFrom="margin">
                <wp:align>center</wp:align>
              </wp:positionH>
              <wp:positionV relativeFrom="paragraph">
                <wp:posOffset>0</wp:posOffset>
              </wp:positionV>
              <wp:extent cx="972185" cy="147955"/>
              <wp:effectExtent l="0" t="0" r="0" b="0"/>
              <wp:wrapNone/>
              <wp:docPr id="39069275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0" type="#_x0000_t202" style="width:76.55pt;height:11.65pt;margin-top:0;margin-left:0;mso-position-horizontal:center;mso-position-horizontal-relative:margin;mso-wrap-distance-bottom:0;mso-wrap-distance-left:9pt;mso-wrap-distance-right:9pt;mso-wrap-distance-top:0;mso-wrap-style:none;position:absolute;v-text-anchor:top;z-index:251701248"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23</w:t>
                    </w:r>
                    <w:r>
                      <w:rPr>
                        <w:rFonts w:hint="eastAsia"/>
                      </w:rPr>
                      <w:fldChar w:fldCharType="end"/>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704320" behindDoc="0" locked="0" layoutInCell="1" allowOverlap="1">
              <wp:simplePos x="0" y="0"/>
              <wp:positionH relativeFrom="margin">
                <wp:align>center</wp:align>
              </wp:positionH>
              <wp:positionV relativeFrom="paragraph">
                <wp:posOffset>0</wp:posOffset>
              </wp:positionV>
              <wp:extent cx="972185" cy="147955"/>
              <wp:effectExtent l="0" t="0" r="0" b="0"/>
              <wp:wrapNone/>
              <wp:docPr id="3333405"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23</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1" type="#_x0000_t202" style="width:76.55pt;height:11.65pt;margin-top:0;margin-left:0;mso-position-horizontal:center;mso-position-horizontal-relative:margin;mso-wrap-distance-bottom:0;mso-wrap-distance-left:9pt;mso-wrap-distance-right:9pt;mso-wrap-distance-top:0;mso-wrap-style:none;position:absolute;v-text-anchor:top;z-index:251703296"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23</w:t>
                    </w:r>
                    <w:r>
                      <w:rPr>
                        <w:rFonts w:hint="eastAsia"/>
                      </w:rPr>
                      <w:fldChar w:fldCharType="end"/>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706368" behindDoc="0" locked="0" layoutInCell="1" allowOverlap="1">
              <wp:simplePos x="0" y="0"/>
              <wp:positionH relativeFrom="margin">
                <wp:align>center</wp:align>
              </wp:positionH>
              <wp:positionV relativeFrom="paragraph">
                <wp:posOffset>0</wp:posOffset>
              </wp:positionV>
              <wp:extent cx="972185" cy="147955"/>
              <wp:effectExtent l="0" t="0" r="0" b="0"/>
              <wp:wrapNone/>
              <wp:docPr id="115158515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2" type="#_x0000_t202" style="width:76.55pt;height:11.65pt;margin-top:0;margin-left:0;mso-position-horizontal:center;mso-position-horizontal-relative:margin;mso-wrap-distance-bottom:0;mso-wrap-distance-left:9pt;mso-wrap-distance-right:9pt;mso-wrap-distance-top:0;mso-wrap-style:none;position:absolute;v-text-anchor:top;z-index:251705344"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24</w:t>
                    </w:r>
                    <w:r>
                      <w:rPr>
                        <w:rFonts w:hint="eastAsia"/>
                      </w:rPr>
                      <w:fldChar w:fldCharType="end"/>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708416" behindDoc="0" locked="0" layoutInCell="1" allowOverlap="1">
              <wp:simplePos x="0" y="0"/>
              <wp:positionH relativeFrom="margin">
                <wp:align>center</wp:align>
              </wp:positionH>
              <wp:positionV relativeFrom="paragraph">
                <wp:posOffset>0</wp:posOffset>
              </wp:positionV>
              <wp:extent cx="972185" cy="147955"/>
              <wp:effectExtent l="0" t="0" r="0" b="0"/>
              <wp:wrapNone/>
              <wp:docPr id="213046151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25</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3" type="#_x0000_t202" style="width:76.55pt;height:11.65pt;margin-top:0;margin-left:0;mso-position-horizontal:center;mso-position-horizontal-relative:margin;mso-wrap-distance-bottom:0;mso-wrap-distance-left:9pt;mso-wrap-distance-right:9pt;mso-wrap-distance-top:0;mso-wrap-style:none;position:absolute;v-text-anchor:top;z-index:251707392"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25</w:t>
                    </w:r>
                    <w:r>
                      <w:rPr>
                        <w:rFonts w:hint="eastAsia"/>
                      </w:rPr>
                      <w:fldChar w:fldCharType="end"/>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710464" behindDoc="0" locked="0" layoutInCell="1" allowOverlap="1">
              <wp:simplePos x="0" y="0"/>
              <wp:positionH relativeFrom="margin">
                <wp:align>center</wp:align>
              </wp:positionH>
              <wp:positionV relativeFrom="paragraph">
                <wp:posOffset>0</wp:posOffset>
              </wp:positionV>
              <wp:extent cx="972185" cy="147955"/>
              <wp:effectExtent l="0" t="0" r="0" b="0"/>
              <wp:wrapNone/>
              <wp:docPr id="911870667"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4" type="#_x0000_t202" style="width:76.55pt;height:11.65pt;margin-top:0;margin-left:0;mso-position-horizontal:center;mso-position-horizontal-relative:margin;mso-wrap-distance-bottom:0;mso-wrap-distance-left:9pt;mso-wrap-distance-right:9pt;mso-wrap-distance-top:0;mso-wrap-style:none;position:absolute;v-text-anchor:top;z-index:251709440"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26</w:t>
                    </w:r>
                    <w:r>
                      <w:rPr>
                        <w:rFonts w:hint="eastAsia"/>
                      </w:rPr>
                      <w:fldChar w:fldCharType="end"/>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712512" behindDoc="0" locked="0" layoutInCell="1" allowOverlap="1">
              <wp:simplePos x="0" y="0"/>
              <wp:positionH relativeFrom="margin">
                <wp:align>center</wp:align>
              </wp:positionH>
              <wp:positionV relativeFrom="paragraph">
                <wp:posOffset>0</wp:posOffset>
              </wp:positionV>
              <wp:extent cx="972185" cy="147955"/>
              <wp:effectExtent l="0" t="0" r="0" b="0"/>
              <wp:wrapNone/>
              <wp:docPr id="1284664376"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972185" cy="147955"/>
                      </a:xfrm>
                      <a:prstGeom prst="rect">
                        <a:avLst/>
                      </a:prstGeom>
                      <a:noFill/>
                      <a:ln w="6350">
                        <a:noFill/>
                      </a:ln>
                      <a:effectLst/>
                    </wps:spPr>
                    <wps:txbx>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2075" type="#_x0000_t202" style="width:76.55pt;height:11.65pt;margin-top:0;margin-left:0;mso-position-horizontal:center;mso-position-horizontal-relative:margin;mso-wrap-distance-bottom:0;mso-wrap-distance-left:9pt;mso-wrap-distance-right:9pt;mso-wrap-distance-top:0;mso-wrap-style:none;position:absolute;v-text-anchor:top;z-index:251711488" filled="f" fillcolor="this" stroked="f" strokeweight="0.5pt">
              <v:textbox style="mso-fit-shape-to-text:t" inset="0,0,0,0">
                <w:txbxContent>
                  <w:p w:rsidR="00473C68">
                    <w:pPr>
                      <w:pStyle w:val="Footer"/>
                    </w:pPr>
                    <w:r>
                      <w:rPr>
                        <w:rFonts w:hint="eastAsia"/>
                      </w:rPr>
                      <w:fldChar w:fldCharType="begin"/>
                    </w:r>
                    <w:r>
                      <w:rPr>
                        <w:rFonts w:hint="eastAsia"/>
                      </w:rPr>
                      <w:instrText xml:space="preserve"> PAGE  \* MERGEFORMAT </w:instrText>
                    </w:r>
                    <w:r>
                      <w:rPr>
                        <w:rFonts w:hint="eastAsia"/>
                      </w:rPr>
                      <w:fldChar w:fldCharType="separate"/>
                    </w:r>
                    <w:r w:rsidR="009D3099">
                      <w:rPr>
                        <w:noProof/>
                      </w:rPr>
                      <w:t>27</w:t>
                    </w:r>
                    <w:r>
                      <w:rPr>
                        <w:rFonts w:hint="eastAsia"/>
                      </w:rPr>
                      <w:fldChar w:fldCharType="end"/>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Footer"/>
    </w:pPr>
    <w:r>
      <w:rPr>
        <w:noProof/>
      </w:rPr>
      <mc:AlternateContent>
        <mc:Choice Requires="wps">
          <w:drawing>
            <wp:anchor distT="0" distB="0" distL="114300" distR="114300" simplePos="0" relativeHeight="2517145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a:effectLst/>
                    </wps:spPr>
                    <wps:txbx>
                      <w:txbxContent>
                        <w:p w:rsidR="00473C68">
                          <w:pPr>
                            <w:pStyle w:val="Footer"/>
                            <w:rPr>
                              <w:rFonts w:eastAsia="宋体"/>
                            </w:rPr>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2076" type="#_x0000_t202" style="width:2in;height:2in;margin-top:0;margin-left:0;mso-position-horizontal:center;mso-position-horizontal-relative:margin;mso-wrap-distance-bottom:0;mso-wrap-distance-left:9pt;mso-wrap-distance-right:9pt;mso-wrap-distance-top:0;mso-wrap-style:none;position:absolute;v-text-anchor:top;z-index:251713536" filled="f" fillcolor="this" stroked="f" strokeweight="0.5pt">
              <v:textbox style="mso-fit-shape-to-text:t" inset="0,0,0,0">
                <w:txbxContent>
                  <w:p w:rsidR="00473C68">
                    <w:pPr>
                      <w:pStyle w:val="Footer"/>
                      <w:rPr>
                        <w:rFonts w:eastAsia="宋体"/>
                      </w:rPr>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rPr>
        <w:iCs/>
      </w:rPr>
    </w:pPr>
    <w:r>
      <w:rPr>
        <w:rFonts w:hint="eastAsia"/>
        <w:b/>
        <w:iCs/>
        <w:color w:val="000000"/>
        <w:kern w:val="0"/>
        <w:sz w:val="18"/>
        <w:u w:val="single"/>
      </w:rPr>
      <w:t>政府采购招标文件</w:t>
    </w:r>
    <w:r>
      <w:rPr>
        <w:b/>
        <w:iCs/>
        <w:color w:val="000000"/>
        <w:kern w:val="0"/>
        <w:sz w:val="18"/>
        <w:u w:val="single"/>
      </w:rPr>
      <w:t>--</w:t>
    </w:r>
    <w:r>
      <w:rPr>
        <w:rFonts w:hint="eastAsia"/>
        <w:b/>
        <w:iCs/>
        <w:color w:val="000000"/>
        <w:kern w:val="0"/>
        <w:sz w:val="18"/>
        <w:u w:val="single"/>
      </w:rPr>
      <w:t>2024</w:t>
    </w:r>
    <w:r>
      <w:rPr>
        <w:rFonts w:hint="eastAsia"/>
        <w:b/>
        <w:iCs/>
        <w:color w:val="000000"/>
        <w:kern w:val="0"/>
        <w:sz w:val="18"/>
        <w:u w:val="single"/>
      </w:rPr>
      <w:t>年学生公寓管理服务项目</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3C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4EADBEB"/>
    <w:multiLevelType w:val="singleLevel"/>
    <w:tmpl w:val="84EADBEB"/>
    <w:lvl w:ilvl="0">
      <w:start w:val="1"/>
      <w:numFmt w:val="chineseCounting"/>
      <w:suff w:val="nothing"/>
      <w:lvlText w:val="%1、"/>
      <w:lvlJc w:val="left"/>
      <w:rPr>
        <w:rFonts w:hint="eastAsia"/>
      </w:rPr>
    </w:lvl>
  </w:abstractNum>
  <w:abstractNum w:abstractNumId="1">
    <w:nsid w:val="2686C9A4"/>
    <w:multiLevelType w:val="singleLevel"/>
    <w:tmpl w:val="471E06A1"/>
    <w:lvl w:ilvl="0">
      <w:start w:val="1"/>
      <w:numFmt w:val="japaneseCounting"/>
      <w:lvlText w:val="%1、"/>
      <w:lvlJc w:val="left"/>
      <w:pPr>
        <w:tabs>
          <w:tab w:val="left" w:pos="960"/>
        </w:tabs>
        <w:ind w:left="960" w:hanging="600"/>
      </w:pPr>
      <w:rPr>
        <w:rFonts w:cs="Times New Roman" w:hint="eastAsia"/>
      </w:rPr>
    </w:lvl>
  </w:abstractNum>
  <w:abstractNum w:abstractNumId="2">
    <w:nsid w:val="461E5E94"/>
    <w:multiLevelType w:val="singleLevel"/>
    <w:tmpl w:val="461E5E94"/>
    <w:lvl w:ilvl="0">
      <w:start w:val="2"/>
      <w:numFmt w:val="chineseCounting"/>
      <w:suff w:val="space"/>
      <w:lvlText w:val="第%1章"/>
      <w:lvlJc w:val="left"/>
      <w:rPr>
        <w:rFonts w:cs="Times New Roman" w:hint="eastAsia"/>
      </w:rPr>
    </w:lvl>
  </w:abstractNum>
  <w:abstractNum w:abstractNumId="3">
    <w:nsid w:val="471E06A1"/>
    <w:multiLevelType w:val="singleLevel"/>
    <w:tmpl w:val="471E06A1"/>
    <w:lvl w:ilvl="0">
      <w:start w:val="1"/>
      <w:numFmt w:val="japaneseCounting"/>
      <w:lvlText w:val="%1、"/>
      <w:lvlJc w:val="left"/>
      <w:pPr>
        <w:tabs>
          <w:tab w:val="left" w:pos="960"/>
        </w:tabs>
        <w:ind w:left="960" w:hanging="600"/>
      </w:pPr>
      <w:rPr>
        <w:rFonts w:cs="Times New Roman" w:hint="eastAsia"/>
      </w:rPr>
    </w:lvl>
  </w:abstractNum>
  <w:abstractNum w:abstractNumId="4">
    <w:nsid w:val="58CA50F0"/>
    <w:multiLevelType w:val="multilevel"/>
    <w:tmpl w:val="58CA50F0"/>
    <w:lvl w:ilvl="0">
      <w:start w:val="1"/>
      <w:numFmt w:val="chineseCounting"/>
      <w:pStyle w:val="Heading1"/>
      <w:lvlText w:val="第%1章 "/>
      <w:lvlJc w:val="left"/>
      <w:pPr>
        <w:tabs>
          <w:tab w:val="left" w:pos="432"/>
        </w:tabs>
        <w:ind w:left="432" w:hanging="432"/>
      </w:pPr>
      <w:rPr>
        <w:rFonts w:ascii="Times New Roman" w:eastAsia="仿宋_GB2312" w:hAnsi="Times New Roman" w:cs="宋体" w:hint="eastAsia"/>
      </w:rPr>
    </w:lvl>
    <w:lvl w:ilvl="1">
      <w:start w:val="1"/>
      <w:numFmt w:val="decimal"/>
      <w:isLgl/>
      <w:lvlText w:val="%1.%2."/>
      <w:lvlJc w:val="left"/>
      <w:pPr>
        <w:tabs>
          <w:tab w:val="left" w:pos="210"/>
        </w:tabs>
        <w:ind w:left="0" w:firstLine="0"/>
      </w:pPr>
      <w:rPr>
        <w:rFonts w:ascii="宋体" w:eastAsia="宋体" w:hAnsi="宋体" w:cs="宋体" w:hint="eastAsia"/>
      </w:rPr>
    </w:lvl>
    <w:lvl w:ilvl="2">
      <w:start w:val="1"/>
      <w:numFmt w:val="decimal"/>
      <w:isLgl/>
      <w:lvlText w:val="%1.%2.%3."/>
      <w:lvlJc w:val="left"/>
      <w:pPr>
        <w:tabs>
          <w:tab w:val="left" w:pos="210"/>
        </w:tabs>
        <w:ind w:left="0" w:firstLine="0"/>
      </w:pPr>
      <w:rPr>
        <w:rFonts w:ascii="宋体" w:eastAsia="宋体" w:hAnsi="宋体" w:cs="宋体" w:hint="eastAsia"/>
      </w:rPr>
    </w:lvl>
    <w:lvl w:ilvl="3">
      <w:start w:val="1"/>
      <w:numFmt w:val="decimal"/>
      <w:isLgl/>
      <w:lvlText w:val="%1.%2.%3.%4."/>
      <w:lvlJc w:val="left"/>
      <w:pPr>
        <w:tabs>
          <w:tab w:val="left" w:pos="210"/>
        </w:tabs>
        <w:ind w:left="0" w:firstLine="0"/>
      </w:pPr>
      <w:rPr>
        <w:rFonts w:ascii="宋体" w:eastAsia="宋体" w:hAnsi="宋体" w:cs="宋体" w:hint="eastAsia"/>
      </w:rPr>
    </w:lvl>
    <w:lvl w:ilvl="4">
      <w:start w:val="1"/>
      <w:numFmt w:val="decimal"/>
      <w:isLgl/>
      <w:lvlText w:val="%1.%2.%3.%4.%5."/>
      <w:lvlJc w:val="left"/>
      <w:pPr>
        <w:tabs>
          <w:tab w:val="left" w:pos="210"/>
        </w:tabs>
        <w:ind w:left="0" w:firstLine="0"/>
      </w:pPr>
      <w:rPr>
        <w:rFonts w:ascii="宋体" w:eastAsia="宋体" w:hAnsi="宋体" w:cs="宋体" w:hint="eastAsia"/>
      </w:rPr>
    </w:lvl>
    <w:lvl w:ilvl="5">
      <w:start w:val="1"/>
      <w:numFmt w:val="decimal"/>
      <w:lvlText w:val="%1.%2.%3.%4.%5.%6."/>
      <w:lvlJc w:val="left"/>
      <w:pPr>
        <w:tabs>
          <w:tab w:val="left" w:pos="1151"/>
        </w:tabs>
        <w:ind w:left="1151" w:hanging="1151"/>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3"/>
        </w:tabs>
        <w:ind w:left="1583" w:hanging="1583"/>
      </w:pPr>
      <w:rPr>
        <w:rFonts w:hint="eastAsia"/>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isplayBackgroundShape/>
  <w:bordersDoNotSurroundHeader/>
  <w:bordersDoNotSurroundFooter/>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149"/>
    <w:rsid w:val="000321B6"/>
    <w:rsid w:val="0003476A"/>
    <w:rsid w:val="00055C56"/>
    <w:rsid w:val="0008396C"/>
    <w:rsid w:val="000E0D3F"/>
    <w:rsid w:val="001241E8"/>
    <w:rsid w:val="00176048"/>
    <w:rsid w:val="001D6950"/>
    <w:rsid w:val="00215442"/>
    <w:rsid w:val="0028159A"/>
    <w:rsid w:val="002C6DDC"/>
    <w:rsid w:val="003929D9"/>
    <w:rsid w:val="003C6577"/>
    <w:rsid w:val="0043417D"/>
    <w:rsid w:val="00446A93"/>
    <w:rsid w:val="00460FFA"/>
    <w:rsid w:val="00473C68"/>
    <w:rsid w:val="004C3D04"/>
    <w:rsid w:val="005079B9"/>
    <w:rsid w:val="00532108"/>
    <w:rsid w:val="005C68A9"/>
    <w:rsid w:val="006052DD"/>
    <w:rsid w:val="00641C5C"/>
    <w:rsid w:val="00650A79"/>
    <w:rsid w:val="006E681F"/>
    <w:rsid w:val="00703AFD"/>
    <w:rsid w:val="007C0A85"/>
    <w:rsid w:val="00842483"/>
    <w:rsid w:val="009C6908"/>
    <w:rsid w:val="009D3099"/>
    <w:rsid w:val="009E7B9B"/>
    <w:rsid w:val="00A76558"/>
    <w:rsid w:val="00B7243C"/>
    <w:rsid w:val="00B8754F"/>
    <w:rsid w:val="00BE3149"/>
    <w:rsid w:val="00D27694"/>
    <w:rsid w:val="00DD40BE"/>
    <w:rsid w:val="00E04ED8"/>
    <w:rsid w:val="00E873B3"/>
    <w:rsid w:val="00EB0E14"/>
    <w:rsid w:val="00F05701"/>
    <w:rsid w:val="00F3299C"/>
    <w:rsid w:val="00F4609D"/>
    <w:rsid w:val="00FF74E6"/>
    <w:rsid w:val="014D4625"/>
    <w:rsid w:val="01DC112F"/>
    <w:rsid w:val="01F86678"/>
    <w:rsid w:val="022D15A4"/>
    <w:rsid w:val="02380D19"/>
    <w:rsid w:val="032047EC"/>
    <w:rsid w:val="03EF0F68"/>
    <w:rsid w:val="043F7FC4"/>
    <w:rsid w:val="051F6421"/>
    <w:rsid w:val="05470381"/>
    <w:rsid w:val="06C90101"/>
    <w:rsid w:val="06D15558"/>
    <w:rsid w:val="08390248"/>
    <w:rsid w:val="084A3762"/>
    <w:rsid w:val="087026AF"/>
    <w:rsid w:val="087F5981"/>
    <w:rsid w:val="09107AD0"/>
    <w:rsid w:val="091240AB"/>
    <w:rsid w:val="094B2DCA"/>
    <w:rsid w:val="09E03F7D"/>
    <w:rsid w:val="09F33DD0"/>
    <w:rsid w:val="0AD0034B"/>
    <w:rsid w:val="0AF64F0D"/>
    <w:rsid w:val="0C044397"/>
    <w:rsid w:val="0D1F4CD0"/>
    <w:rsid w:val="0D9A128E"/>
    <w:rsid w:val="0F7812F7"/>
    <w:rsid w:val="0F7E6199"/>
    <w:rsid w:val="0FE74D1C"/>
    <w:rsid w:val="10063514"/>
    <w:rsid w:val="10452B67"/>
    <w:rsid w:val="10860B6D"/>
    <w:rsid w:val="1181632B"/>
    <w:rsid w:val="118B7249"/>
    <w:rsid w:val="11D07E07"/>
    <w:rsid w:val="11DA5309"/>
    <w:rsid w:val="121665CB"/>
    <w:rsid w:val="12EC03CE"/>
    <w:rsid w:val="13F45D5A"/>
    <w:rsid w:val="14467430"/>
    <w:rsid w:val="153867FF"/>
    <w:rsid w:val="155B6DDB"/>
    <w:rsid w:val="15BA7E68"/>
    <w:rsid w:val="15D17152"/>
    <w:rsid w:val="168339D9"/>
    <w:rsid w:val="17192D6B"/>
    <w:rsid w:val="171D6CDD"/>
    <w:rsid w:val="17461D47"/>
    <w:rsid w:val="176F1112"/>
    <w:rsid w:val="177873A9"/>
    <w:rsid w:val="17B91B1C"/>
    <w:rsid w:val="17D2330C"/>
    <w:rsid w:val="19CE3838"/>
    <w:rsid w:val="1A076244"/>
    <w:rsid w:val="1A561651"/>
    <w:rsid w:val="1C6D212E"/>
    <w:rsid w:val="1C7E5C21"/>
    <w:rsid w:val="1C8769FD"/>
    <w:rsid w:val="1CC61F19"/>
    <w:rsid w:val="1D1B615D"/>
    <w:rsid w:val="1D465475"/>
    <w:rsid w:val="1D5E7E5F"/>
    <w:rsid w:val="1D6A3BB0"/>
    <w:rsid w:val="1DB05BC4"/>
    <w:rsid w:val="1E191069"/>
    <w:rsid w:val="1F162724"/>
    <w:rsid w:val="1F3C25C1"/>
    <w:rsid w:val="201C7B31"/>
    <w:rsid w:val="20ED3C16"/>
    <w:rsid w:val="224700DF"/>
    <w:rsid w:val="226D1098"/>
    <w:rsid w:val="22946A87"/>
    <w:rsid w:val="22F6774D"/>
    <w:rsid w:val="259A2034"/>
    <w:rsid w:val="25C5310A"/>
    <w:rsid w:val="26353EFB"/>
    <w:rsid w:val="264C1A9D"/>
    <w:rsid w:val="27012F51"/>
    <w:rsid w:val="27216271"/>
    <w:rsid w:val="28FA6455"/>
    <w:rsid w:val="29367CF7"/>
    <w:rsid w:val="29861651"/>
    <w:rsid w:val="29B55529"/>
    <w:rsid w:val="2A1E1287"/>
    <w:rsid w:val="2B050160"/>
    <w:rsid w:val="2BF15C4A"/>
    <w:rsid w:val="2C4C727A"/>
    <w:rsid w:val="2E1924DD"/>
    <w:rsid w:val="2F7B1BB4"/>
    <w:rsid w:val="30355402"/>
    <w:rsid w:val="30EB3632"/>
    <w:rsid w:val="323740AF"/>
    <w:rsid w:val="33413EC8"/>
    <w:rsid w:val="33554436"/>
    <w:rsid w:val="34604CFD"/>
    <w:rsid w:val="34772ADD"/>
    <w:rsid w:val="351A4B95"/>
    <w:rsid w:val="355B2A13"/>
    <w:rsid w:val="358D4A67"/>
    <w:rsid w:val="35F8117C"/>
    <w:rsid w:val="36D706BD"/>
    <w:rsid w:val="37584051"/>
    <w:rsid w:val="37757208"/>
    <w:rsid w:val="37E4758B"/>
    <w:rsid w:val="385413D3"/>
    <w:rsid w:val="385F7EDF"/>
    <w:rsid w:val="3A316D41"/>
    <w:rsid w:val="3A6E672A"/>
    <w:rsid w:val="3A7A6F1E"/>
    <w:rsid w:val="3B194DD7"/>
    <w:rsid w:val="3B4D2A31"/>
    <w:rsid w:val="3B64677C"/>
    <w:rsid w:val="3C0B3F34"/>
    <w:rsid w:val="3C49136C"/>
    <w:rsid w:val="3E086240"/>
    <w:rsid w:val="3E41042A"/>
    <w:rsid w:val="3E642B43"/>
    <w:rsid w:val="3E682C63"/>
    <w:rsid w:val="3F1D6D60"/>
    <w:rsid w:val="3F300537"/>
    <w:rsid w:val="3F654DFF"/>
    <w:rsid w:val="3F95513E"/>
    <w:rsid w:val="4066556A"/>
    <w:rsid w:val="40821F1B"/>
    <w:rsid w:val="40A436F8"/>
    <w:rsid w:val="41BA58A9"/>
    <w:rsid w:val="41ED1EFE"/>
    <w:rsid w:val="42A16F0F"/>
    <w:rsid w:val="434118E3"/>
    <w:rsid w:val="4364349F"/>
    <w:rsid w:val="43AD217F"/>
    <w:rsid w:val="43DD2E53"/>
    <w:rsid w:val="44761469"/>
    <w:rsid w:val="458B72B5"/>
    <w:rsid w:val="46C6468B"/>
    <w:rsid w:val="46D0725A"/>
    <w:rsid w:val="47925F0D"/>
    <w:rsid w:val="4797223C"/>
    <w:rsid w:val="479B1265"/>
    <w:rsid w:val="47C11F07"/>
    <w:rsid w:val="48A04659"/>
    <w:rsid w:val="48AE2974"/>
    <w:rsid w:val="48D11615"/>
    <w:rsid w:val="4A45552A"/>
    <w:rsid w:val="4BD6102D"/>
    <w:rsid w:val="4C9C6B0B"/>
    <w:rsid w:val="4CF72E0A"/>
    <w:rsid w:val="4D0D668F"/>
    <w:rsid w:val="4DD20634"/>
    <w:rsid w:val="4DFA74A7"/>
    <w:rsid w:val="4E007FCD"/>
    <w:rsid w:val="4E0A1174"/>
    <w:rsid w:val="4E3623E0"/>
    <w:rsid w:val="4F632809"/>
    <w:rsid w:val="4F9A7897"/>
    <w:rsid w:val="4F9F2966"/>
    <w:rsid w:val="507706BC"/>
    <w:rsid w:val="50D628CB"/>
    <w:rsid w:val="51CE3145"/>
    <w:rsid w:val="51EB6DCF"/>
    <w:rsid w:val="51F43DFB"/>
    <w:rsid w:val="5214040A"/>
    <w:rsid w:val="5215308E"/>
    <w:rsid w:val="54B30803"/>
    <w:rsid w:val="54CF56D2"/>
    <w:rsid w:val="553E5FE2"/>
    <w:rsid w:val="557C0E2E"/>
    <w:rsid w:val="55AE418F"/>
    <w:rsid w:val="57AE5C45"/>
    <w:rsid w:val="5801790F"/>
    <w:rsid w:val="585D74AD"/>
    <w:rsid w:val="58A6161D"/>
    <w:rsid w:val="58D35C9F"/>
    <w:rsid w:val="5A717E39"/>
    <w:rsid w:val="5A910CBA"/>
    <w:rsid w:val="5BFD7927"/>
    <w:rsid w:val="5D004137"/>
    <w:rsid w:val="5D191106"/>
    <w:rsid w:val="5D683466"/>
    <w:rsid w:val="5ECD0CBA"/>
    <w:rsid w:val="5EEE1974"/>
    <w:rsid w:val="5FBF447D"/>
    <w:rsid w:val="5FF53D41"/>
    <w:rsid w:val="60CA0DE4"/>
    <w:rsid w:val="618A50EB"/>
    <w:rsid w:val="61EE3878"/>
    <w:rsid w:val="622136D2"/>
    <w:rsid w:val="62227EFF"/>
    <w:rsid w:val="62821D6C"/>
    <w:rsid w:val="62F63414"/>
    <w:rsid w:val="6406501C"/>
    <w:rsid w:val="64826984"/>
    <w:rsid w:val="650F02D7"/>
    <w:rsid w:val="654B63A3"/>
    <w:rsid w:val="66123FF3"/>
    <w:rsid w:val="66947BB5"/>
    <w:rsid w:val="66950943"/>
    <w:rsid w:val="66F72652"/>
    <w:rsid w:val="673E235F"/>
    <w:rsid w:val="673F0D45"/>
    <w:rsid w:val="678705FA"/>
    <w:rsid w:val="6805760C"/>
    <w:rsid w:val="68182AFD"/>
    <w:rsid w:val="692D12BE"/>
    <w:rsid w:val="6ACC152B"/>
    <w:rsid w:val="6AD211AF"/>
    <w:rsid w:val="6B0242A5"/>
    <w:rsid w:val="6D521646"/>
    <w:rsid w:val="6D643BB1"/>
    <w:rsid w:val="6E1149F8"/>
    <w:rsid w:val="6E4E39C1"/>
    <w:rsid w:val="6EFF1686"/>
    <w:rsid w:val="6F52577A"/>
    <w:rsid w:val="6FB47993"/>
    <w:rsid w:val="704F29F9"/>
    <w:rsid w:val="71EA107A"/>
    <w:rsid w:val="720C7DC2"/>
    <w:rsid w:val="73226394"/>
    <w:rsid w:val="73830D52"/>
    <w:rsid w:val="73843B20"/>
    <w:rsid w:val="739F538A"/>
    <w:rsid w:val="743D357C"/>
    <w:rsid w:val="748266FC"/>
    <w:rsid w:val="74AC7DBE"/>
    <w:rsid w:val="74BB1228"/>
    <w:rsid w:val="74C652C4"/>
    <w:rsid w:val="7513740C"/>
    <w:rsid w:val="75514582"/>
    <w:rsid w:val="759A4515"/>
    <w:rsid w:val="76092670"/>
    <w:rsid w:val="767D593D"/>
    <w:rsid w:val="769E59C5"/>
    <w:rsid w:val="76CF1DF7"/>
    <w:rsid w:val="770171A7"/>
    <w:rsid w:val="770A7D21"/>
    <w:rsid w:val="78867147"/>
    <w:rsid w:val="78B73442"/>
    <w:rsid w:val="78D775D8"/>
    <w:rsid w:val="78DC3E7D"/>
    <w:rsid w:val="78E41C51"/>
    <w:rsid w:val="7929784F"/>
    <w:rsid w:val="795F3624"/>
    <w:rsid w:val="79935991"/>
    <w:rsid w:val="7A650AF2"/>
    <w:rsid w:val="7B1B3E90"/>
    <w:rsid w:val="7B376CA9"/>
    <w:rsid w:val="7BEB0099"/>
    <w:rsid w:val="7C710949"/>
    <w:rsid w:val="7E4E7602"/>
  </w:rsids>
  <w:docVars>
    <w:docVar w:name="commondata" w:val="eyJoZGlkIjoiNDEzNzkxZjU2NDhkZjliZGU5NGE0ZjAyMzhiYzU1MG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docId w15:val="{5D94A88C-495A-4A65-B749-8D12D0245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uiPriority="0" w:qFormat="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iPriority="0"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qFormat="1"/>
    <w:lsdException w:name="Body Text First Indent" w:uiPriority="0" w:qFormat="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uiPriority="0"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BodyTextFirstIndent2"/>
    <w:qFormat/>
    <w:pPr>
      <w:widowControl w:val="0"/>
      <w:jc w:val="both"/>
    </w:pPr>
    <w:rPr>
      <w:kern w:val="2"/>
      <w:sz w:val="21"/>
      <w:szCs w:val="24"/>
    </w:rPr>
  </w:style>
  <w:style w:type="paragraph" w:styleId="Heading1">
    <w:name w:val="heading 1"/>
    <w:basedOn w:val="Normal"/>
    <w:next w:val="Normal"/>
    <w:qFormat/>
    <w:pPr>
      <w:keepNext/>
      <w:keepLines/>
      <w:numPr>
        <w:numId w:val="1"/>
      </w:numPr>
      <w:spacing w:before="340" w:after="330"/>
      <w:ind w:left="0" w:firstLine="0"/>
      <w:jc w:val="center"/>
      <w:outlineLvl w:val="0"/>
    </w:pPr>
    <w:rPr>
      <w:rFonts w:ascii="Calibri" w:hAnsi="Calibri"/>
      <w:b/>
      <w:kern w:val="44"/>
      <w:sz w:val="44"/>
      <w:szCs w:val="20"/>
    </w:rPr>
  </w:style>
  <w:style w:type="paragraph" w:styleId="Heading2">
    <w:name w:val="heading 2"/>
    <w:basedOn w:val="Normal"/>
    <w:next w:val="Normal"/>
    <w:uiPriority w:val="99"/>
    <w:qFormat/>
    <w:pPr>
      <w:keepNext/>
      <w:keepLines/>
      <w:snapToGrid w:val="0"/>
      <w:spacing w:beforeLines="50" w:line="300" w:lineRule="auto"/>
      <w:ind w:firstLine="200" w:firstLineChars="200"/>
      <w:outlineLvl w:val="1"/>
    </w:pPr>
    <w:rPr>
      <w:rFonts w:ascii="Arial" w:hAnsi="Arial"/>
      <w:b/>
      <w:bCs/>
      <w:szCs w:val="32"/>
    </w:rPr>
  </w:style>
  <w:style w:type="paragraph" w:styleId="Heading3">
    <w:name w:val="heading 3"/>
    <w:basedOn w:val="Normal"/>
    <w:next w:val="Normal"/>
    <w:uiPriority w:val="99"/>
    <w:qFormat/>
    <w:pPr>
      <w:widowControl/>
      <w:autoSpaceDE w:val="0"/>
      <w:autoSpaceDN w:val="0"/>
      <w:snapToGrid w:val="0"/>
      <w:spacing w:line="300" w:lineRule="auto"/>
      <w:ind w:firstLine="200" w:firstLineChars="200"/>
      <w:outlineLvl w:val="2"/>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FirstIndent2">
    <w:name w:val="Body Text First Indent 2"/>
    <w:basedOn w:val="BodyTextIndent"/>
    <w:uiPriority w:val="99"/>
    <w:qFormat/>
    <w:pPr>
      <w:ind w:firstLine="420"/>
    </w:pPr>
  </w:style>
  <w:style w:type="paragraph" w:styleId="BodyTextIndent">
    <w:name w:val="Body Text Indent"/>
    <w:basedOn w:val="Normal"/>
    <w:next w:val="Normal"/>
    <w:link w:val="a2"/>
    <w:uiPriority w:val="99"/>
    <w:qFormat/>
    <w:pPr>
      <w:spacing w:after="120"/>
      <w:ind w:left="420" w:leftChars="200"/>
    </w:pPr>
  </w:style>
  <w:style w:type="paragraph" w:styleId="NormalIndent">
    <w:name w:val="Normal Indent"/>
    <w:basedOn w:val="Normal"/>
    <w:next w:val="TOC2"/>
    <w:qFormat/>
    <w:pPr>
      <w:ind w:firstLine="420"/>
    </w:pPr>
    <w:rPr>
      <w:szCs w:val="20"/>
    </w:rPr>
  </w:style>
  <w:style w:type="paragraph" w:styleId="TOC2">
    <w:name w:val="toc 2"/>
    <w:basedOn w:val="Normal"/>
    <w:next w:val="Normal"/>
    <w:qFormat/>
    <w:pPr>
      <w:tabs>
        <w:tab w:val="right" w:leader="dot" w:pos="10070"/>
      </w:tabs>
      <w:spacing w:line="480" w:lineRule="auto"/>
      <w:ind w:left="200" w:leftChars="200"/>
    </w:pPr>
  </w:style>
  <w:style w:type="paragraph" w:styleId="CommentText">
    <w:name w:val="annotation text"/>
    <w:basedOn w:val="Normal"/>
    <w:link w:val="a7"/>
    <w:qFormat/>
    <w:pPr>
      <w:jc w:val="left"/>
    </w:pPr>
  </w:style>
  <w:style w:type="paragraph" w:styleId="BodyText">
    <w:name w:val="Body Text"/>
    <w:basedOn w:val="Normal"/>
    <w:next w:val="BodyTextFirstIndent"/>
    <w:link w:val="a1"/>
    <w:uiPriority w:val="99"/>
    <w:semiHidden/>
    <w:unhideWhenUsed/>
    <w:qFormat/>
    <w:pPr>
      <w:spacing w:after="120"/>
    </w:pPr>
  </w:style>
  <w:style w:type="paragraph" w:styleId="BodyTextFirstIndent">
    <w:name w:val="Body Text First Indent"/>
    <w:basedOn w:val="BodyText"/>
    <w:next w:val="Normal"/>
    <w:qFormat/>
    <w:pPr>
      <w:ind w:firstLine="420" w:firstLineChars="100"/>
    </w:pPr>
  </w:style>
  <w:style w:type="paragraph" w:styleId="BlockText">
    <w:name w:val="Block Text"/>
    <w:basedOn w:val="Normal"/>
    <w:qFormat/>
    <w:pPr>
      <w:adjustRightInd w:val="0"/>
      <w:snapToGrid w:val="0"/>
      <w:spacing w:line="360" w:lineRule="auto"/>
      <w:ind w:left="567" w:right="-150" w:firstLine="480" w:leftChars="270" w:rightChars="-150" w:firstLineChars="200"/>
    </w:pPr>
    <w:rPr>
      <w:rFonts w:ascii="宋体"/>
      <w:sz w:val="24"/>
    </w:rPr>
  </w:style>
  <w:style w:type="paragraph" w:styleId="PlainText">
    <w:name w:val="Plain Text"/>
    <w:basedOn w:val="Normal"/>
    <w:next w:val="Date"/>
    <w:qFormat/>
    <w:rPr>
      <w:rFonts w:ascii="宋体" w:hAnsi="Courier New" w:cstheme="minorBidi"/>
    </w:rPr>
  </w:style>
  <w:style w:type="paragraph" w:styleId="Date">
    <w:name w:val="Date"/>
    <w:basedOn w:val="Normal"/>
    <w:next w:val="Normal"/>
    <w:uiPriority w:val="99"/>
    <w:qFormat/>
    <w:pPr>
      <w:ind w:left="2500" w:leftChars="2500"/>
    </w:pPr>
    <w:rPr>
      <w:rFonts w:ascii="Calibri" w:eastAsia="楷体_GB2312" w:hAnsi="Calibri"/>
      <w:sz w:val="32"/>
      <w:szCs w:val="22"/>
    </w:rPr>
  </w:style>
  <w:style w:type="paragraph" w:styleId="BalloonText">
    <w:name w:val="Balloon Text"/>
    <w:basedOn w:val="Normal"/>
    <w:link w:val="a3"/>
    <w:uiPriority w:val="99"/>
    <w:semiHidden/>
    <w:unhideWhenUsed/>
    <w:qFormat/>
    <w:rPr>
      <w:sz w:val="18"/>
      <w:szCs w:val="18"/>
    </w:rPr>
  </w:style>
  <w:style w:type="paragraph" w:styleId="Footer">
    <w:name w:val="footer"/>
    <w:basedOn w:val="Normal"/>
    <w:link w:val="a0"/>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HTMLPreformatted">
    <w:name w:val="HTML Preformatted"/>
    <w:basedOn w:val="Normal"/>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NormalWeb">
    <w:name w:val="Normal (Web)"/>
    <w:basedOn w:val="Normal"/>
    <w:uiPriority w:val="99"/>
    <w:qFormat/>
    <w:pPr>
      <w:widowControl/>
      <w:spacing w:before="100" w:beforeAutospacing="1" w:after="100" w:afterAutospacing="1"/>
      <w:jc w:val="left"/>
    </w:pPr>
    <w:rPr>
      <w:rFonts w:ascii="宋体" w:hAnsi="宋体"/>
      <w:kern w:val="0"/>
      <w:sz w:val="24"/>
    </w:rPr>
  </w:style>
  <w:style w:type="paragraph" w:styleId="Title">
    <w:name w:val="Title"/>
    <w:basedOn w:val="Normal"/>
    <w:next w:val="Normal"/>
    <w:uiPriority w:val="10"/>
    <w:qFormat/>
    <w:pPr>
      <w:spacing w:before="240" w:after="60"/>
      <w:jc w:val="center"/>
      <w:outlineLvl w:val="0"/>
    </w:pPr>
    <w:rPr>
      <w:rFonts w:asciiTheme="majorHAnsi" w:hAnsiTheme="majorHAnsi" w:cstheme="majorBidi"/>
      <w:b/>
      <w:bCs/>
      <w:sz w:val="32"/>
      <w:szCs w:val="32"/>
    </w:rPr>
  </w:style>
  <w:style w:type="paragraph" w:styleId="CommentSubject">
    <w:name w:val="annotation subject"/>
    <w:basedOn w:val="CommentText"/>
    <w:next w:val="CommentText"/>
    <w:link w:val="a8"/>
    <w:uiPriority w:val="99"/>
    <w:semiHidden/>
    <w:unhideWhenUsed/>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rFonts w:ascii="Tahoma" w:hAnsi="Tahoma" w:cs="Tahoma"/>
      <w:b/>
      <w:sz w:val="24"/>
    </w:rPr>
  </w:style>
  <w:style w:type="character" w:styleId="PageNumber">
    <w:name w:val="page number"/>
    <w:basedOn w:val="DefaultParagraphFont"/>
    <w:qFormat/>
  </w:style>
  <w:style w:type="character" w:styleId="Hyperlink">
    <w:name w:val="Hyperlink"/>
    <w:unhideWhenUsed/>
    <w:qFormat/>
    <w:rPr>
      <w:color w:val="0000FF"/>
      <w:u w:val="single"/>
    </w:rPr>
  </w:style>
  <w:style w:type="character" w:styleId="CommentReference">
    <w:name w:val="annotation reference"/>
    <w:basedOn w:val="DefaultParagraphFont"/>
    <w:uiPriority w:val="99"/>
    <w:semiHidden/>
    <w:unhideWhenUsed/>
    <w:qFormat/>
    <w:rPr>
      <w:sz w:val="21"/>
      <w:szCs w:val="21"/>
    </w:rPr>
  </w:style>
  <w:style w:type="paragraph" w:customStyle="1" w:styleId="Normal0">
    <w:name w:val="[Normal]"/>
    <w:qFormat/>
    <w:rPr>
      <w:rFonts w:ascii="宋体" w:hAnsi="宋体"/>
      <w:sz w:val="24"/>
      <w:szCs w:val="22"/>
      <w:lang w:val="zh-CN"/>
    </w:rPr>
  </w:style>
  <w:style w:type="paragraph" w:customStyle="1" w:styleId="NormalIndent1">
    <w:name w:val="Normal Indent1"/>
    <w:basedOn w:val="Normal"/>
    <w:qFormat/>
    <w:pPr>
      <w:ind w:firstLine="420" w:firstLineChars="200"/>
    </w:p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character" w:customStyle="1" w:styleId="a1">
    <w:name w:val="正文文本 字符"/>
    <w:basedOn w:val="DefaultParagraphFont"/>
    <w:link w:val="BodyText"/>
    <w:uiPriority w:val="99"/>
    <w:semiHidden/>
    <w:qFormat/>
    <w:rPr>
      <w:rFonts w:ascii="Times New Roman" w:eastAsia="宋体" w:hAnsi="Times New Roman" w:cs="Times New Roman"/>
      <w:szCs w:val="24"/>
    </w:rPr>
  </w:style>
  <w:style w:type="character" w:customStyle="1" w:styleId="a2">
    <w:name w:val="正文文本缩进 字符"/>
    <w:basedOn w:val="DefaultParagraphFont"/>
    <w:link w:val="BodyTextIndent"/>
    <w:uiPriority w:val="99"/>
    <w:qFormat/>
    <w:rPr>
      <w:rFonts w:ascii="Times New Roman" w:eastAsia="宋体" w:hAnsi="Times New Roman" w:cs="Times New Roman"/>
      <w:szCs w:val="24"/>
    </w:rPr>
  </w:style>
  <w:style w:type="character" w:customStyle="1" w:styleId="a3">
    <w:name w:val="批注框文本 字符"/>
    <w:basedOn w:val="DefaultParagraphFont"/>
    <w:link w:val="BalloonText"/>
    <w:uiPriority w:val="99"/>
    <w:semiHidden/>
    <w:qFormat/>
    <w:rPr>
      <w:rFonts w:ascii="Times New Roman" w:eastAsia="宋体" w:hAnsi="Times New Roman" w:cs="Times New Roman"/>
      <w:sz w:val="18"/>
      <w:szCs w:val="18"/>
    </w:rPr>
  </w:style>
  <w:style w:type="character" w:customStyle="1" w:styleId="a4">
    <w:name w:val="无"/>
    <w:uiPriority w:val="99"/>
    <w:qFormat/>
  </w:style>
  <w:style w:type="paragraph" w:customStyle="1" w:styleId="a5">
    <w:name w:val="表格文字"/>
    <w:basedOn w:val="Normal"/>
    <w:next w:val="BodyText"/>
    <w:uiPriority w:val="99"/>
    <w:qFormat/>
    <w:pPr>
      <w:adjustRightInd w:val="0"/>
      <w:spacing w:line="420" w:lineRule="atLeast"/>
      <w:jc w:val="left"/>
      <w:textAlignment w:val="baseline"/>
    </w:pPr>
    <w:rPr>
      <w:kern w:val="0"/>
    </w:rPr>
  </w:style>
  <w:style w:type="paragraph" w:customStyle="1" w:styleId="800">
    <w:name w:val="正文_8_0_0"/>
    <w:uiPriority w:val="99"/>
    <w:qFormat/>
    <w:pPr>
      <w:widowControl w:val="0"/>
      <w:jc w:val="both"/>
    </w:pPr>
    <w:rPr>
      <w:rFonts w:ascii="Calibri" w:hAnsi="Calibri"/>
      <w:kern w:val="2"/>
      <w:sz w:val="21"/>
      <w:szCs w:val="22"/>
    </w:rPr>
  </w:style>
  <w:style w:type="paragraph" w:customStyle="1" w:styleId="100">
    <w:name w:val="正文_10_0"/>
    <w:uiPriority w:val="99"/>
    <w:qFormat/>
    <w:pPr>
      <w:widowControl w:val="0"/>
      <w:jc w:val="both"/>
    </w:pPr>
    <w:rPr>
      <w:rFonts w:ascii="Calibri" w:hAnsi="Calibri"/>
      <w:kern w:val="2"/>
      <w:sz w:val="21"/>
      <w:szCs w:val="22"/>
    </w:rPr>
  </w:style>
  <w:style w:type="paragraph" w:customStyle="1" w:styleId="reader-word-layer">
    <w:name w:val="reader-word-layer"/>
    <w:basedOn w:val="Normal"/>
    <w:uiPriority w:val="99"/>
    <w:qFormat/>
    <w:pPr>
      <w:widowControl/>
      <w:spacing w:before="100" w:beforeAutospacing="1" w:after="100" w:afterAutospacing="1"/>
      <w:jc w:val="left"/>
    </w:pPr>
    <w:rPr>
      <w:rFonts w:ascii="宋体" w:hAnsi="宋体" w:cs="宋体"/>
      <w:kern w:val="0"/>
      <w:sz w:val="24"/>
    </w:rPr>
  </w:style>
  <w:style w:type="paragraph" w:customStyle="1" w:styleId="30">
    <w:name w:val="正文_3_0"/>
    <w:uiPriority w:val="99"/>
    <w:qFormat/>
    <w:pPr>
      <w:widowControl w:val="0"/>
      <w:jc w:val="both"/>
    </w:pPr>
    <w:rPr>
      <w:kern w:val="2"/>
      <w:sz w:val="21"/>
      <w:szCs w:val="24"/>
    </w:rPr>
  </w:style>
  <w:style w:type="paragraph" w:customStyle="1" w:styleId="14">
    <w:name w:val="正文_14"/>
    <w:uiPriority w:val="99"/>
    <w:qFormat/>
    <w:rPr>
      <w:sz w:val="21"/>
      <w:szCs w:val="22"/>
    </w:rPr>
  </w:style>
  <w:style w:type="paragraph" w:customStyle="1" w:styleId="4">
    <w:name w:val="正文_4"/>
    <w:uiPriority w:val="99"/>
    <w:qFormat/>
    <w:pPr>
      <w:widowControl w:val="0"/>
      <w:jc w:val="both"/>
    </w:pPr>
    <w:rPr>
      <w:kern w:val="2"/>
      <w:sz w:val="21"/>
      <w:szCs w:val="24"/>
    </w:rPr>
  </w:style>
  <w:style w:type="paragraph" w:customStyle="1" w:styleId="5">
    <w:name w:val="正文_5"/>
    <w:uiPriority w:val="99"/>
    <w:qFormat/>
    <w:pPr>
      <w:widowControl w:val="0"/>
      <w:jc w:val="both"/>
    </w:pPr>
    <w:rPr>
      <w:kern w:val="2"/>
      <w:sz w:val="21"/>
      <w:szCs w:val="24"/>
    </w:rPr>
  </w:style>
  <w:style w:type="paragraph" w:customStyle="1" w:styleId="10">
    <w:name w:val="正文_10"/>
    <w:uiPriority w:val="99"/>
    <w:qFormat/>
    <w:pPr>
      <w:widowControl w:val="0"/>
      <w:jc w:val="both"/>
    </w:pPr>
    <w:rPr>
      <w:kern w:val="2"/>
      <w:sz w:val="21"/>
      <w:szCs w:val="24"/>
    </w:rPr>
  </w:style>
  <w:style w:type="paragraph" w:customStyle="1" w:styleId="3">
    <w:name w:val="纯文本_3"/>
    <w:basedOn w:val="10"/>
    <w:uiPriority w:val="99"/>
    <w:qFormat/>
    <w:pPr>
      <w:widowControl/>
      <w:jc w:val="left"/>
    </w:pPr>
    <w:rPr>
      <w:rFonts w:ascii="宋体" w:hAnsi="Courier New"/>
      <w:szCs w:val="21"/>
    </w:rPr>
  </w:style>
  <w:style w:type="paragraph" w:customStyle="1" w:styleId="01">
    <w:name w:val="纯文本_0_1"/>
    <w:basedOn w:val="Normal"/>
    <w:uiPriority w:val="99"/>
    <w:qFormat/>
    <w:pPr>
      <w:widowControl/>
      <w:jc w:val="left"/>
    </w:pPr>
    <w:rPr>
      <w:rFonts w:ascii="宋体" w:hAnsi="Courier New"/>
      <w:szCs w:val="21"/>
    </w:rPr>
  </w:style>
  <w:style w:type="paragraph" w:customStyle="1" w:styleId="17">
    <w:name w:val="正文_17"/>
    <w:uiPriority w:val="99"/>
    <w:qFormat/>
    <w:pPr>
      <w:widowControl w:val="0"/>
      <w:jc w:val="both"/>
    </w:pPr>
    <w:rPr>
      <w:kern w:val="2"/>
      <w:sz w:val="21"/>
      <w:szCs w:val="24"/>
    </w:rPr>
  </w:style>
  <w:style w:type="paragraph" w:customStyle="1" w:styleId="20">
    <w:name w:val="正文_2_0"/>
    <w:uiPriority w:val="99"/>
    <w:qFormat/>
    <w:pPr>
      <w:widowControl w:val="0"/>
      <w:jc w:val="both"/>
    </w:pPr>
    <w:rPr>
      <w:kern w:val="2"/>
      <w:sz w:val="21"/>
      <w:szCs w:val="24"/>
    </w:rPr>
  </w:style>
  <w:style w:type="paragraph" w:customStyle="1" w:styleId="6">
    <w:name w:val="正文_6"/>
    <w:uiPriority w:val="99"/>
    <w:qFormat/>
    <w:pPr>
      <w:widowControl w:val="0"/>
      <w:jc w:val="both"/>
    </w:pPr>
    <w:rPr>
      <w:kern w:val="2"/>
      <w:sz w:val="21"/>
      <w:szCs w:val="24"/>
    </w:rPr>
  </w:style>
  <w:style w:type="paragraph" w:customStyle="1" w:styleId="Normal15">
    <w:name w:val="Normal_15"/>
    <w:uiPriority w:val="99"/>
    <w:qFormat/>
    <w:pPr>
      <w:widowControl w:val="0"/>
      <w:jc w:val="both"/>
    </w:pPr>
    <w:rPr>
      <w:rFonts w:ascii="Calibri" w:hAnsi="Calibri"/>
      <w:kern w:val="2"/>
      <w:sz w:val="21"/>
      <w:szCs w:val="22"/>
    </w:rPr>
  </w:style>
  <w:style w:type="paragraph" w:customStyle="1" w:styleId="1">
    <w:name w:val="正文1"/>
    <w:next w:val="Normal"/>
    <w:qFormat/>
    <w:pPr>
      <w:widowControl w:val="0"/>
      <w:adjustRightInd w:val="0"/>
      <w:spacing w:line="240" w:lineRule="atLeast"/>
      <w:jc w:val="both"/>
    </w:pPr>
    <w:rPr>
      <w:rFonts w:ascii="宋体"/>
      <w:sz w:val="34"/>
    </w:rPr>
  </w:style>
  <w:style w:type="paragraph" w:customStyle="1" w:styleId="p0">
    <w:name w:val="p0"/>
    <w:basedOn w:val="Normal"/>
    <w:qFormat/>
    <w:pPr>
      <w:widowControl/>
    </w:pPr>
    <w:rPr>
      <w:rFonts w:ascii="Calibri" w:hAnsi="Calibri" w:cs="宋体"/>
      <w:kern w:val="0"/>
      <w:szCs w:val="21"/>
    </w:rPr>
  </w:style>
  <w:style w:type="paragraph" w:styleId="ListParagraph">
    <w:name w:val="List Paragraph"/>
    <w:basedOn w:val="Normal"/>
    <w:qFormat/>
    <w:pPr>
      <w:ind w:firstLine="420" w:firstLineChars="200"/>
    </w:pPr>
  </w:style>
  <w:style w:type="paragraph" w:customStyle="1" w:styleId="2">
    <w:name w:val="正文（首行缩进2字符）"/>
    <w:basedOn w:val="Normal"/>
    <w:qFormat/>
    <w:pPr>
      <w:ind w:firstLine="480" w:firstLineChars="200"/>
    </w:pPr>
    <w:rPr>
      <w:sz w:val="24"/>
      <w:szCs w:val="20"/>
    </w:rPr>
  </w:style>
  <w:style w:type="paragraph" w:customStyle="1" w:styleId="ssfa">
    <w:name w:val="ssfa 正文"/>
    <w:basedOn w:val="Normal"/>
    <w:qFormat/>
    <w:pPr>
      <w:spacing w:line="360" w:lineRule="auto"/>
      <w:ind w:firstLine="200" w:firstLineChars="200"/>
    </w:pPr>
    <w:rPr>
      <w:kern w:val="0"/>
      <w:sz w:val="24"/>
      <w:szCs w:val="28"/>
      <w:lang w:val="zh-CN"/>
    </w:rPr>
  </w:style>
  <w:style w:type="character" w:customStyle="1" w:styleId="NormalCharacter">
    <w:name w:val="NormalCharacter"/>
    <w:semiHidden/>
    <w:qFormat/>
  </w:style>
  <w:style w:type="paragraph" w:customStyle="1" w:styleId="BodyTextFirstIndentCharChar">
    <w:name w:val="Body Text First Indent Char Char"/>
    <w:basedOn w:val="Normal"/>
    <w:qFormat/>
    <w:pPr>
      <w:spacing w:after="120"/>
      <w:ind w:firstLine="100" w:firstLineChars="100"/>
    </w:pPr>
    <w:rPr>
      <w:rFonts w:cs="宋体"/>
      <w:szCs w:val="21"/>
    </w:rPr>
  </w:style>
  <w:style w:type="paragraph" w:customStyle="1" w:styleId="11">
    <w:name w:val="列出段落1"/>
    <w:basedOn w:val="Normal"/>
    <w:uiPriority w:val="34"/>
    <w:qFormat/>
    <w:pPr>
      <w:ind w:firstLine="420" w:firstLineChars="200"/>
    </w:pPr>
  </w:style>
  <w:style w:type="paragraph" w:customStyle="1" w:styleId="a6">
    <w:name w:val="表格内容"/>
    <w:basedOn w:val="Normal"/>
    <w:next w:val="Normal"/>
    <w:qFormat/>
    <w:pPr>
      <w:adjustRightInd w:val="0"/>
      <w:snapToGrid w:val="0"/>
      <w:jc w:val="center"/>
      <w:textAlignment w:val="baseline"/>
    </w:pPr>
    <w:rPr>
      <w:rFonts w:ascii="Calibri" w:hAnsi="Calibri" w:cs="黑体"/>
      <w:color w:val="000000"/>
      <w:szCs w:val="22"/>
    </w:rPr>
  </w:style>
  <w:style w:type="paragraph" w:customStyle="1" w:styleId="TableParagraph">
    <w:name w:val="Table Paragraph"/>
    <w:basedOn w:val="Normal"/>
    <w:uiPriority w:val="1"/>
    <w:qFormat/>
    <w:pPr>
      <w:jc w:val="left"/>
    </w:pPr>
    <w:rPr>
      <w:kern w:val="0"/>
      <w:sz w:val="22"/>
      <w:lang w:eastAsia="en-US"/>
    </w:rPr>
  </w:style>
  <w:style w:type="character" w:customStyle="1" w:styleId="a7">
    <w:name w:val="批注文字 字符"/>
    <w:basedOn w:val="DefaultParagraphFont"/>
    <w:link w:val="CommentText"/>
    <w:qFormat/>
    <w:rPr>
      <w:kern w:val="2"/>
      <w:sz w:val="21"/>
      <w:szCs w:val="24"/>
    </w:rPr>
  </w:style>
  <w:style w:type="character" w:customStyle="1" w:styleId="a8">
    <w:name w:val="批注主题 字符"/>
    <w:basedOn w:val="a7"/>
    <w:link w:val="CommentSubject"/>
    <w:uiPriority w:val="99"/>
    <w:semiHidden/>
    <w:qFormat/>
    <w:rPr>
      <w:b/>
      <w:bCs/>
      <w:kern w:val="2"/>
      <w:sz w:val="21"/>
      <w:szCs w:val="24"/>
    </w:rPr>
  </w:style>
  <w:style w:type="paragraph" w:customStyle="1" w:styleId="12">
    <w:name w:val="正文首行缩进1"/>
    <w:basedOn w:val="BodyText"/>
    <w:qFormat/>
    <w:pPr>
      <w:ind w:firstLine="420" w:firstLineChars="100"/>
    </w:pPr>
  </w:style>
  <w:style w:type="paragraph" w:customStyle="1" w:styleId="13">
    <w:name w:val="纯文本1"/>
    <w:basedOn w:val="1"/>
    <w:qFormat/>
    <w:pPr>
      <w:widowControl/>
      <w:jc w:val="left"/>
    </w:pPr>
    <w:rPr>
      <w:rFonts w:hAnsi="Courier New"/>
    </w:rPr>
  </w:style>
  <w:style w:type="paragraph" w:customStyle="1" w:styleId="21">
    <w:name w:val="正文2"/>
    <w:basedOn w:val="Normal"/>
    <w:qFormat/>
    <w:pPr>
      <w:spacing w:before="156" w:line="360" w:lineRule="auto"/>
      <w:ind w:firstLine="510" w:firstLineChars="200"/>
    </w:pPr>
    <w:rPr>
      <w:sz w:val="24"/>
      <w:szCs w:val="20"/>
    </w:rPr>
  </w:style>
  <w:style w:type="paragraph" w:customStyle="1" w:styleId="Bodytext1">
    <w:name w:val="Body text|1"/>
    <w:basedOn w:val="Normal"/>
    <w:qFormat/>
    <w:pPr>
      <w:spacing w:line="430" w:lineRule="auto"/>
      <w:ind w:firstLine="320"/>
    </w:pPr>
    <w:rPr>
      <w:rFonts w:ascii="宋体" w:hAnsi="宋体" w:cs="宋体"/>
      <w:sz w:val="22"/>
      <w:szCs w:val="22"/>
      <w:lang w:val="zh-TW" w:eastAsia="zh-TW" w:bidi="zh-TW"/>
    </w:rPr>
  </w:style>
  <w:style w:type="table" w:customStyle="1" w:styleId="TableGrid0">
    <w:name w:val="Table Grid_0"/>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yperlink" Target="http://zfcg.czt.zj.gov.cn/bidClientTemplate/2019-05-27/12945.html" TargetMode="External" /><Relationship Id="rId15" Type="http://schemas.openxmlformats.org/officeDocument/2006/relationships/hyperlink" Target="https://service.zcygov.cn/" TargetMode="External" /><Relationship Id="rId16" Type="http://schemas.openxmlformats.org/officeDocument/2006/relationships/header" Target="header5.xml" /><Relationship Id="rId17" Type="http://schemas.openxmlformats.org/officeDocument/2006/relationships/footer" Target="footer5.xml" /><Relationship Id="rId18" Type="http://schemas.openxmlformats.org/officeDocument/2006/relationships/header" Target="header6.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footer" Target="footer7.xml" /><Relationship Id="rId22" Type="http://schemas.openxmlformats.org/officeDocument/2006/relationships/header" Target="header8.xml" /><Relationship Id="rId23" Type="http://schemas.openxmlformats.org/officeDocument/2006/relationships/footer" Target="footer8.xml" /><Relationship Id="rId24" Type="http://schemas.openxmlformats.org/officeDocument/2006/relationships/hyperlink" Target="http://www.zjzfcg.gov.cn/new/" TargetMode="Externa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2.xml" /><Relationship Id="rId32" Type="http://schemas.openxmlformats.org/officeDocument/2006/relationships/footer" Target="footer12.xml" /><Relationship Id="rId33" Type="http://schemas.openxmlformats.org/officeDocument/2006/relationships/header" Target="header13.xml" /><Relationship Id="rId34" Type="http://schemas.openxmlformats.org/officeDocument/2006/relationships/footer" Target="footer13.xml" /><Relationship Id="rId35" Type="http://schemas.openxmlformats.org/officeDocument/2006/relationships/header" Target="header14.xml" /><Relationship Id="rId36" Type="http://schemas.openxmlformats.org/officeDocument/2006/relationships/footer" Target="footer14.xml" /><Relationship Id="rId37" Type="http://schemas.openxmlformats.org/officeDocument/2006/relationships/header" Target="header15.xml" /><Relationship Id="rId38" Type="http://schemas.openxmlformats.org/officeDocument/2006/relationships/footer" Target="footer15.xml" /><Relationship Id="rId39" Type="http://schemas.openxmlformats.org/officeDocument/2006/relationships/header" Target="header16.xml" /><Relationship Id="rId4" Type="http://schemas.openxmlformats.org/officeDocument/2006/relationships/customXml" Target="../customXml/item1.xml" /><Relationship Id="rId40" Type="http://schemas.openxmlformats.org/officeDocument/2006/relationships/footer" Target="footer16.xml" /><Relationship Id="rId41" Type="http://schemas.openxmlformats.org/officeDocument/2006/relationships/header" Target="header17.xml" /><Relationship Id="rId42" Type="http://schemas.openxmlformats.org/officeDocument/2006/relationships/footer" Target="footer17.xml"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header" Target="header19.xml" /><Relationship Id="rId46" Type="http://schemas.openxmlformats.org/officeDocument/2006/relationships/footer" Target="footer19.xml" /><Relationship Id="rId47" Type="http://schemas.openxmlformats.org/officeDocument/2006/relationships/header" Target="header20.xml" /><Relationship Id="rId48" Type="http://schemas.openxmlformats.org/officeDocument/2006/relationships/footer" Target="footer20.xml" /><Relationship Id="rId49" Type="http://schemas.openxmlformats.org/officeDocument/2006/relationships/header" Target="header21.xml" /><Relationship Id="rId5" Type="http://schemas.openxmlformats.org/officeDocument/2006/relationships/image" Target="media/image1.png" /><Relationship Id="rId50" Type="http://schemas.openxmlformats.org/officeDocument/2006/relationships/footer" Target="footer21.xml" /><Relationship Id="rId51" Type="http://schemas.openxmlformats.org/officeDocument/2006/relationships/header" Target="header22.xml" /><Relationship Id="rId52" Type="http://schemas.openxmlformats.org/officeDocument/2006/relationships/footer" Target="footer22.xml" /><Relationship Id="rId53" Type="http://schemas.openxmlformats.org/officeDocument/2006/relationships/header" Target="header23.xml" /><Relationship Id="rId54" Type="http://schemas.openxmlformats.org/officeDocument/2006/relationships/footer" Target="footer23.xml" /><Relationship Id="rId55" Type="http://schemas.openxmlformats.org/officeDocument/2006/relationships/header" Target="header24.xml" /><Relationship Id="rId56" Type="http://schemas.openxmlformats.org/officeDocument/2006/relationships/footer" Target="footer24.xml" /><Relationship Id="rId57" Type="http://schemas.openxmlformats.org/officeDocument/2006/relationships/header" Target="header25.xml" /><Relationship Id="rId58" Type="http://schemas.openxmlformats.org/officeDocument/2006/relationships/footer" Target="footer25.xml" /><Relationship Id="rId59" Type="http://schemas.openxmlformats.org/officeDocument/2006/relationships/header" Target="header26.xml" /><Relationship Id="rId6" Type="http://schemas.openxmlformats.org/officeDocument/2006/relationships/header" Target="header1.xml" /><Relationship Id="rId60" Type="http://schemas.openxmlformats.org/officeDocument/2006/relationships/footer" Target="footer26.xml" /><Relationship Id="rId61" Type="http://schemas.openxmlformats.org/officeDocument/2006/relationships/header" Target="header27.xml" /><Relationship Id="rId62" Type="http://schemas.openxmlformats.org/officeDocument/2006/relationships/footer" Target="footer27.xml" /><Relationship Id="rId63" Type="http://schemas.openxmlformats.org/officeDocument/2006/relationships/hyperlink" Target="https://d.book118.com/698062113110006030" TargetMode="External" /><Relationship Id="rId64" Type="http://schemas.openxmlformats.org/officeDocument/2006/relationships/header" Target="header28.xml" /><Relationship Id="rId65" Type="http://schemas.openxmlformats.org/officeDocument/2006/relationships/footer" Target="footer28.xml" /><Relationship Id="rId66" Type="http://schemas.openxmlformats.org/officeDocument/2006/relationships/theme" Target="theme/theme1.xml" /><Relationship Id="rId67" Type="http://schemas.openxmlformats.org/officeDocument/2006/relationships/numbering" Target="numbering.xml" /><Relationship Id="rId68" Type="http://schemas.openxmlformats.org/officeDocument/2006/relationships/styles" Target="styles.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5974</Words>
  <Characters>34055</Characters>
  <Application>Microsoft Office Word</Application>
  <DocSecurity>0</DocSecurity>
  <Lines>283</Lines>
  <Paragraphs>79</Paragraphs>
  <ScaleCrop>false</ScaleCrop>
  <Company>Microsoft</Company>
  <LinksUpToDate>false</LinksUpToDate>
  <CharactersWithSpaces>39950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苏彬</dc:creator>
  <cp:lastModifiedBy>Administrator</cp:lastModifiedBy>
  <cp:revision>20</cp:revision>
  <cp:lastPrinted>2020-11-27T08:28:00Z</cp:lastPrinted>
  <dcterms:created xsi:type="dcterms:W3CDTF">2020-03-20T03:00:00Z</dcterms:created>
  <dcterms:modified xsi:type="dcterms:W3CDTF">2024-01-23T08:47:00Z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ondata">
    <vt:lpwstr>eyJoZGlkIjoiNmNiNWQzMTIyZDkyNWQ5MzYxMmQ5MTE1ZmU3YjE0M2QifQ==</vt:lpwstr>
  </property>
  <property fmtid="{D5CDD505-2E9C-101B-9397-08002B2CF9AE}" pid="3" name="ICV">
    <vt:lpwstr>55E178D15D2D4DF18B0988F9AA8744E4</vt:lpwstr>
  </property>
  <property fmtid="{D5CDD505-2E9C-101B-9397-08002B2CF9AE}" pid="4" name="KSOProductBuildVer">
    <vt:lpwstr>2052-12.1.0.15712</vt:lpwstr>
  </property>
</Properties>
</file>