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TOC10"/>
        <w:spacing w:after="312" w:afterLines="100"/>
        <w:jc w:val="center"/>
        <w:rPr>
          <w:rFonts w:asciiTheme="minorEastAsia" w:eastAsiaTheme="minorEastAsia" w:hAnsiTheme="minorEastAsia"/>
          <w:color w:val="auto"/>
          <w:sz w:val="32"/>
          <w:szCs w:val="32"/>
        </w:rPr>
      </w:pPr>
      <w:r>
        <w:rPr>
          <w:rFonts w:asciiTheme="minorEastAsia" w:eastAsiaTheme="minorEastAsia" w:hAnsiTheme="minorEastAsia" w:hint="eastAsia"/>
          <w:color w:val="auto"/>
          <w:sz w:val="32"/>
          <w:szCs w:val="32"/>
          <w:lang w:val="zh-CN"/>
        </w:rPr>
        <w:t>目 录</w:t>
      </w:r>
    </w:p>
    <w:p>
      <w:pPr>
        <w:pStyle w:val="TOC1"/>
        <w:tabs>
          <w:tab w:val="right" w:leader="dot" w:pos="8302"/>
        </w:tabs>
        <w:spacing w:after="0" w:line="360" w:lineRule="auto"/>
        <w:jc w:val="both"/>
        <w:rPr>
          <w:rFonts w:asciiTheme="minorEastAsia" w:eastAsiaTheme="minorEastAsia" w:hAnsiTheme="minorEastAsia" w:cstheme="minorBidi"/>
          <w:kern w:val="2"/>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TOC \o "1-3" \h \z \u </w:instrText>
      </w:r>
      <w:r>
        <w:rPr>
          <w:rFonts w:asciiTheme="minorEastAsia" w:eastAsiaTheme="minorEastAsia" w:hAnsiTheme="minorEastAsia"/>
          <w:sz w:val="28"/>
          <w:szCs w:val="28"/>
        </w:rPr>
        <w:fldChar w:fldCharType="separate"/>
      </w:r>
      <w:hyperlink w:anchor="_Toc36740663" w:history="1">
        <w:r>
          <w:rPr>
            <w:rStyle w:val="Hyperlink"/>
            <w:rFonts w:asciiTheme="minorEastAsia" w:eastAsiaTheme="minorEastAsia" w:hAnsiTheme="minorEastAsia" w:hint="eastAsia"/>
            <w:b/>
            <w:sz w:val="28"/>
            <w:szCs w:val="28"/>
          </w:rPr>
          <w:t>摘</w:t>
        </w:r>
        <w:r>
          <w:rPr>
            <w:rStyle w:val="Hyperlink"/>
            <w:rFonts w:asciiTheme="minorEastAsia" w:eastAsiaTheme="minorEastAsia" w:hAnsiTheme="minorEastAsia"/>
            <w:b/>
            <w:sz w:val="28"/>
            <w:szCs w:val="28"/>
          </w:rPr>
          <w:t xml:space="preserve"> </w:t>
        </w:r>
        <w:r>
          <w:rPr>
            <w:rStyle w:val="Hyperlink"/>
            <w:rFonts w:asciiTheme="minorEastAsia" w:eastAsiaTheme="minorEastAsia" w:hAnsiTheme="minorEastAsia" w:hint="eastAsia"/>
            <w:b/>
            <w:sz w:val="28"/>
            <w:szCs w:val="28"/>
          </w:rPr>
          <w:t>要</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_Toc36740663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I</w:t>
        </w:r>
        <w:r>
          <w:rPr>
            <w:rFonts w:asciiTheme="minorEastAsia" w:eastAsiaTheme="minorEastAsia" w:hAnsiTheme="minorEastAsia"/>
            <w:sz w:val="28"/>
            <w:szCs w:val="28"/>
          </w:rPr>
          <w:fldChar w:fldCharType="end"/>
        </w:r>
      </w:hyperlink>
    </w:p>
    <w:p>
      <w:pPr>
        <w:pStyle w:val="TOC1"/>
        <w:tabs>
          <w:tab w:val="right" w:leader="dot" w:pos="8302"/>
        </w:tabs>
        <w:spacing w:after="0" w:line="360" w:lineRule="auto"/>
        <w:jc w:val="both"/>
        <w:rPr>
          <w:rFonts w:asciiTheme="minorEastAsia" w:eastAsiaTheme="minorEastAsia" w:hAnsiTheme="minorEastAsia" w:cstheme="minorBidi"/>
          <w:kern w:val="2"/>
          <w:sz w:val="28"/>
          <w:szCs w:val="28"/>
        </w:rPr>
      </w:pPr>
      <w:hyperlink w:anchor="_Toc36740664" w:history="1">
        <w:r>
          <w:rPr>
            <w:rStyle w:val="Hyperlink"/>
            <w:rFonts w:asciiTheme="minorEastAsia" w:eastAsiaTheme="minorEastAsia" w:hAnsiTheme="minorEastAsia"/>
            <w:b/>
            <w:sz w:val="28"/>
            <w:szCs w:val="28"/>
          </w:rPr>
          <w:t>Abstract</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_Toc36740664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II</w:t>
        </w:r>
        <w:r>
          <w:rPr>
            <w:rFonts w:asciiTheme="minorEastAsia" w:eastAsiaTheme="minorEastAsia" w:hAnsiTheme="minorEastAsia"/>
            <w:sz w:val="28"/>
            <w:szCs w:val="28"/>
          </w:rPr>
          <w:fldChar w:fldCharType="end"/>
        </w:r>
      </w:hyperlink>
    </w:p>
    <w:p>
      <w:pPr>
        <w:pStyle w:val="TOC1"/>
        <w:tabs>
          <w:tab w:val="right" w:leader="dot" w:pos="8302"/>
        </w:tabs>
        <w:spacing w:after="0" w:line="360" w:lineRule="auto"/>
        <w:jc w:val="both"/>
        <w:rPr>
          <w:rFonts w:asciiTheme="minorEastAsia" w:eastAsiaTheme="minorEastAsia" w:hAnsiTheme="minorEastAsia" w:cstheme="minorBidi"/>
          <w:kern w:val="2"/>
          <w:sz w:val="28"/>
          <w:szCs w:val="28"/>
        </w:rPr>
      </w:pPr>
      <w:hyperlink w:anchor="_Toc36740665" w:history="1">
        <w:r>
          <w:rPr>
            <w:rStyle w:val="Hyperlink"/>
            <w:rFonts w:asciiTheme="minorEastAsia" w:eastAsiaTheme="minorEastAsia" w:hAnsiTheme="minorEastAsia" w:hint="eastAsia"/>
            <w:b/>
            <w:sz w:val="28"/>
            <w:szCs w:val="28"/>
          </w:rPr>
          <w:t>前言</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_Toc36740665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w:t>
        </w:r>
        <w:r>
          <w:rPr>
            <w:rFonts w:asciiTheme="minorEastAsia" w:eastAsiaTheme="minorEastAsia" w:hAnsiTheme="minorEastAsia"/>
            <w:sz w:val="28"/>
            <w:szCs w:val="28"/>
          </w:rPr>
          <w:fldChar w:fldCharType="end"/>
        </w:r>
      </w:hyperlink>
    </w:p>
    <w:p>
      <w:pPr>
        <w:pStyle w:val="TOC1"/>
        <w:tabs>
          <w:tab w:val="right" w:leader="dot" w:pos="8302"/>
        </w:tabs>
        <w:spacing w:after="0" w:line="360" w:lineRule="auto"/>
        <w:jc w:val="both"/>
        <w:rPr>
          <w:rFonts w:asciiTheme="minorEastAsia" w:eastAsiaTheme="minorEastAsia" w:hAnsiTheme="minorEastAsia" w:cstheme="minorBidi"/>
          <w:kern w:val="2"/>
          <w:sz w:val="28"/>
          <w:szCs w:val="28"/>
        </w:rPr>
      </w:pPr>
      <w:hyperlink w:anchor="_Toc36740667" w:history="1">
        <w:r>
          <w:rPr>
            <w:rStyle w:val="Hyperlink"/>
            <w:rFonts w:asciiTheme="minorEastAsia" w:eastAsiaTheme="minorEastAsia" w:hAnsiTheme="minorEastAsia" w:hint="eastAsia"/>
            <w:b/>
            <w:sz w:val="28"/>
            <w:szCs w:val="28"/>
          </w:rPr>
          <w:t>一、相关概念及理论基础</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_Toc36740667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2</w:t>
        </w:r>
        <w:r>
          <w:rPr>
            <w:rFonts w:asciiTheme="minorEastAsia" w:eastAsiaTheme="minorEastAsia" w:hAnsiTheme="minorEastAsia"/>
            <w:sz w:val="28"/>
            <w:szCs w:val="28"/>
          </w:rPr>
          <w:fldChar w:fldCharType="end"/>
        </w:r>
      </w:hyperlink>
    </w:p>
    <w:p>
      <w:pPr>
        <w:pStyle w:val="TOC2"/>
        <w:tabs>
          <w:tab w:val="right" w:leader="dot" w:pos="8302"/>
        </w:tabs>
        <w:spacing w:after="0" w:line="360" w:lineRule="auto"/>
        <w:ind w:left="440"/>
        <w:jc w:val="both"/>
        <w:rPr>
          <w:rFonts w:asciiTheme="minorEastAsia" w:eastAsiaTheme="minorEastAsia" w:hAnsiTheme="minorEastAsia" w:cstheme="minorBidi"/>
          <w:kern w:val="2"/>
          <w:sz w:val="21"/>
          <w:szCs w:val="21"/>
        </w:rPr>
      </w:pPr>
      <w:hyperlink w:anchor="_Toc36740668" w:history="1">
        <w:r>
          <w:rPr>
            <w:rStyle w:val="Hyperlink"/>
            <w:rFonts w:asciiTheme="minorEastAsia" w:eastAsiaTheme="minorEastAsia" w:hAnsiTheme="minorEastAsia" w:hint="eastAsia"/>
            <w:bCs/>
            <w:sz w:val="21"/>
            <w:szCs w:val="21"/>
          </w:rPr>
          <w:t>（一）财务报表分析的概念</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_Toc36740668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2</w:t>
        </w:r>
        <w:r>
          <w:rPr>
            <w:rFonts w:asciiTheme="minorEastAsia" w:eastAsiaTheme="minorEastAsia" w:hAnsiTheme="minorEastAsia"/>
            <w:sz w:val="21"/>
            <w:szCs w:val="21"/>
          </w:rPr>
          <w:fldChar w:fldCharType="end"/>
        </w:r>
      </w:hyperlink>
    </w:p>
    <w:p>
      <w:pPr>
        <w:pStyle w:val="TOC2"/>
        <w:tabs>
          <w:tab w:val="right" w:leader="dot" w:pos="8302"/>
        </w:tabs>
        <w:spacing w:after="0" w:line="360" w:lineRule="auto"/>
        <w:ind w:left="440"/>
        <w:jc w:val="both"/>
        <w:rPr>
          <w:rFonts w:asciiTheme="minorEastAsia" w:eastAsiaTheme="minorEastAsia" w:hAnsiTheme="minorEastAsia" w:cstheme="minorBidi"/>
          <w:kern w:val="2"/>
          <w:sz w:val="21"/>
          <w:szCs w:val="21"/>
        </w:rPr>
      </w:pPr>
      <w:hyperlink w:anchor="_Toc36740669" w:history="1">
        <w:r>
          <w:rPr>
            <w:rStyle w:val="Hyperlink"/>
            <w:rFonts w:asciiTheme="minorEastAsia" w:eastAsiaTheme="minorEastAsia" w:hAnsiTheme="minorEastAsia" w:hint="eastAsia"/>
            <w:bCs/>
            <w:sz w:val="21"/>
            <w:szCs w:val="21"/>
          </w:rPr>
          <w:t>（二）财务报表分析的原则</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_Toc36740669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2</w:t>
        </w:r>
        <w:r>
          <w:rPr>
            <w:rFonts w:asciiTheme="minorEastAsia" w:eastAsiaTheme="minorEastAsia" w:hAnsiTheme="minorEastAsia"/>
            <w:sz w:val="21"/>
            <w:szCs w:val="21"/>
          </w:rPr>
          <w:fldChar w:fldCharType="end"/>
        </w:r>
      </w:hyperlink>
    </w:p>
    <w:p>
      <w:pPr>
        <w:pStyle w:val="TOC1"/>
        <w:tabs>
          <w:tab w:val="right" w:leader="dot" w:pos="8302"/>
        </w:tabs>
        <w:spacing w:after="0" w:line="360" w:lineRule="auto"/>
        <w:jc w:val="both"/>
        <w:rPr>
          <w:rFonts w:asciiTheme="minorEastAsia" w:eastAsiaTheme="minorEastAsia" w:hAnsiTheme="minorEastAsia" w:cstheme="minorBidi"/>
          <w:kern w:val="2"/>
          <w:sz w:val="28"/>
          <w:szCs w:val="28"/>
        </w:rPr>
      </w:pPr>
      <w:hyperlink w:anchor="_Toc36740670" w:history="1">
        <w:r>
          <w:rPr>
            <w:rStyle w:val="Hyperlink"/>
            <w:rFonts w:asciiTheme="minorEastAsia" w:eastAsiaTheme="minorEastAsia" w:hAnsiTheme="minorEastAsia" w:hint="eastAsia"/>
            <w:b/>
            <w:sz w:val="28"/>
            <w:szCs w:val="28"/>
          </w:rPr>
          <w:t>二、好未来教育集团有限公司财务分析</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_Toc36740670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3</w:t>
        </w:r>
        <w:r>
          <w:rPr>
            <w:rFonts w:asciiTheme="minorEastAsia" w:eastAsiaTheme="minorEastAsia" w:hAnsiTheme="minorEastAsia"/>
            <w:sz w:val="28"/>
            <w:szCs w:val="28"/>
          </w:rPr>
          <w:fldChar w:fldCharType="end"/>
        </w:r>
      </w:hyperlink>
    </w:p>
    <w:p>
      <w:pPr>
        <w:pStyle w:val="TOC2"/>
        <w:tabs>
          <w:tab w:val="right" w:leader="dot" w:pos="8302"/>
        </w:tabs>
        <w:spacing w:after="0" w:line="360" w:lineRule="auto"/>
        <w:ind w:left="440"/>
        <w:jc w:val="both"/>
        <w:rPr>
          <w:rFonts w:asciiTheme="minorEastAsia" w:eastAsiaTheme="minorEastAsia" w:hAnsiTheme="minorEastAsia" w:cstheme="minorBidi"/>
          <w:kern w:val="2"/>
          <w:sz w:val="21"/>
          <w:szCs w:val="21"/>
        </w:rPr>
      </w:pPr>
      <w:hyperlink w:anchor="_Toc36740671" w:history="1">
        <w:r>
          <w:rPr>
            <w:rStyle w:val="Hyperlink"/>
            <w:rFonts w:asciiTheme="minorEastAsia" w:eastAsiaTheme="minorEastAsia" w:hAnsiTheme="minorEastAsia" w:hint="eastAsia"/>
            <w:bCs/>
            <w:sz w:val="21"/>
            <w:szCs w:val="21"/>
          </w:rPr>
          <w:t>（一）好未来教育公司简介</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_Toc36740671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3</w:t>
        </w:r>
        <w:r>
          <w:rPr>
            <w:rFonts w:asciiTheme="minorEastAsia" w:eastAsiaTheme="minorEastAsia" w:hAnsiTheme="minorEastAsia"/>
            <w:sz w:val="21"/>
            <w:szCs w:val="21"/>
          </w:rPr>
          <w:fldChar w:fldCharType="end"/>
        </w:r>
      </w:hyperlink>
    </w:p>
    <w:p>
      <w:pPr>
        <w:pStyle w:val="TOC2"/>
        <w:tabs>
          <w:tab w:val="right" w:leader="dot" w:pos="8302"/>
        </w:tabs>
        <w:spacing w:after="0" w:line="360" w:lineRule="auto"/>
        <w:ind w:left="440"/>
        <w:jc w:val="both"/>
        <w:rPr>
          <w:rFonts w:asciiTheme="minorEastAsia" w:eastAsiaTheme="minorEastAsia" w:hAnsiTheme="minorEastAsia" w:cstheme="minorBidi"/>
          <w:kern w:val="2"/>
          <w:sz w:val="21"/>
          <w:szCs w:val="21"/>
        </w:rPr>
      </w:pPr>
      <w:hyperlink w:anchor="_Toc36740672" w:history="1">
        <w:r>
          <w:rPr>
            <w:rStyle w:val="Hyperlink"/>
            <w:rFonts w:asciiTheme="minorEastAsia" w:eastAsiaTheme="minorEastAsia" w:hAnsiTheme="minorEastAsia" w:hint="eastAsia"/>
            <w:bCs/>
            <w:sz w:val="21"/>
            <w:szCs w:val="21"/>
          </w:rPr>
          <w:t>（二）好未来教育财务报表综合分析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_Toc36740672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3</w:t>
        </w:r>
        <w:r>
          <w:rPr>
            <w:rFonts w:asciiTheme="minorEastAsia" w:eastAsiaTheme="minorEastAsia" w:hAnsiTheme="minorEastAsia"/>
            <w:sz w:val="21"/>
            <w:szCs w:val="21"/>
          </w:rPr>
          <w:fldChar w:fldCharType="end"/>
        </w:r>
      </w:hyperlink>
    </w:p>
    <w:p>
      <w:pPr>
        <w:pStyle w:val="TOC3"/>
        <w:tabs>
          <w:tab w:val="right" w:leader="dot" w:pos="8302"/>
        </w:tabs>
        <w:spacing w:after="0" w:line="360" w:lineRule="auto"/>
        <w:ind w:left="880"/>
        <w:jc w:val="both"/>
        <w:rPr>
          <w:rFonts w:asciiTheme="minorEastAsia" w:eastAsiaTheme="minorEastAsia" w:hAnsiTheme="minorEastAsia" w:cstheme="minorBidi"/>
          <w:kern w:val="2"/>
          <w:sz w:val="21"/>
          <w:szCs w:val="21"/>
        </w:rPr>
      </w:pPr>
      <w:hyperlink w:anchor="_Toc36740674" w:history="1">
        <w:r>
          <w:rPr>
            <w:rStyle w:val="Hyperlink"/>
            <w:rFonts w:asciiTheme="minorEastAsia" w:eastAsiaTheme="minorEastAsia" w:hAnsiTheme="minorEastAsia"/>
            <w:sz w:val="21"/>
            <w:szCs w:val="21"/>
          </w:rPr>
          <w:t>1.</w:t>
        </w:r>
        <w:r>
          <w:rPr>
            <w:rStyle w:val="Hyperlink"/>
            <w:rFonts w:asciiTheme="minorEastAsia" w:eastAsiaTheme="minorEastAsia" w:hAnsiTheme="minorEastAsia" w:hint="eastAsia"/>
            <w:sz w:val="21"/>
            <w:szCs w:val="21"/>
          </w:rPr>
          <w:t>资产负债表分析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_Toc36740674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3</w:t>
        </w:r>
        <w:r>
          <w:rPr>
            <w:rFonts w:asciiTheme="minorEastAsia" w:eastAsiaTheme="minorEastAsia" w:hAnsiTheme="minorEastAsia"/>
            <w:sz w:val="21"/>
            <w:szCs w:val="21"/>
          </w:rPr>
          <w:fldChar w:fldCharType="end"/>
        </w:r>
      </w:hyperlink>
    </w:p>
    <w:p>
      <w:pPr>
        <w:pStyle w:val="TOC3"/>
        <w:tabs>
          <w:tab w:val="right" w:leader="dot" w:pos="8302"/>
        </w:tabs>
        <w:spacing w:after="0" w:line="360" w:lineRule="auto"/>
        <w:ind w:left="880"/>
        <w:jc w:val="both"/>
        <w:rPr>
          <w:rFonts w:asciiTheme="minorEastAsia" w:eastAsiaTheme="minorEastAsia" w:hAnsiTheme="minorEastAsia" w:cstheme="minorBidi"/>
          <w:kern w:val="2"/>
          <w:sz w:val="21"/>
          <w:szCs w:val="21"/>
        </w:rPr>
      </w:pPr>
      <w:hyperlink w:anchor="_Toc36740675" w:history="1">
        <w:r>
          <w:rPr>
            <w:rStyle w:val="Hyperlink"/>
            <w:rFonts w:asciiTheme="minorEastAsia" w:eastAsiaTheme="minorEastAsia" w:hAnsiTheme="minorEastAsia"/>
            <w:sz w:val="21"/>
            <w:szCs w:val="21"/>
          </w:rPr>
          <w:t>2.</w:t>
        </w:r>
        <w:r>
          <w:rPr>
            <w:rStyle w:val="Hyperlink"/>
            <w:rFonts w:asciiTheme="minorEastAsia" w:eastAsiaTheme="minorEastAsia" w:hAnsiTheme="minorEastAsia" w:hint="eastAsia"/>
            <w:sz w:val="21"/>
            <w:szCs w:val="21"/>
          </w:rPr>
          <w:t>利润表分析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_Toc36740675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6</w:t>
        </w:r>
        <w:r>
          <w:rPr>
            <w:rFonts w:asciiTheme="minorEastAsia" w:eastAsiaTheme="minorEastAsia" w:hAnsiTheme="minorEastAsia"/>
            <w:sz w:val="21"/>
            <w:szCs w:val="21"/>
          </w:rPr>
          <w:fldChar w:fldCharType="end"/>
        </w:r>
      </w:hyperlink>
    </w:p>
    <w:p>
      <w:pPr>
        <w:pStyle w:val="TOC3"/>
        <w:tabs>
          <w:tab w:val="right" w:leader="dot" w:pos="8302"/>
        </w:tabs>
        <w:spacing w:after="0" w:line="360" w:lineRule="auto"/>
        <w:ind w:left="880"/>
        <w:jc w:val="both"/>
        <w:rPr>
          <w:rFonts w:asciiTheme="minorEastAsia" w:eastAsiaTheme="minorEastAsia" w:hAnsiTheme="minorEastAsia" w:cstheme="minorBidi"/>
          <w:kern w:val="2"/>
          <w:sz w:val="21"/>
          <w:szCs w:val="21"/>
        </w:rPr>
      </w:pPr>
      <w:hyperlink w:anchor="_Toc36740676" w:history="1">
        <w:r>
          <w:rPr>
            <w:rStyle w:val="Hyperlink"/>
            <w:rFonts w:asciiTheme="minorEastAsia" w:eastAsiaTheme="minorEastAsia" w:hAnsiTheme="minorEastAsia"/>
            <w:sz w:val="21"/>
            <w:szCs w:val="21"/>
          </w:rPr>
          <w:t>3.</w:t>
        </w:r>
        <w:r>
          <w:rPr>
            <w:rStyle w:val="Hyperlink"/>
            <w:rFonts w:asciiTheme="minorEastAsia" w:eastAsiaTheme="minorEastAsia" w:hAnsiTheme="minorEastAsia" w:hint="eastAsia"/>
            <w:sz w:val="21"/>
            <w:szCs w:val="21"/>
          </w:rPr>
          <w:t>现金流量表分析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_Toc36740676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8</w:t>
        </w:r>
        <w:r>
          <w:rPr>
            <w:rFonts w:asciiTheme="minorEastAsia" w:eastAsiaTheme="minorEastAsia" w:hAnsiTheme="minorEastAsia"/>
            <w:sz w:val="21"/>
            <w:szCs w:val="21"/>
          </w:rPr>
          <w:fldChar w:fldCharType="end"/>
        </w:r>
      </w:hyperlink>
    </w:p>
    <w:p>
      <w:pPr>
        <w:pStyle w:val="TOC2"/>
        <w:tabs>
          <w:tab w:val="right" w:leader="dot" w:pos="8302"/>
        </w:tabs>
        <w:spacing w:after="0" w:line="360" w:lineRule="auto"/>
        <w:ind w:left="440"/>
        <w:jc w:val="both"/>
        <w:rPr>
          <w:rFonts w:asciiTheme="minorEastAsia" w:eastAsiaTheme="minorEastAsia" w:hAnsiTheme="minorEastAsia" w:cstheme="minorBidi"/>
          <w:kern w:val="2"/>
          <w:sz w:val="21"/>
          <w:szCs w:val="21"/>
        </w:rPr>
      </w:pPr>
      <w:hyperlink w:anchor="_Toc36740677" w:history="1">
        <w:r>
          <w:rPr>
            <w:rStyle w:val="Hyperlink"/>
            <w:rFonts w:asciiTheme="minorEastAsia" w:eastAsiaTheme="minorEastAsia" w:hAnsiTheme="minorEastAsia" w:hint="eastAsia"/>
            <w:bCs/>
            <w:sz w:val="21"/>
            <w:szCs w:val="21"/>
          </w:rPr>
          <w:t>（二）好未来教育财务能力综合分析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_Toc36740677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11</w:t>
        </w:r>
        <w:r>
          <w:rPr>
            <w:rFonts w:asciiTheme="minorEastAsia" w:eastAsiaTheme="minorEastAsia" w:hAnsiTheme="minorEastAsia"/>
            <w:sz w:val="21"/>
            <w:szCs w:val="21"/>
          </w:rPr>
          <w:fldChar w:fldCharType="end"/>
        </w:r>
      </w:hyperlink>
    </w:p>
    <w:p>
      <w:pPr>
        <w:pStyle w:val="TOC3"/>
        <w:tabs>
          <w:tab w:val="right" w:leader="dot" w:pos="8302"/>
        </w:tabs>
        <w:spacing w:after="0" w:line="360" w:lineRule="auto"/>
        <w:ind w:left="880"/>
        <w:jc w:val="both"/>
        <w:rPr>
          <w:rFonts w:asciiTheme="minorEastAsia" w:eastAsiaTheme="minorEastAsia" w:hAnsiTheme="minorEastAsia" w:cstheme="minorBidi"/>
          <w:kern w:val="2"/>
          <w:sz w:val="21"/>
          <w:szCs w:val="21"/>
        </w:rPr>
      </w:pPr>
      <w:hyperlink w:anchor="_Toc36740679" w:history="1">
        <w:r>
          <w:rPr>
            <w:rStyle w:val="Hyperlink"/>
            <w:rFonts w:asciiTheme="minorEastAsia" w:eastAsiaTheme="minorEastAsia" w:hAnsiTheme="minorEastAsia"/>
            <w:sz w:val="21"/>
            <w:szCs w:val="21"/>
          </w:rPr>
          <w:t>1.</w:t>
        </w:r>
        <w:r>
          <w:rPr>
            <w:rStyle w:val="Hyperlink"/>
            <w:rFonts w:asciiTheme="minorEastAsia" w:eastAsiaTheme="minorEastAsia" w:hAnsiTheme="minorEastAsia" w:hint="eastAsia"/>
            <w:sz w:val="21"/>
            <w:szCs w:val="21"/>
          </w:rPr>
          <w:t>盈利能力分析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_Toc36740679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11</w:t>
        </w:r>
        <w:r>
          <w:rPr>
            <w:rFonts w:asciiTheme="minorEastAsia" w:eastAsiaTheme="minorEastAsia" w:hAnsiTheme="minorEastAsia"/>
            <w:sz w:val="21"/>
            <w:szCs w:val="21"/>
          </w:rPr>
          <w:fldChar w:fldCharType="end"/>
        </w:r>
      </w:hyperlink>
    </w:p>
    <w:p>
      <w:pPr>
        <w:pStyle w:val="TOC3"/>
        <w:tabs>
          <w:tab w:val="right" w:leader="dot" w:pos="8302"/>
        </w:tabs>
        <w:spacing w:after="0" w:line="360" w:lineRule="auto"/>
        <w:ind w:left="880"/>
        <w:jc w:val="both"/>
        <w:rPr>
          <w:rFonts w:asciiTheme="minorEastAsia" w:eastAsiaTheme="minorEastAsia" w:hAnsiTheme="minorEastAsia" w:cstheme="minorBidi"/>
          <w:kern w:val="2"/>
          <w:sz w:val="21"/>
          <w:szCs w:val="21"/>
        </w:rPr>
      </w:pPr>
      <w:hyperlink w:anchor="_Toc36740680" w:history="1">
        <w:r>
          <w:rPr>
            <w:rStyle w:val="Hyperlink"/>
            <w:rFonts w:asciiTheme="minorEastAsia" w:eastAsiaTheme="minorEastAsia" w:hAnsiTheme="minorEastAsia"/>
            <w:sz w:val="21"/>
            <w:szCs w:val="21"/>
          </w:rPr>
          <w:t>2.</w:t>
        </w:r>
        <w:r>
          <w:rPr>
            <w:rStyle w:val="Hyperlink"/>
            <w:rFonts w:asciiTheme="minorEastAsia" w:eastAsiaTheme="minorEastAsia" w:hAnsiTheme="minorEastAsia" w:hint="eastAsia"/>
            <w:sz w:val="21"/>
            <w:szCs w:val="21"/>
          </w:rPr>
          <w:t>营运能力分析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_Toc36740680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13</w:t>
        </w:r>
        <w:r>
          <w:rPr>
            <w:rFonts w:asciiTheme="minorEastAsia" w:eastAsiaTheme="minorEastAsia" w:hAnsiTheme="minorEastAsia"/>
            <w:sz w:val="21"/>
            <w:szCs w:val="21"/>
          </w:rPr>
          <w:fldChar w:fldCharType="end"/>
        </w:r>
      </w:hyperlink>
    </w:p>
    <w:p>
      <w:pPr>
        <w:pStyle w:val="TOC3"/>
        <w:tabs>
          <w:tab w:val="right" w:leader="dot" w:pos="8302"/>
        </w:tabs>
        <w:spacing w:after="0" w:line="360" w:lineRule="auto"/>
        <w:ind w:left="880"/>
        <w:jc w:val="both"/>
        <w:rPr>
          <w:rFonts w:asciiTheme="minorEastAsia" w:eastAsiaTheme="minorEastAsia" w:hAnsiTheme="minorEastAsia" w:cstheme="minorBidi"/>
          <w:kern w:val="2"/>
          <w:sz w:val="21"/>
          <w:szCs w:val="21"/>
        </w:rPr>
      </w:pPr>
      <w:hyperlink w:anchor="_Toc36740681" w:history="1">
        <w:r>
          <w:rPr>
            <w:rStyle w:val="Hyperlink"/>
            <w:rFonts w:asciiTheme="minorEastAsia" w:eastAsiaTheme="minorEastAsia" w:hAnsiTheme="minorEastAsia"/>
            <w:sz w:val="21"/>
            <w:szCs w:val="21"/>
          </w:rPr>
          <w:t>3.</w:t>
        </w:r>
        <w:r>
          <w:rPr>
            <w:rStyle w:val="Hyperlink"/>
            <w:rFonts w:asciiTheme="minorEastAsia" w:eastAsiaTheme="minorEastAsia" w:hAnsiTheme="minorEastAsia" w:hint="eastAsia"/>
            <w:sz w:val="21"/>
            <w:szCs w:val="21"/>
          </w:rPr>
          <w:t>偿债能力分析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_Toc36740681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14</w:t>
        </w:r>
        <w:r>
          <w:rPr>
            <w:rFonts w:asciiTheme="minorEastAsia" w:eastAsiaTheme="minorEastAsia" w:hAnsiTheme="minorEastAsia"/>
            <w:sz w:val="21"/>
            <w:szCs w:val="21"/>
          </w:rPr>
          <w:fldChar w:fldCharType="end"/>
        </w:r>
      </w:hyperlink>
    </w:p>
    <w:p>
      <w:pPr>
        <w:pStyle w:val="TOC3"/>
        <w:tabs>
          <w:tab w:val="right" w:leader="dot" w:pos="8302"/>
        </w:tabs>
        <w:spacing w:after="0" w:line="360" w:lineRule="auto"/>
        <w:ind w:left="880"/>
        <w:jc w:val="both"/>
        <w:rPr>
          <w:rFonts w:asciiTheme="minorEastAsia" w:eastAsiaTheme="minorEastAsia" w:hAnsiTheme="minorEastAsia" w:cstheme="minorBidi"/>
          <w:kern w:val="2"/>
          <w:sz w:val="21"/>
          <w:szCs w:val="21"/>
        </w:rPr>
      </w:pPr>
      <w:hyperlink w:anchor="_Toc36740682" w:history="1">
        <w:r>
          <w:rPr>
            <w:rStyle w:val="Hyperlink"/>
            <w:rFonts w:asciiTheme="minorEastAsia" w:eastAsiaTheme="minorEastAsia" w:hAnsiTheme="minorEastAsia"/>
            <w:sz w:val="21"/>
            <w:szCs w:val="21"/>
          </w:rPr>
          <w:t>4.</w:t>
        </w:r>
        <w:r>
          <w:rPr>
            <w:rStyle w:val="Hyperlink"/>
            <w:rFonts w:asciiTheme="minorEastAsia" w:eastAsiaTheme="minorEastAsia" w:hAnsiTheme="minorEastAsia" w:hint="eastAsia"/>
            <w:sz w:val="21"/>
            <w:szCs w:val="21"/>
          </w:rPr>
          <w:t>发展能力分析</w:t>
        </w:r>
        <w:r>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Pr>
            <w:rFonts w:asciiTheme="minorEastAsia" w:eastAsiaTheme="minorEastAsia" w:hAnsiTheme="minorEastAsia"/>
            <w:sz w:val="21"/>
            <w:szCs w:val="21"/>
          </w:rPr>
          <w:instrText xml:space="preserve"> PAGEREF _Toc36740682 \h </w:instrText>
        </w:r>
        <w:r>
          <w:rPr>
            <w:rFonts w:asciiTheme="minorEastAsia" w:eastAsiaTheme="minorEastAsia" w:hAnsiTheme="minorEastAsia"/>
            <w:sz w:val="21"/>
            <w:szCs w:val="21"/>
          </w:rPr>
          <w:fldChar w:fldCharType="separate"/>
        </w:r>
        <w:r>
          <w:rPr>
            <w:rFonts w:asciiTheme="minorEastAsia" w:eastAsiaTheme="minorEastAsia" w:hAnsiTheme="minorEastAsia"/>
            <w:sz w:val="21"/>
            <w:szCs w:val="21"/>
          </w:rPr>
          <w:t>18</w:t>
        </w:r>
        <w:r>
          <w:rPr>
            <w:rFonts w:asciiTheme="minorEastAsia" w:eastAsiaTheme="minorEastAsia" w:hAnsiTheme="minorEastAsia"/>
            <w:sz w:val="21"/>
            <w:szCs w:val="21"/>
          </w:rPr>
          <w:fldChar w:fldCharType="end"/>
        </w:r>
      </w:hyperlink>
    </w:p>
    <w:p>
      <w:pPr>
        <w:pStyle w:val="TOC1"/>
        <w:tabs>
          <w:tab w:val="right" w:leader="dot" w:pos="8302"/>
        </w:tabs>
        <w:spacing w:after="0" w:line="360" w:lineRule="auto"/>
        <w:jc w:val="both"/>
        <w:rPr>
          <w:rFonts w:asciiTheme="minorEastAsia" w:eastAsiaTheme="minorEastAsia" w:hAnsiTheme="minorEastAsia" w:cstheme="minorBidi"/>
          <w:kern w:val="2"/>
          <w:sz w:val="28"/>
          <w:szCs w:val="28"/>
        </w:rPr>
      </w:pPr>
      <w:hyperlink w:anchor="_Toc36740683" w:history="1">
        <w:r>
          <w:rPr>
            <w:rStyle w:val="Hyperlink"/>
            <w:rFonts w:asciiTheme="minorEastAsia" w:eastAsiaTheme="minorEastAsia" w:hAnsiTheme="minorEastAsia" w:hint="eastAsia"/>
            <w:b/>
            <w:sz w:val="28"/>
            <w:szCs w:val="28"/>
          </w:rPr>
          <w:t>三、结论及建议</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_Toc36740683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20</w:t>
        </w:r>
        <w:r>
          <w:rPr>
            <w:rFonts w:asciiTheme="minorEastAsia" w:eastAsiaTheme="minorEastAsia" w:hAnsiTheme="minorEastAsia"/>
            <w:sz w:val="28"/>
            <w:szCs w:val="28"/>
          </w:rPr>
          <w:fldChar w:fldCharType="end"/>
        </w:r>
      </w:hyperlink>
    </w:p>
    <w:p>
      <w:pPr>
        <w:pStyle w:val="TOC1"/>
        <w:tabs>
          <w:tab w:val="right" w:leader="dot" w:pos="8302"/>
        </w:tabs>
        <w:spacing w:after="0" w:line="360" w:lineRule="auto"/>
        <w:jc w:val="both"/>
        <w:rPr>
          <w:rFonts w:asciiTheme="minorEastAsia" w:eastAsiaTheme="minorEastAsia" w:hAnsiTheme="minorEastAsia" w:cstheme="minorBidi"/>
          <w:kern w:val="2"/>
          <w:sz w:val="28"/>
          <w:szCs w:val="28"/>
        </w:rPr>
      </w:pPr>
      <w:hyperlink w:anchor="_Toc36740684" w:history="1">
        <w:r>
          <w:rPr>
            <w:rStyle w:val="Hyperlink"/>
            <w:rFonts w:asciiTheme="minorEastAsia" w:eastAsiaTheme="minorEastAsia" w:hAnsiTheme="minorEastAsia" w:hint="eastAsia"/>
            <w:b/>
            <w:sz w:val="28"/>
            <w:szCs w:val="28"/>
          </w:rPr>
          <w:t>参考文献</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_Toc36740684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22</w:t>
        </w:r>
        <w:r>
          <w:rPr>
            <w:rFonts w:asciiTheme="minorEastAsia" w:eastAsiaTheme="minorEastAsia" w:hAnsiTheme="minorEastAsia"/>
            <w:sz w:val="28"/>
            <w:szCs w:val="28"/>
          </w:rPr>
          <w:fldChar w:fldCharType="end"/>
        </w:r>
      </w:hyperlink>
    </w:p>
    <w:p>
      <w:pPr>
        <w:pStyle w:val="TOC1"/>
        <w:tabs>
          <w:tab w:val="right" w:leader="dot" w:pos="8302"/>
        </w:tabs>
        <w:spacing w:after="0" w:line="360" w:lineRule="auto"/>
        <w:jc w:val="both"/>
        <w:rPr>
          <w:rFonts w:asciiTheme="minorEastAsia" w:eastAsiaTheme="minorEastAsia" w:hAnsiTheme="minorEastAsia" w:cstheme="minorBidi"/>
          <w:kern w:val="2"/>
          <w:sz w:val="28"/>
          <w:szCs w:val="28"/>
        </w:rPr>
      </w:pPr>
      <w:hyperlink w:anchor="_Toc36740685" w:history="1">
        <w:r>
          <w:rPr>
            <w:rStyle w:val="Hyperlink"/>
            <w:rFonts w:asciiTheme="minorEastAsia" w:eastAsiaTheme="minorEastAsia" w:hAnsiTheme="minorEastAsia" w:hint="eastAsia"/>
            <w:b/>
            <w:sz w:val="28"/>
            <w:szCs w:val="28"/>
          </w:rPr>
          <w:t>致谢</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_Toc36740685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24</w:t>
        </w:r>
        <w:r>
          <w:rPr>
            <w:rFonts w:asciiTheme="minorEastAsia" w:eastAsiaTheme="minorEastAsia" w:hAnsiTheme="minorEastAsia"/>
            <w:sz w:val="28"/>
            <w:szCs w:val="28"/>
          </w:rPr>
          <w:fldChar w:fldCharType="end"/>
        </w:r>
      </w:hyperlink>
    </w:p>
    <w:p>
      <w:pPr>
        <w:spacing w:after="0" w:line="360" w:lineRule="auto"/>
        <w:jc w:val="both"/>
        <w:rPr>
          <w:rFonts w:asciiTheme="minorEastAsia" w:eastAsiaTheme="minorEastAsia" w:hAnsiTheme="minorEastAsia"/>
          <w:sz w:val="28"/>
          <w:szCs w:val="28"/>
        </w:rPr>
        <w:sectPr>
          <w:headerReference w:type="default" r:id="rId5"/>
          <w:footerReference w:type="default" r:id="rId6"/>
          <w:footnotePr>
            <w:numFmt w:val="decimalEnclosedCircleChinese"/>
          </w:footnotePr>
          <w:type w:val="continuous"/>
          <w:pgSz w:w="11906" w:h="16838"/>
          <w:pgMar w:top="1440" w:right="1797" w:bottom="1440" w:left="1797" w:header="851" w:footer="992" w:gutter="0"/>
          <w:pgNumType w:fmt="upperRoman" w:start="1"/>
          <w:cols w:num="1" w:space="425"/>
          <w:docGrid w:type="linesAndChars" w:linePitch="312" w:charSpace="0"/>
        </w:sectPr>
      </w:pPr>
      <w:r>
        <w:rPr>
          <w:rFonts w:asciiTheme="minorEastAsia" w:eastAsiaTheme="minorEastAsia" w:hAnsiTheme="minorEastAsia"/>
          <w:sz w:val="28"/>
          <w:szCs w:val="28"/>
        </w:rPr>
        <w:fldChar w:fldCharType="end"/>
      </w:r>
      <w:bookmarkStart w:id="0" w:name="_Toc388465141"/>
      <w:bookmarkStart w:id="1" w:name="_Toc388465452"/>
      <w:bookmarkStart w:id="2" w:name="_Toc388465330"/>
    </w:p>
    <w:bookmarkEnd w:id="0"/>
    <w:bookmarkEnd w:id="1"/>
    <w:bookmarkEnd w:id="2"/>
    <w:p>
      <w:pPr>
        <w:spacing w:after="0" w:line="360" w:lineRule="auto"/>
        <w:rPr>
          <w:rFonts w:ascii="Times New Roman" w:eastAsia="黑体" w:hAnsi="Times New Roman"/>
          <w:sz w:val="44"/>
          <w:szCs w:val="44"/>
        </w:rPr>
        <w:sectPr>
          <w:headerReference w:type="default" r:id="rId7"/>
          <w:footerReference w:type="default" r:id="rId8"/>
          <w:footnotePr>
            <w:numFmt w:val="decimalEnclosedCircleChinese"/>
          </w:footnotePr>
          <w:type w:val="continuous"/>
          <w:pgSz w:w="11906" w:h="16838"/>
          <w:pgMar w:top="1440" w:right="1797" w:bottom="1440" w:left="1797" w:header="851" w:footer="992" w:gutter="0"/>
          <w:pgNumType w:start="1"/>
          <w:cols w:num="1" w:space="425"/>
          <w:docGrid w:type="linesAndChars" w:linePitch="312" w:charSpace="0"/>
        </w:sectPr>
      </w:pPr>
    </w:p>
    <w:p>
      <w:pPr>
        <w:spacing w:after="312" w:afterLines="100" w:line="360" w:lineRule="auto"/>
        <w:jc w:val="center"/>
        <w:outlineLvl w:val="0"/>
        <w:rPr>
          <w:rFonts w:asciiTheme="minorEastAsia" w:eastAsiaTheme="minorEastAsia" w:hAnsiTheme="minorEastAsia"/>
          <w:b/>
          <w:sz w:val="28"/>
          <w:szCs w:val="28"/>
        </w:rPr>
      </w:pPr>
      <w:bookmarkStart w:id="4" w:name="_Toc36740663"/>
      <w:r>
        <w:rPr>
          <w:rFonts w:asciiTheme="minorEastAsia" w:eastAsiaTheme="minorEastAsia" w:hAnsiTheme="minorEastAsia" w:hint="eastAsia"/>
          <w:b/>
          <w:sz w:val="28"/>
          <w:szCs w:val="28"/>
        </w:rPr>
        <w:t>摘 要</w:t>
      </w:r>
      <w:bookmarkEnd w:id="4"/>
    </w:p>
    <w:p>
      <w:pPr>
        <w:spacing w:after="0" w:line="360" w:lineRule="auto"/>
        <w:ind w:firstLine="480" w:firstLineChars="200"/>
        <w:jc w:val="both"/>
        <w:rPr>
          <w:rFonts w:asciiTheme="minorEastAsia" w:eastAsiaTheme="minorEastAsia" w:hAnsiTheme="minorEastAsia" w:cs="宋体"/>
          <w:sz w:val="24"/>
        </w:rPr>
      </w:pPr>
      <w:r>
        <w:rPr>
          <w:rFonts w:asciiTheme="minorEastAsia" w:eastAsiaTheme="minorEastAsia" w:hAnsiTheme="minorEastAsia" w:cs="宋体" w:hint="eastAsia"/>
          <w:sz w:val="24"/>
        </w:rPr>
        <w:t>长期以来，尊师重教一直是我国的优秀传统文化，我国人民群众对于教育的关注度一直都是非常高的。尤其是改革开放以来，我国的经济飞速发展，我国人民群众对于教育的投入在逐渐加大。近年来，随着我国产业结构的调整，我国的经济增长也逐渐由过去单一的、粗放型的经济增长方式向集约型、高技术、高附加值等方向转变，在这种趋势下，我国人民对于教育的重要性认识得更加深刻，因此，也促进了我国教育产业的蓬勃发展。新未来教育集团有限公司是我国著名的民营教育企业，近年来，好未来教育集团有限公司在尝试开拓在线教育等新型教育形式，其财务状况如何也日益引起了社会各界的广泛关注。本文以好未来教育集团有限公司财务状况为研究对象，在相关背景及概念综述的基础上，首先对好未来公司的基本情况加以概述，然后着重从资产负债表、利润表和现金流量表三个方面对好未来公司的财务报表展开综合分析，然后再从盈利能力、偿债能力、营运能力和发展能力四个方面探讨好未来公司的财务能力，最后得出结论，并为好未来教育集团有限公司财务状况的改善提出具体的实施对策和措施建议。</w:t>
      </w:r>
    </w:p>
    <w:p>
      <w:pPr>
        <w:spacing w:after="0" w:line="360" w:lineRule="auto"/>
        <w:ind w:firstLine="480" w:firstLineChars="200"/>
        <w:jc w:val="both"/>
        <w:rPr>
          <w:rFonts w:asciiTheme="minorEastAsia" w:eastAsiaTheme="minorEastAsia" w:hAnsiTheme="minorEastAsia" w:cs="宋体"/>
          <w:sz w:val="24"/>
        </w:rPr>
      </w:pPr>
    </w:p>
    <w:p>
      <w:pPr>
        <w:spacing w:after="0" w:line="360" w:lineRule="auto"/>
        <w:rPr>
          <w:rFonts w:ascii="Times New Roman" w:eastAsia="宋体" w:hAnsi="Times New Roman"/>
          <w:sz w:val="24"/>
        </w:rPr>
      </w:pPr>
      <w:r>
        <w:rPr>
          <w:rFonts w:ascii="Times New Roman" w:eastAsia="黑体" w:hAnsi="Times New Roman" w:hint="eastAsia"/>
          <w:b/>
          <w:sz w:val="28"/>
          <w:szCs w:val="28"/>
        </w:rPr>
        <w:t>【关键词】</w:t>
      </w:r>
      <w:r>
        <w:rPr>
          <w:rFonts w:ascii="Times New Roman" w:eastAsia="宋体" w:hAnsi="Times New Roman" w:hint="eastAsia"/>
          <w:sz w:val="24"/>
        </w:rPr>
        <w:t>好未来教育  财务报表 外部使用者</w:t>
      </w:r>
      <w:r>
        <w:rPr>
          <w:rFonts w:ascii="Times New Roman" w:eastAsia="宋体" w:hAnsi="Times New Roman"/>
          <w:sz w:val="24"/>
        </w:rPr>
        <w:br/>
      </w:r>
      <w:r>
        <w:rPr>
          <w:rFonts w:ascii="Times New Roman" w:eastAsia="宋体" w:hAnsi="Times New Roman"/>
          <w:sz w:val="24"/>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https://d.book118.com/698105106011006023</w:t>
        </w:r>
      </w:hyperlink>
    </w:p>
    <w:p>
      <w:pPr>
        <w:spacing w:after="0" w:line="360" w:lineRule="auto"/>
        <w:rPr>
          <w:rFonts w:ascii="Times New Roman" w:eastAsia="宋体" w:hAnsi="Times New Roman"/>
          <w:sz w:val="24"/>
        </w:rPr>
      </w:pPr>
    </w:p>
    <w:sectPr>
      <w:headerReference w:type="default" r:id="rId10"/>
      <w:footerReference w:type="default" r:id="rId11"/>
      <w:footnotePr>
        <w:numFmt w:val="decimalEnclosedCircleChinese"/>
      </w:footnotePr>
      <w:pgSz w:w="11906" w:h="16838"/>
      <w:pgMar w:top="1440" w:right="1797" w:bottom="1440" w:left="1797" w:header="851" w:footer="992" w:gutter="0"/>
      <w:pgNumType w:fmt="upperRoman" w:start="1"/>
      <w:cols w:num="1" w:space="425"/>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lang w:val="zh-CN"/>
      </w:rPr>
    </w:pPr>
    <w:r>
      <w:fldChar w:fldCharType="begin"/>
    </w:r>
    <w:r>
      <w:instrText xml:space="preserve"> PAGE   \* MERGEFORMAT </w:instrText>
    </w:r>
    <w:r>
      <w:fldChar w:fldCharType="separate"/>
    </w:r>
    <w:r>
      <w:rPr>
        <w:lang w:val="zh-CN"/>
      </w:rPr>
      <w:t>I</w:t>
    </w:r>
    <w:r>
      <w:rPr>
        <w:lang w:val="zh-CN"/>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rPr>
    </w:pPr>
    <w:bookmarkStart w:id="3" w:name="_GoBack"/>
    <w:r>
      <w:rPr>
        <w:rFonts w:ascii="宋体" w:eastAsia="宋体" w:hAnsi="宋体" w:hint="eastAsia"/>
      </w:rPr>
      <w:t>好未来教育集团有限公司财务分析</w:t>
    </w:r>
  </w:p>
  <w:bookmarkEnd w:id="3"/>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rPr>
    </w:pPr>
    <w:r>
      <w:rPr>
        <w:rFonts w:ascii="宋体" w:eastAsia="宋体" w:hAnsi="宋体" w:hint="eastAsia"/>
      </w:rPr>
      <w:t>好未来教育集团有限公司财务分析</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31D"/>
    <w:rsid w:val="00003EC2"/>
    <w:rsid w:val="00013D42"/>
    <w:rsid w:val="00016D1B"/>
    <w:rsid w:val="0004527D"/>
    <w:rsid w:val="000471AC"/>
    <w:rsid w:val="00065219"/>
    <w:rsid w:val="00081380"/>
    <w:rsid w:val="000946E6"/>
    <w:rsid w:val="000A17AB"/>
    <w:rsid w:val="000A27C1"/>
    <w:rsid w:val="000A47C9"/>
    <w:rsid w:val="000B59B1"/>
    <w:rsid w:val="000C0FF4"/>
    <w:rsid w:val="000C268A"/>
    <w:rsid w:val="000F23A7"/>
    <w:rsid w:val="00100191"/>
    <w:rsid w:val="0010702B"/>
    <w:rsid w:val="00107F60"/>
    <w:rsid w:val="00111B70"/>
    <w:rsid w:val="0011200F"/>
    <w:rsid w:val="00114D04"/>
    <w:rsid w:val="0011547F"/>
    <w:rsid w:val="00136E0C"/>
    <w:rsid w:val="00140878"/>
    <w:rsid w:val="001453DA"/>
    <w:rsid w:val="00156BC1"/>
    <w:rsid w:val="001571D4"/>
    <w:rsid w:val="0016089F"/>
    <w:rsid w:val="00164F9E"/>
    <w:rsid w:val="00180025"/>
    <w:rsid w:val="00186A21"/>
    <w:rsid w:val="0019144A"/>
    <w:rsid w:val="00191663"/>
    <w:rsid w:val="001A4702"/>
    <w:rsid w:val="001B5720"/>
    <w:rsid w:val="001C28E7"/>
    <w:rsid w:val="001C573A"/>
    <w:rsid w:val="001C5F0F"/>
    <w:rsid w:val="001C73DB"/>
    <w:rsid w:val="001D031D"/>
    <w:rsid w:val="001D5060"/>
    <w:rsid w:val="001D71DD"/>
    <w:rsid w:val="001F013A"/>
    <w:rsid w:val="001F5C63"/>
    <w:rsid w:val="00202BD5"/>
    <w:rsid w:val="00206FB6"/>
    <w:rsid w:val="00214A1C"/>
    <w:rsid w:val="00214A34"/>
    <w:rsid w:val="00216D58"/>
    <w:rsid w:val="00227B54"/>
    <w:rsid w:val="00241EBB"/>
    <w:rsid w:val="00250111"/>
    <w:rsid w:val="00252C82"/>
    <w:rsid w:val="00272DAB"/>
    <w:rsid w:val="00273686"/>
    <w:rsid w:val="00277BF4"/>
    <w:rsid w:val="00280052"/>
    <w:rsid w:val="00284BF2"/>
    <w:rsid w:val="002A01C3"/>
    <w:rsid w:val="002A10EE"/>
    <w:rsid w:val="002B2150"/>
    <w:rsid w:val="002B3DF4"/>
    <w:rsid w:val="002B671A"/>
    <w:rsid w:val="002D1794"/>
    <w:rsid w:val="002D380A"/>
    <w:rsid w:val="002D5EB5"/>
    <w:rsid w:val="002D7EAC"/>
    <w:rsid w:val="002E00AD"/>
    <w:rsid w:val="002E1B78"/>
    <w:rsid w:val="002F3AC2"/>
    <w:rsid w:val="003007AF"/>
    <w:rsid w:val="00303743"/>
    <w:rsid w:val="003114A1"/>
    <w:rsid w:val="00314830"/>
    <w:rsid w:val="00315714"/>
    <w:rsid w:val="00333583"/>
    <w:rsid w:val="00333935"/>
    <w:rsid w:val="00334A31"/>
    <w:rsid w:val="00334F96"/>
    <w:rsid w:val="00343B2B"/>
    <w:rsid w:val="00343D4B"/>
    <w:rsid w:val="003465F1"/>
    <w:rsid w:val="003470BF"/>
    <w:rsid w:val="00352BD0"/>
    <w:rsid w:val="00352D9D"/>
    <w:rsid w:val="0035526B"/>
    <w:rsid w:val="00355833"/>
    <w:rsid w:val="00355C3A"/>
    <w:rsid w:val="00356015"/>
    <w:rsid w:val="00370ADD"/>
    <w:rsid w:val="00372F29"/>
    <w:rsid w:val="00376143"/>
    <w:rsid w:val="00387C3B"/>
    <w:rsid w:val="00391525"/>
    <w:rsid w:val="00392C9F"/>
    <w:rsid w:val="00393233"/>
    <w:rsid w:val="0039669F"/>
    <w:rsid w:val="003A0D10"/>
    <w:rsid w:val="003A2AA9"/>
    <w:rsid w:val="003A65E8"/>
    <w:rsid w:val="003A7CF8"/>
    <w:rsid w:val="003C5730"/>
    <w:rsid w:val="003D682D"/>
    <w:rsid w:val="003E13CE"/>
    <w:rsid w:val="003E1BE1"/>
    <w:rsid w:val="003E1E56"/>
    <w:rsid w:val="003E3443"/>
    <w:rsid w:val="003F1895"/>
    <w:rsid w:val="003F7D96"/>
    <w:rsid w:val="004049DE"/>
    <w:rsid w:val="00416E7F"/>
    <w:rsid w:val="00422610"/>
    <w:rsid w:val="00422C45"/>
    <w:rsid w:val="00426714"/>
    <w:rsid w:val="00431B45"/>
    <w:rsid w:val="00435154"/>
    <w:rsid w:val="00436F05"/>
    <w:rsid w:val="004424EC"/>
    <w:rsid w:val="00447E56"/>
    <w:rsid w:val="00450D4B"/>
    <w:rsid w:val="0046035C"/>
    <w:rsid w:val="00470B32"/>
    <w:rsid w:val="00475364"/>
    <w:rsid w:val="004902AF"/>
    <w:rsid w:val="0049225A"/>
    <w:rsid w:val="0049659E"/>
    <w:rsid w:val="00497AE6"/>
    <w:rsid w:val="004B0B46"/>
    <w:rsid w:val="004B5B40"/>
    <w:rsid w:val="004C1FDB"/>
    <w:rsid w:val="004D47F4"/>
    <w:rsid w:val="004E2CC4"/>
    <w:rsid w:val="004E4295"/>
    <w:rsid w:val="004E5BCD"/>
    <w:rsid w:val="004F1F9C"/>
    <w:rsid w:val="004F6E21"/>
    <w:rsid w:val="00502219"/>
    <w:rsid w:val="0050735B"/>
    <w:rsid w:val="005101A7"/>
    <w:rsid w:val="005112F2"/>
    <w:rsid w:val="0051550C"/>
    <w:rsid w:val="005223EC"/>
    <w:rsid w:val="00527EE2"/>
    <w:rsid w:val="00537648"/>
    <w:rsid w:val="00542C34"/>
    <w:rsid w:val="00542F5D"/>
    <w:rsid w:val="00555C61"/>
    <w:rsid w:val="00560725"/>
    <w:rsid w:val="00575B70"/>
    <w:rsid w:val="00583882"/>
    <w:rsid w:val="00593ECD"/>
    <w:rsid w:val="00595911"/>
    <w:rsid w:val="00595D65"/>
    <w:rsid w:val="005B25F3"/>
    <w:rsid w:val="005C0025"/>
    <w:rsid w:val="005C1526"/>
    <w:rsid w:val="005C7122"/>
    <w:rsid w:val="005E2B5E"/>
    <w:rsid w:val="005E7699"/>
    <w:rsid w:val="005F1ED9"/>
    <w:rsid w:val="00612354"/>
    <w:rsid w:val="00627483"/>
    <w:rsid w:val="0062787D"/>
    <w:rsid w:val="006402AE"/>
    <w:rsid w:val="00642BD3"/>
    <w:rsid w:val="00643B49"/>
    <w:rsid w:val="00645272"/>
    <w:rsid w:val="00645C13"/>
    <w:rsid w:val="0064747C"/>
    <w:rsid w:val="00653F38"/>
    <w:rsid w:val="00657176"/>
    <w:rsid w:val="00660141"/>
    <w:rsid w:val="0066108A"/>
    <w:rsid w:val="00663B43"/>
    <w:rsid w:val="00665DB5"/>
    <w:rsid w:val="0068096E"/>
    <w:rsid w:val="00680CA9"/>
    <w:rsid w:val="00684D9C"/>
    <w:rsid w:val="0068526A"/>
    <w:rsid w:val="00685580"/>
    <w:rsid w:val="006879C9"/>
    <w:rsid w:val="0069300B"/>
    <w:rsid w:val="006A2BAA"/>
    <w:rsid w:val="006B73A3"/>
    <w:rsid w:val="006C2A2A"/>
    <w:rsid w:val="006C7257"/>
    <w:rsid w:val="006D3CD2"/>
    <w:rsid w:val="006D7FA0"/>
    <w:rsid w:val="006F10D6"/>
    <w:rsid w:val="006F59F3"/>
    <w:rsid w:val="007017D9"/>
    <w:rsid w:val="00701BC5"/>
    <w:rsid w:val="00701CC8"/>
    <w:rsid w:val="00701E67"/>
    <w:rsid w:val="0071097D"/>
    <w:rsid w:val="00736FBB"/>
    <w:rsid w:val="0074449D"/>
    <w:rsid w:val="007516E8"/>
    <w:rsid w:val="00753663"/>
    <w:rsid w:val="0075577C"/>
    <w:rsid w:val="00757B7C"/>
    <w:rsid w:val="00757EDC"/>
    <w:rsid w:val="00764934"/>
    <w:rsid w:val="00765DFB"/>
    <w:rsid w:val="00774725"/>
    <w:rsid w:val="00774E2D"/>
    <w:rsid w:val="00775A85"/>
    <w:rsid w:val="00780F77"/>
    <w:rsid w:val="00782A2D"/>
    <w:rsid w:val="00784813"/>
    <w:rsid w:val="00792D00"/>
    <w:rsid w:val="00793738"/>
    <w:rsid w:val="007945AD"/>
    <w:rsid w:val="007B0DAE"/>
    <w:rsid w:val="007C5793"/>
    <w:rsid w:val="007C5CC9"/>
    <w:rsid w:val="007D07A6"/>
    <w:rsid w:val="007D178C"/>
    <w:rsid w:val="007D2440"/>
    <w:rsid w:val="007D5AAB"/>
    <w:rsid w:val="007D64CB"/>
    <w:rsid w:val="007E7437"/>
    <w:rsid w:val="007F011C"/>
    <w:rsid w:val="00812D54"/>
    <w:rsid w:val="00813FAF"/>
    <w:rsid w:val="0081693C"/>
    <w:rsid w:val="008221F7"/>
    <w:rsid w:val="008328CA"/>
    <w:rsid w:val="0084131D"/>
    <w:rsid w:val="00841AF0"/>
    <w:rsid w:val="0084234D"/>
    <w:rsid w:val="00852021"/>
    <w:rsid w:val="00856D40"/>
    <w:rsid w:val="00856D5A"/>
    <w:rsid w:val="00870056"/>
    <w:rsid w:val="00872AFB"/>
    <w:rsid w:val="008800C8"/>
    <w:rsid w:val="008823AC"/>
    <w:rsid w:val="008964BC"/>
    <w:rsid w:val="008A6576"/>
    <w:rsid w:val="008A768B"/>
    <w:rsid w:val="008B6DA0"/>
    <w:rsid w:val="008C1022"/>
    <w:rsid w:val="008E1B69"/>
    <w:rsid w:val="008F39E7"/>
    <w:rsid w:val="00900751"/>
    <w:rsid w:val="009042B0"/>
    <w:rsid w:val="00913444"/>
    <w:rsid w:val="009151DE"/>
    <w:rsid w:val="0092033B"/>
    <w:rsid w:val="0092320D"/>
    <w:rsid w:val="00925AF9"/>
    <w:rsid w:val="009343F9"/>
    <w:rsid w:val="00944ACA"/>
    <w:rsid w:val="00947399"/>
    <w:rsid w:val="00955C82"/>
    <w:rsid w:val="0095609C"/>
    <w:rsid w:val="00966486"/>
    <w:rsid w:val="009766D7"/>
    <w:rsid w:val="00977A2D"/>
    <w:rsid w:val="00981166"/>
    <w:rsid w:val="00981E48"/>
    <w:rsid w:val="009843F1"/>
    <w:rsid w:val="00985BD1"/>
    <w:rsid w:val="009927D6"/>
    <w:rsid w:val="009A3526"/>
    <w:rsid w:val="009A5C33"/>
    <w:rsid w:val="009B3242"/>
    <w:rsid w:val="009B33A0"/>
    <w:rsid w:val="009B4694"/>
    <w:rsid w:val="009B7D89"/>
    <w:rsid w:val="009C2559"/>
    <w:rsid w:val="009C3C95"/>
    <w:rsid w:val="009D014F"/>
    <w:rsid w:val="009D1D8C"/>
    <w:rsid w:val="009D21C9"/>
    <w:rsid w:val="009D5A23"/>
    <w:rsid w:val="009F3511"/>
    <w:rsid w:val="009F39B9"/>
    <w:rsid w:val="009F4AD5"/>
    <w:rsid w:val="009F6E21"/>
    <w:rsid w:val="00A01BB0"/>
    <w:rsid w:val="00A06416"/>
    <w:rsid w:val="00A1244D"/>
    <w:rsid w:val="00A1550F"/>
    <w:rsid w:val="00A16A11"/>
    <w:rsid w:val="00A23BA4"/>
    <w:rsid w:val="00A240EF"/>
    <w:rsid w:val="00A35689"/>
    <w:rsid w:val="00A368AB"/>
    <w:rsid w:val="00A50D2D"/>
    <w:rsid w:val="00A511E2"/>
    <w:rsid w:val="00A544A3"/>
    <w:rsid w:val="00A567E6"/>
    <w:rsid w:val="00A67408"/>
    <w:rsid w:val="00A76485"/>
    <w:rsid w:val="00A86BD6"/>
    <w:rsid w:val="00A87E83"/>
    <w:rsid w:val="00A94174"/>
    <w:rsid w:val="00AA0AEC"/>
    <w:rsid w:val="00AA234F"/>
    <w:rsid w:val="00AB09E3"/>
    <w:rsid w:val="00AC1167"/>
    <w:rsid w:val="00AE48F8"/>
    <w:rsid w:val="00AE7397"/>
    <w:rsid w:val="00AE7C0F"/>
    <w:rsid w:val="00AF0B8F"/>
    <w:rsid w:val="00AF2278"/>
    <w:rsid w:val="00B01274"/>
    <w:rsid w:val="00B01F75"/>
    <w:rsid w:val="00B02024"/>
    <w:rsid w:val="00B03DC7"/>
    <w:rsid w:val="00B222C9"/>
    <w:rsid w:val="00B341B0"/>
    <w:rsid w:val="00B37A78"/>
    <w:rsid w:val="00B41662"/>
    <w:rsid w:val="00B549FB"/>
    <w:rsid w:val="00B56109"/>
    <w:rsid w:val="00B605EC"/>
    <w:rsid w:val="00B638E0"/>
    <w:rsid w:val="00B75E3A"/>
    <w:rsid w:val="00B77211"/>
    <w:rsid w:val="00B80E16"/>
    <w:rsid w:val="00B87DCA"/>
    <w:rsid w:val="00B9100A"/>
    <w:rsid w:val="00B966C9"/>
    <w:rsid w:val="00BA23E4"/>
    <w:rsid w:val="00BD0F3A"/>
    <w:rsid w:val="00BD1984"/>
    <w:rsid w:val="00BD5480"/>
    <w:rsid w:val="00BD5D96"/>
    <w:rsid w:val="00BD67FA"/>
    <w:rsid w:val="00BE25E8"/>
    <w:rsid w:val="00BF688A"/>
    <w:rsid w:val="00BF7687"/>
    <w:rsid w:val="00BF7C78"/>
    <w:rsid w:val="00C0446E"/>
    <w:rsid w:val="00C05B9E"/>
    <w:rsid w:val="00C107EA"/>
    <w:rsid w:val="00C166BD"/>
    <w:rsid w:val="00C252E5"/>
    <w:rsid w:val="00C33579"/>
    <w:rsid w:val="00C45ACC"/>
    <w:rsid w:val="00C52C2B"/>
    <w:rsid w:val="00C57DFD"/>
    <w:rsid w:val="00C60A86"/>
    <w:rsid w:val="00C64540"/>
    <w:rsid w:val="00C739C8"/>
    <w:rsid w:val="00C76458"/>
    <w:rsid w:val="00C821D1"/>
    <w:rsid w:val="00C8370A"/>
    <w:rsid w:val="00C83AC4"/>
    <w:rsid w:val="00C916C0"/>
    <w:rsid w:val="00C94421"/>
    <w:rsid w:val="00C961B9"/>
    <w:rsid w:val="00CA574E"/>
    <w:rsid w:val="00CB13DF"/>
    <w:rsid w:val="00CC0F9F"/>
    <w:rsid w:val="00CD11E2"/>
    <w:rsid w:val="00CD22A1"/>
    <w:rsid w:val="00CD2EA2"/>
    <w:rsid w:val="00CE3802"/>
    <w:rsid w:val="00CE3C15"/>
    <w:rsid w:val="00CE68CC"/>
    <w:rsid w:val="00CE7B29"/>
    <w:rsid w:val="00CF0505"/>
    <w:rsid w:val="00CF7F5C"/>
    <w:rsid w:val="00D01D5D"/>
    <w:rsid w:val="00D02FE8"/>
    <w:rsid w:val="00D221A8"/>
    <w:rsid w:val="00D22933"/>
    <w:rsid w:val="00D238BA"/>
    <w:rsid w:val="00D2592A"/>
    <w:rsid w:val="00D25E7E"/>
    <w:rsid w:val="00D264A8"/>
    <w:rsid w:val="00D3602A"/>
    <w:rsid w:val="00D61B24"/>
    <w:rsid w:val="00D621D5"/>
    <w:rsid w:val="00D63378"/>
    <w:rsid w:val="00D63E67"/>
    <w:rsid w:val="00D7104E"/>
    <w:rsid w:val="00D73A66"/>
    <w:rsid w:val="00D76CE3"/>
    <w:rsid w:val="00D94C36"/>
    <w:rsid w:val="00DB2023"/>
    <w:rsid w:val="00DB465C"/>
    <w:rsid w:val="00DB4B51"/>
    <w:rsid w:val="00DC33C4"/>
    <w:rsid w:val="00DD2461"/>
    <w:rsid w:val="00DD308C"/>
    <w:rsid w:val="00DD34EA"/>
    <w:rsid w:val="00DD4B30"/>
    <w:rsid w:val="00DE2EB0"/>
    <w:rsid w:val="00DE478A"/>
    <w:rsid w:val="00DE714A"/>
    <w:rsid w:val="00DF48A1"/>
    <w:rsid w:val="00DF767E"/>
    <w:rsid w:val="00E027BA"/>
    <w:rsid w:val="00E048A4"/>
    <w:rsid w:val="00E16B25"/>
    <w:rsid w:val="00E3061E"/>
    <w:rsid w:val="00E4079B"/>
    <w:rsid w:val="00E45910"/>
    <w:rsid w:val="00E505AC"/>
    <w:rsid w:val="00E62BFF"/>
    <w:rsid w:val="00E72E37"/>
    <w:rsid w:val="00E77DA5"/>
    <w:rsid w:val="00E80AFD"/>
    <w:rsid w:val="00E86559"/>
    <w:rsid w:val="00E96B63"/>
    <w:rsid w:val="00EA1924"/>
    <w:rsid w:val="00EA4A7F"/>
    <w:rsid w:val="00EA794E"/>
    <w:rsid w:val="00EB5C33"/>
    <w:rsid w:val="00EC436E"/>
    <w:rsid w:val="00ED4436"/>
    <w:rsid w:val="00ED5307"/>
    <w:rsid w:val="00ED63A7"/>
    <w:rsid w:val="00EE7D69"/>
    <w:rsid w:val="00EF3F7D"/>
    <w:rsid w:val="00EF6353"/>
    <w:rsid w:val="00F00B30"/>
    <w:rsid w:val="00F10EB6"/>
    <w:rsid w:val="00F148CD"/>
    <w:rsid w:val="00F20C6F"/>
    <w:rsid w:val="00F23361"/>
    <w:rsid w:val="00F2497A"/>
    <w:rsid w:val="00F25ACE"/>
    <w:rsid w:val="00F2797F"/>
    <w:rsid w:val="00F302C3"/>
    <w:rsid w:val="00F30329"/>
    <w:rsid w:val="00F31214"/>
    <w:rsid w:val="00F347AB"/>
    <w:rsid w:val="00F3684E"/>
    <w:rsid w:val="00F378F1"/>
    <w:rsid w:val="00F467E2"/>
    <w:rsid w:val="00F547F7"/>
    <w:rsid w:val="00F54DF2"/>
    <w:rsid w:val="00F55508"/>
    <w:rsid w:val="00F5587D"/>
    <w:rsid w:val="00F6282C"/>
    <w:rsid w:val="00F6766A"/>
    <w:rsid w:val="00F7078B"/>
    <w:rsid w:val="00F70869"/>
    <w:rsid w:val="00F9494E"/>
    <w:rsid w:val="00FA35E8"/>
    <w:rsid w:val="00FA403D"/>
    <w:rsid w:val="00FB2F72"/>
    <w:rsid w:val="00FC107C"/>
    <w:rsid w:val="00FC10B7"/>
    <w:rsid w:val="00FC3A7C"/>
    <w:rsid w:val="00FC3FA9"/>
    <w:rsid w:val="00FD0424"/>
    <w:rsid w:val="00FD3C2F"/>
    <w:rsid w:val="00FD79D2"/>
    <w:rsid w:val="00FE0FBF"/>
    <w:rsid w:val="00FF3992"/>
    <w:rsid w:val="38175D83"/>
    <w:rsid w:val="701D44D3"/>
  </w:rsids>
  <w:docVars>
    <w:docVar w:name="commondata" w:val="eyJoZGlkIjoiZGY5OGNiNGUyMjQ5MmI4ZDQ3ZjRhNGEzOTgxOWU3NG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lsdException w:name="toc 3"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sdException w:name="footnote text" w:semiHidden="0" w:unhideWhenUsed="0" w:qFormat="1"/>
    <w:lsdException w:name="annotation text" w:unhideWhenUsed="0" w:qFormat="1"/>
    <w:lsdException w:name="header" w:unhideWhenUsed="0" w:qFormat="1"/>
    <w:lsdException w:name="footer" w:semiHidden="0" w:unhideWhenUsed="0" w:qFormat="1"/>
    <w:lsdException w:name="index heading"/>
    <w:lsdException w:name="caption" w:locked="1" w:uiPriority="0" w:qFormat="1"/>
    <w:lsdException w:name="table of figures"/>
    <w:lsdException w:name="envelope address"/>
    <w:lsdException w:name="envelope return"/>
    <w:lsdException w:name="footnote reference" w:semiHidden="0" w:unhideWhenUsed="0" w:qFormat="1"/>
    <w:lsdException w:name="annotation reference"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ocked="1" w:semiHidden="0" w:uiPriority="0" w:unhideWhenUsed="0" w:qFormat="1"/>
    <w:lsdException w:name="Closing"/>
    <w:lsdException w:name="Signature"/>
    <w:lsdException w:name="Default Paragraph Font" w:uiPriority="1"/>
    <w:lsdException w:name="Body Text"/>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qFormat="1"/>
    <w:lsdException w:name="Strong" w:semiHidden="0" w:unhideWhenUsed="0" w:qFormat="1"/>
    <w:lsdException w:name="Emphasis" w:locked="1" w:semiHidden="0" w:uiPriority="0" w:unhideWhenUsed="0" w:qFormat="1"/>
    <w:lsdException w:name="Document Map"/>
    <w:lsdException w:name="Plain Text"/>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adjustRightInd w:val="0"/>
      <w:snapToGrid w:val="0"/>
      <w:spacing w:after="200"/>
    </w:pPr>
    <w:rPr>
      <w:rFonts w:ascii="Tahoma" w:eastAsia="微软雅黑" w:hAnsi="Tahoma" w:cs="Times New Roman"/>
      <w:sz w:val="22"/>
      <w:szCs w:val="24"/>
      <w:lang w:val="en-US" w:eastAsia="zh-CN" w:bidi="ar-SA"/>
    </w:rPr>
  </w:style>
  <w:style w:type="paragraph" w:styleId="Heading1">
    <w:name w:val="heading 1"/>
    <w:basedOn w:val="Normal"/>
    <w:next w:val="Normal"/>
    <w:link w:val="1Char"/>
    <w:autoRedefine/>
    <w:uiPriority w:val="99"/>
    <w:qFormat/>
    <w:pPr>
      <w:keepNext/>
      <w:keepLines/>
      <w:spacing w:beforeLines="50" w:after="0" w:line="360" w:lineRule="auto"/>
      <w:ind w:firstLine="2855" w:firstLineChars="793"/>
      <w:outlineLvl w:val="0"/>
    </w:pPr>
    <w:rPr>
      <w:rFonts w:ascii="Times New Roman" w:eastAsia="黑体" w:hAnsi="黑体"/>
      <w:bCs/>
      <w:kern w:val="44"/>
      <w:sz w:val="36"/>
      <w:szCs w:val="36"/>
    </w:rPr>
  </w:style>
  <w:style w:type="paragraph" w:styleId="Heading2">
    <w:name w:val="heading 2"/>
    <w:basedOn w:val="Normal"/>
    <w:next w:val="Normal"/>
    <w:link w:val="2Char"/>
    <w:autoRedefine/>
    <w:uiPriority w:val="99"/>
    <w:qFormat/>
    <w:pPr>
      <w:keepNext/>
      <w:keepLines/>
      <w:spacing w:before="260" w:after="260" w:line="413" w:lineRule="auto"/>
      <w:outlineLvl w:val="1"/>
    </w:pPr>
    <w:rPr>
      <w:rFonts w:ascii="Arial" w:eastAsia="黑体" w:hAnsi="Arial"/>
      <w:b/>
      <w:sz w:val="32"/>
      <w:szCs w:val="20"/>
    </w:rPr>
  </w:style>
  <w:style w:type="paragraph" w:styleId="Heading3">
    <w:name w:val="heading 3"/>
    <w:basedOn w:val="Normal"/>
    <w:next w:val="Normal"/>
    <w:link w:val="3Char"/>
    <w:autoRedefine/>
    <w:uiPriority w:val="99"/>
    <w:qFormat/>
    <w:pPr>
      <w:keepNext/>
      <w:keepLines/>
      <w:spacing w:before="260" w:after="260" w:line="413" w:lineRule="auto"/>
      <w:outlineLvl w:val="2"/>
    </w:pPr>
    <w:rPr>
      <w:b/>
      <w:sz w:val="32"/>
      <w:szCs w:val="20"/>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
    <w:uiPriority w:val="99"/>
    <w:semiHidden/>
    <w:qFormat/>
    <w:rPr>
      <w:szCs w:val="20"/>
    </w:rPr>
  </w:style>
  <w:style w:type="paragraph" w:styleId="BodyTextIndent">
    <w:name w:val="Body Text Indent"/>
    <w:basedOn w:val="Normal"/>
    <w:link w:val="Char5"/>
    <w:uiPriority w:val="99"/>
    <w:unhideWhenUsed/>
    <w:qFormat/>
    <w:pPr>
      <w:widowControl w:val="0"/>
      <w:adjustRightInd/>
      <w:snapToGrid/>
      <w:spacing w:after="120"/>
      <w:ind w:left="420" w:leftChars="200"/>
      <w:jc w:val="both"/>
    </w:pPr>
    <w:rPr>
      <w:rFonts w:ascii="Times New Roman" w:eastAsia="宋体" w:hAnsi="Times New Roman"/>
      <w:kern w:val="2"/>
      <w:sz w:val="21"/>
      <w:szCs w:val="20"/>
    </w:rPr>
  </w:style>
  <w:style w:type="paragraph" w:styleId="TOC3">
    <w:name w:val="toc 3"/>
    <w:basedOn w:val="Normal"/>
    <w:next w:val="Normal"/>
    <w:uiPriority w:val="39"/>
    <w:qFormat/>
    <w:pPr>
      <w:ind w:left="840" w:leftChars="400"/>
    </w:pPr>
  </w:style>
  <w:style w:type="paragraph" w:styleId="BalloonText">
    <w:name w:val="Balloon Text"/>
    <w:basedOn w:val="Normal"/>
    <w:link w:val="Char0"/>
    <w:autoRedefine/>
    <w:uiPriority w:val="99"/>
    <w:semiHidden/>
    <w:qFormat/>
    <w:pPr>
      <w:spacing w:after="0"/>
    </w:pPr>
    <w:rPr>
      <w:sz w:val="18"/>
      <w:szCs w:val="18"/>
    </w:rPr>
  </w:style>
  <w:style w:type="paragraph" w:styleId="Footer">
    <w:name w:val="footer"/>
    <w:basedOn w:val="Normal"/>
    <w:link w:val="Char2"/>
    <w:autoRedefine/>
    <w:uiPriority w:val="99"/>
    <w:qFormat/>
    <w:pPr>
      <w:tabs>
        <w:tab w:val="center" w:pos="4153"/>
        <w:tab w:val="right" w:pos="8306"/>
      </w:tabs>
    </w:pPr>
    <w:rPr>
      <w:sz w:val="18"/>
      <w:szCs w:val="18"/>
    </w:rPr>
  </w:style>
  <w:style w:type="paragraph" w:styleId="Header">
    <w:name w:val="header"/>
    <w:basedOn w:val="Normal"/>
    <w:link w:val="Char1"/>
    <w:uiPriority w:val="99"/>
    <w:semiHidden/>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style>
  <w:style w:type="paragraph" w:styleId="FootnoteText">
    <w:name w:val="footnote text"/>
    <w:basedOn w:val="Normal"/>
    <w:link w:val="Char3"/>
    <w:autoRedefine/>
    <w:uiPriority w:val="99"/>
    <w:qFormat/>
    <w:rPr>
      <w:sz w:val="18"/>
      <w:szCs w:val="20"/>
    </w:rPr>
  </w:style>
  <w:style w:type="paragraph" w:styleId="TOC2">
    <w:name w:val="toc 2"/>
    <w:basedOn w:val="Normal"/>
    <w:next w:val="Normal"/>
    <w:uiPriority w:val="39"/>
    <w:pPr>
      <w:ind w:left="420" w:leftChars="200"/>
    </w:pPr>
  </w:style>
  <w:style w:type="paragraph" w:styleId="HTMLPreformatted">
    <w:name w:val="HTML Preformatted"/>
    <w:basedOn w:val="Normal"/>
    <w:link w:val="HTML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Arial" w:eastAsia="宋体" w:hAnsi="Arial" w:cs="Arial"/>
      <w:sz w:val="24"/>
    </w:rPr>
  </w:style>
  <w:style w:type="paragraph" w:styleId="NormalWeb">
    <w:name w:val="Normal (Web)"/>
    <w:basedOn w:val="Normal"/>
    <w:autoRedefine/>
    <w:uiPriority w:val="99"/>
    <w:qFormat/>
    <w:pPr>
      <w:adjustRightInd/>
      <w:snapToGrid/>
      <w:spacing w:before="100" w:beforeAutospacing="1" w:after="100" w:afterAutospacing="1"/>
    </w:pPr>
    <w:rPr>
      <w:rFonts w:ascii="宋体" w:eastAsia="宋体" w:hAnsi="宋体" w:cs="宋体"/>
      <w:sz w:val="24"/>
    </w:rPr>
  </w:style>
  <w:style w:type="paragraph" w:styleId="CommentSubject">
    <w:name w:val="annotation subject"/>
    <w:basedOn w:val="CommentText"/>
    <w:next w:val="CommentText"/>
    <w:link w:val="Char4"/>
    <w:autoRedefine/>
    <w:uiPriority w:val="99"/>
    <w:semiHidden/>
    <w:qFormat/>
    <w:rPr>
      <w:b/>
      <w:bCs/>
    </w:rPr>
  </w:style>
  <w:style w:type="table" w:styleId="TableGrid">
    <w:name w:val="Table Grid"/>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uiPriority w:val="99"/>
    <w:qFormat/>
    <w:rPr>
      <w:rFonts w:cs="Times New Roman"/>
      <w:b/>
      <w:bCs/>
    </w:rPr>
  </w:style>
  <w:style w:type="character" w:styleId="FollowedHyperlink">
    <w:name w:val="FollowedHyperlink"/>
    <w:uiPriority w:val="99"/>
    <w:semiHidden/>
    <w:unhideWhenUsed/>
    <w:qFormat/>
    <w:rPr>
      <w:color w:val="800080"/>
      <w:u w:val="single"/>
    </w:rPr>
  </w:style>
  <w:style w:type="character" w:styleId="Hyperlink">
    <w:name w:val="Hyperlink"/>
    <w:autoRedefine/>
    <w:uiPriority w:val="99"/>
    <w:qFormat/>
    <w:rPr>
      <w:rFonts w:cs="Times New Roman"/>
      <w:color w:val="0000FF"/>
      <w:u w:val="single"/>
    </w:rPr>
  </w:style>
  <w:style w:type="character" w:styleId="CommentReference">
    <w:name w:val="annotation reference"/>
    <w:autoRedefine/>
    <w:uiPriority w:val="99"/>
    <w:semiHidden/>
    <w:qFormat/>
    <w:rPr>
      <w:rFonts w:cs="Times New Roman"/>
      <w:sz w:val="21"/>
      <w:szCs w:val="21"/>
    </w:rPr>
  </w:style>
  <w:style w:type="character" w:styleId="FootnoteReference">
    <w:name w:val="footnote reference"/>
    <w:autoRedefine/>
    <w:uiPriority w:val="99"/>
    <w:qFormat/>
    <w:rPr>
      <w:rFonts w:cs="Times New Roman"/>
      <w:vertAlign w:val="superscript"/>
    </w:rPr>
  </w:style>
  <w:style w:type="character" w:customStyle="1" w:styleId="1Char">
    <w:name w:val="标题 1 Char"/>
    <w:link w:val="Heading1"/>
    <w:uiPriority w:val="99"/>
    <w:qFormat/>
    <w:locked/>
    <w:rPr>
      <w:rFonts w:ascii="Times New Roman" w:eastAsia="黑体" w:hAnsi="黑体" w:cs="Times New Roman"/>
      <w:bCs/>
      <w:kern w:val="44"/>
      <w:sz w:val="36"/>
      <w:szCs w:val="36"/>
    </w:rPr>
  </w:style>
  <w:style w:type="character" w:customStyle="1" w:styleId="2Char">
    <w:name w:val="标题 2 Char"/>
    <w:link w:val="Heading2"/>
    <w:uiPriority w:val="99"/>
    <w:qFormat/>
    <w:locked/>
    <w:rPr>
      <w:rFonts w:ascii="Arial" w:eastAsia="黑体" w:hAnsi="Arial" w:cs="Times New Roman"/>
      <w:b/>
      <w:kern w:val="0"/>
      <w:sz w:val="32"/>
    </w:rPr>
  </w:style>
  <w:style w:type="character" w:customStyle="1" w:styleId="3Char">
    <w:name w:val="标题 3 Char"/>
    <w:link w:val="Heading3"/>
    <w:uiPriority w:val="99"/>
    <w:qFormat/>
    <w:locked/>
    <w:rPr>
      <w:rFonts w:ascii="Tahoma" w:eastAsia="微软雅黑" w:hAnsi="Tahoma" w:cs="Times New Roman"/>
      <w:b/>
      <w:kern w:val="0"/>
      <w:sz w:val="32"/>
    </w:rPr>
  </w:style>
  <w:style w:type="character" w:customStyle="1" w:styleId="Char">
    <w:name w:val="批注文字 Char"/>
    <w:link w:val="CommentText"/>
    <w:uiPriority w:val="99"/>
    <w:semiHidden/>
    <w:locked/>
    <w:rPr>
      <w:rFonts w:ascii="Tahoma" w:eastAsia="微软雅黑" w:hAnsi="Tahoma" w:cs="Times New Roman"/>
      <w:kern w:val="0"/>
      <w:sz w:val="22"/>
    </w:rPr>
  </w:style>
  <w:style w:type="character" w:customStyle="1" w:styleId="Char0">
    <w:name w:val="批注框文本 Char"/>
    <w:link w:val="BalloonText"/>
    <w:uiPriority w:val="99"/>
    <w:semiHidden/>
    <w:qFormat/>
    <w:locked/>
    <w:rPr>
      <w:rFonts w:ascii="Tahoma" w:eastAsia="微软雅黑" w:hAnsi="Tahoma" w:cs="Times New Roman"/>
      <w:kern w:val="0"/>
      <w:sz w:val="18"/>
      <w:szCs w:val="18"/>
    </w:rPr>
  </w:style>
  <w:style w:type="paragraph" w:customStyle="1" w:styleId="tgt2">
    <w:name w:val="tgt2"/>
    <w:basedOn w:val="Normal"/>
    <w:autoRedefine/>
    <w:uiPriority w:val="99"/>
    <w:qFormat/>
    <w:pPr>
      <w:adjustRightInd/>
      <w:snapToGrid/>
      <w:spacing w:after="150" w:line="360" w:lineRule="auto"/>
    </w:pPr>
    <w:rPr>
      <w:rFonts w:ascii="宋体" w:eastAsia="宋体" w:hAnsi="宋体" w:cs="宋体"/>
      <w:b/>
      <w:bCs/>
      <w:sz w:val="36"/>
      <w:szCs w:val="36"/>
    </w:rPr>
  </w:style>
  <w:style w:type="character" w:customStyle="1" w:styleId="Char1">
    <w:name w:val="页眉 Char"/>
    <w:link w:val="Header"/>
    <w:uiPriority w:val="99"/>
    <w:semiHidden/>
    <w:locked/>
    <w:rPr>
      <w:rFonts w:ascii="Tahoma" w:eastAsia="微软雅黑" w:hAnsi="Tahoma" w:cs="Times New Roman"/>
      <w:kern w:val="0"/>
      <w:sz w:val="18"/>
      <w:szCs w:val="18"/>
    </w:rPr>
  </w:style>
  <w:style w:type="character" w:customStyle="1" w:styleId="Char2">
    <w:name w:val="页脚 Char"/>
    <w:link w:val="Footer"/>
    <w:uiPriority w:val="99"/>
    <w:locked/>
    <w:rPr>
      <w:rFonts w:ascii="Tahoma" w:eastAsia="微软雅黑" w:hAnsi="Tahoma" w:cs="Times New Roman"/>
      <w:kern w:val="0"/>
      <w:sz w:val="18"/>
      <w:szCs w:val="18"/>
    </w:rPr>
  </w:style>
  <w:style w:type="character" w:customStyle="1" w:styleId="1">
    <w:name w:val="不明显强调1"/>
    <w:autoRedefine/>
    <w:uiPriority w:val="99"/>
    <w:qFormat/>
    <w:rPr>
      <w:rFonts w:cs="Times New Roman"/>
      <w:i/>
      <w:iCs/>
      <w:color w:val="808080"/>
    </w:rPr>
  </w:style>
  <w:style w:type="character" w:customStyle="1" w:styleId="Char3">
    <w:name w:val="脚注文本 Char"/>
    <w:link w:val="FootnoteText"/>
    <w:autoRedefine/>
    <w:uiPriority w:val="99"/>
    <w:qFormat/>
    <w:locked/>
    <w:rPr>
      <w:rFonts w:ascii="Tahoma" w:eastAsia="微软雅黑" w:hAnsi="Tahoma" w:cs="Times New Roman"/>
      <w:kern w:val="0"/>
      <w:sz w:val="18"/>
    </w:rPr>
  </w:style>
  <w:style w:type="character" w:customStyle="1" w:styleId="Char4">
    <w:name w:val="批注主题 Char"/>
    <w:link w:val="CommentSubject"/>
    <w:autoRedefine/>
    <w:uiPriority w:val="99"/>
    <w:semiHidden/>
    <w:qFormat/>
    <w:locked/>
    <w:rPr>
      <w:rFonts w:ascii="Tahoma" w:eastAsia="微软雅黑" w:hAnsi="Tahoma" w:cs="Times New Roman"/>
      <w:b/>
      <w:bCs/>
      <w:kern w:val="0"/>
      <w:sz w:val="22"/>
    </w:rPr>
  </w:style>
  <w:style w:type="paragraph" w:styleId="ListParagraph">
    <w:name w:val="List Paragraph"/>
    <w:basedOn w:val="Normal"/>
    <w:autoRedefine/>
    <w:uiPriority w:val="99"/>
    <w:qFormat/>
    <w:pPr>
      <w:ind w:firstLine="420" w:firstLineChars="200"/>
    </w:pPr>
  </w:style>
  <w:style w:type="paragraph" w:customStyle="1" w:styleId="TOC10">
    <w:name w:val="TOC 标题1"/>
    <w:basedOn w:val="Heading1"/>
    <w:next w:val="Normal"/>
    <w:autoRedefine/>
    <w:uiPriority w:val="99"/>
    <w:qFormat/>
    <w:pPr>
      <w:adjustRightInd/>
      <w:snapToGrid/>
      <w:spacing w:beforeLines="0" w:line="276" w:lineRule="auto"/>
      <w:ind w:firstLine="0" w:firstLineChars="0"/>
      <w:outlineLvl w:val="9"/>
    </w:pPr>
    <w:rPr>
      <w:rFonts w:ascii="Cambria" w:eastAsia="宋体" w:hAnsi="Cambria"/>
      <w:b/>
      <w:color w:val="365F91"/>
      <w:kern w:val="0"/>
      <w:sz w:val="28"/>
      <w:szCs w:val="28"/>
    </w:rPr>
  </w:style>
  <w:style w:type="character" w:customStyle="1" w:styleId="Char5">
    <w:name w:val="正文文本缩进 Char"/>
    <w:basedOn w:val="DefaultParagraphFont"/>
    <w:link w:val="BodyTextIndent"/>
    <w:autoRedefine/>
    <w:uiPriority w:val="99"/>
    <w:qFormat/>
    <w:rPr>
      <w:rFonts w:ascii="Times New Roman" w:hAnsi="Times New Roman"/>
      <w:kern w:val="2"/>
      <w:sz w:val="21"/>
    </w:rPr>
  </w:style>
  <w:style w:type="character" w:customStyle="1" w:styleId="HTMLChar">
    <w:name w:val="HTML 预设格式 Char"/>
    <w:basedOn w:val="DefaultParagraphFont"/>
    <w:link w:val="HTMLPreformatted"/>
    <w:autoRedefine/>
    <w:qFormat/>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yperlink" Target="https://d.book118.com/69810510601100602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4BCE0-2DB5-4423-9578-8EF784DFD5F3}">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2</Pages>
  <Words>3484</Words>
  <Characters>19864</Characters>
  <Application>Microsoft Office Word</Application>
  <DocSecurity>0</DocSecurity>
  <Lines>165</Lines>
  <Paragraphs>46</Paragraphs>
  <ScaleCrop>false</ScaleCrop>
  <Company>Sky123.Org</Company>
  <LinksUpToDate>false</LinksUpToDate>
  <CharactersWithSpaces>23302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7</cp:revision>
  <cp:lastPrinted>2021-05-23T05:49:00Z</cp:lastPrinted>
  <dcterms:created xsi:type="dcterms:W3CDTF">2020-04-02T06:02:00Z</dcterms:created>
  <dcterms:modified xsi:type="dcterms:W3CDTF">2024-01-01T06:02:24Z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D0F7B08805F846A79F024BE59E4E5F6C_12</vt:lpwstr>
  </property>
  <property fmtid="{D5CDD505-2E9C-101B-9397-08002B2CF9AE}" pid="3" name="KSOProductBuildVer">
    <vt:lpwstr>2052-12.1.0.16120</vt:lpwstr>
  </property>
</Properties>
</file>