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center"/>
        <w:textAlignment w:val="auto"/>
        <w:rPr>
          <w:rFonts w:ascii="宋体" w:eastAsia="宋体" w:hAnsi="宋体" w:cs="宋体" w:hint="eastAsia"/>
          <w:outline w:val="0"/>
          <w:shadow w:val="0"/>
          <w:emboss w:val="0"/>
          <w:imprint w:val="0"/>
          <w:vanish w:val="0"/>
          <w:w w:val="100"/>
          <w:sz w:val="28"/>
          <w:szCs w:val="28"/>
          <w:u w:val="none"/>
          <w:lang w:eastAsia="zh-CN"/>
        </w:rPr>
      </w:pPr>
      <w:bookmarkStart w:id="0" w:name="_GoBack"/>
      <w:bookmarkEnd w:id="0"/>
      <w:r>
        <w:rPr>
          <w:rFonts w:ascii="宋体" w:eastAsia="宋体" w:hAnsi="宋体" w:cs="宋体" w:hint="eastAsia"/>
          <w:outline w:val="0"/>
          <w:shadow w:val="0"/>
          <w:emboss w:val="0"/>
          <w:imprint w:val="0"/>
          <w:vanish w:val="0"/>
          <w:w w:val="100"/>
          <w:sz w:val="28"/>
          <w:szCs w:val="28"/>
          <w:u w:val="none"/>
          <w:lang w:eastAsia="zh-CN"/>
        </w:rPr>
        <w:t>造价工程师（建设部）：建设工程造价管理考试资料（最新版）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1、多选 对于生产企业，应优先选择为价值工程的对象的情形有（）。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A.结构复杂或落后的产品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B.制造工序多或制造方法落后及手工劳动较多的产品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C.原材料种类繁多和</w:t>
      </w:r>
      <w:r>
        <w:rPr>
          <w:rFonts w:ascii="宋体" w:eastAsia="宋体" w:hAnsi="宋体" w:cs="宋体" w:hint="eastAsia"/>
          <w:outline w:val="0"/>
          <w:shadow w:val="0"/>
          <w:emboss w:val="0"/>
          <w:imprint w:val="0"/>
          <w:vanish w:val="0"/>
          <w:w w:val="100"/>
          <w:sz w:val="28"/>
          <w:szCs w:val="28"/>
          <w:u w:val="none"/>
          <w:lang w:eastAsia="zh-CN"/>
        </w:rPr>
        <w:t>（江南博哥）</w:t>
      </w:r>
      <w:r>
        <w:rPr>
          <w:rFonts w:ascii="宋体" w:eastAsia="宋体" w:hAnsi="宋体" w:cs="宋体" w:hint="eastAsia"/>
          <w:outline w:val="0"/>
          <w:shadow w:val="0"/>
          <w:emboss w:val="0"/>
          <w:imprint w:val="0"/>
          <w:vanish w:val="0"/>
          <w:w w:val="100"/>
          <w:sz w:val="28"/>
          <w:szCs w:val="28"/>
          <w:u w:val="none"/>
        </w:rPr>
        <w:t>互换材料较多的产品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D.在总成本中所占比重大的产品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E.废品率高的和关键性的产品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2、单选 产品功能重要性系数的常用打分方法中，（）适用于被评价对象在功能重要程度上的差异不太大，并且评价对象的功能数目不太多的情况。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A.多比例评分法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B.环比评分法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C.逻辑评分法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D.强制打分法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3、单选 施工成本管理中成本控制的环节不包括（）。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A.计划控制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B.实施控制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C.过程控制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D.纠偏控制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4、单选 建筑工程依法实行招标发包，对不适于招标发包的可以（）发包。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A.代理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B.直接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C.委托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D.肢解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5、单选 根据《土地管理法》的规定，涉及农用地转为建设用地，应当办理农用地转用（）手续。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A.审批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B.补偿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C.申请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D.安置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6、单选 某企业从设备租赁公司租借一台价格为70万元的设备，总租期为5年，每年末支付租金，折现率为10%，则年租金为（）万元。系数（A/P，10%，5）=1/3.791。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pgSz w:w="11906" w:h="16838"/>
          <w:pgMar w:top="1440" w:right="1080" w:bottom="1440" w:left="1080" w:header="851" w:footer="992" w:gutter="0"/>
          <w:cols w:num="1" w:space="425"/>
          <w:docGrid w:type="lines" w:linePitch="312" w:charSpace="0"/>
        </w:sectPr>
      </w:pPr>
      <w:r>
        <w:rPr>
          <w:rFonts w:ascii="宋体" w:eastAsia="宋体" w:hAnsi="宋体" w:cs="宋体" w:hint="eastAsia"/>
          <w:outline w:val="0"/>
          <w:shadow w:val="0"/>
          <w:emboss w:val="0"/>
          <w:imprint w:val="0"/>
          <w:vanish w:val="0"/>
          <w:w w:val="100"/>
          <w:sz w:val="28"/>
          <w:szCs w:val="28"/>
          <w:u w:val="none"/>
        </w:rPr>
        <w:t>A.23.12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B.19.46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C.18.46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D.16.88</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采用年金法计算租金，期末支付方式租金计算公式：R=P（A／P，i，N）=70×（A／P，10%，5）=18.46。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7、单选 根据我国《招标投标法》的规定，下列情形不属于投标重大偏差的是（）。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A.投标文件没有投标人授权代表签字和加盖公章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B.投标文件载明的货物包装方式不符合招标文件的要求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C.投标文件在个别地方存在漏项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D.投标人提供的投标担保有瑕疵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8、单选 债的最主要、最普遍的发生根据是（）。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A.合同之债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B.无因管理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C.侵权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D.不当得利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9、单选 关于BOT与ABS的区别，表述正确的是（）。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A.ABS方式的操作复杂，难度大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B.ABS项目的所有权、运营权在特许期内属于项目公司</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C.BOT方式中，在债券的发行期内，项目资产的所有权属于SPC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D.BOT项目投资人一般都为企业或金融机构，其投资是不能随便放弃和转让的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10、单选 根据我国《税收征收管理法》的规定，以下属于财产税的是（）。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A.营业税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B.印花税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C.契税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D.耕地占用税</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2"/>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财产税以财产的价值额或租金额为征税对象，包括房产税、土地增值税、车船税、契税等；流转税是以商品流转额和非商品（劳务）流转额为征税对象的税，主要包括增值税、消费税、营业税、关税、城市维护建设税等；所得税以纳税人的收益额为征税对象，包括企业所得税和个人所得税；行为税以特定行为为征税对象，包括城镇土地使用税、固定资产投资方向调节税、耕地占用税、印花税、屠宰税、筵席税等；资源税是为了促进合理开发利用资源，调节资源级差收入而对资源产品征收的各种税的统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11、单选 一个建设项目是一个工程综合体，它可以分解为许多有内在联系的工程。当按照工程材料、施工工艺等进行划分时，分出的工程项目是（）。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A.单项工程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B.单位工程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C.分部工程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D.分项工程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12、单选 在投资运营方案中，各年的总成本费用不包括（）。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A.修理费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B.流动资产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C.财务费用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D.折旧费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13、单选 最常用的定性预测方法是（）。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A.调查研究判断法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B.函询调查法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C.座谈会法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D.回归分析法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14、多选 价值工程中的功能，一般是指必要功能，下列（）是必要功能。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A.使用功能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B.美学功能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C.辅助功能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D.重复功能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E.多余功能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15、单选 根据我国《合同法》的规定，属于可变更、可撤销合同的是（）的合同。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A.以欺诈、胁迫手段订立损害国家利益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B.以合法形式掩盖非法目的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C.因重大误解订立或订立时显失公平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D.恶意串通，损害国家、集体或第三人利益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16、多选 投资收益率指标的不足之处是（）。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A.经济意义不够明确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B.没有考虑投资收益的时间因素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C.计算复杂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3"/>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D.忽视了资金具有时间价值的重要性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E.不能适用于各种投资规模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17、单选 工程项目管理是指组织运用系统工程的观点、理论和方法对工程项目周期内的所有工作进行计划、组织、指挥、协调和（）的过程。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A.研究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B.监督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C.审核</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D.控制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18、多选 投资方案经济效果评价中所涉及的税金主要包括（）。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A.关税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B.房产税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C.印花税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D.增值税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E.营业税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D, 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19、多选 下列（）情形将撤销造价工程师的注册。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A.造价工程师不具有完全民事行为能力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B.不履行造价工程师的义务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C.行政机关超越法定职权做出准予注册许可的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D.申请人以欺骗的手段获准注册的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E.在执业过程中实施商业贿赂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20、单选 累加数列错位相减取大差法的基本步骤的第一步是（）。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A.求得各施工过程流水节拍的累加数列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B.将相邻施工过程流水节拍累加数列中的后者错后一位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C.计算相邻施工过程之间的流水步距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D.计算最后一个施工过程在各施工段流水节拍之和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21、单选 风险识别方法中，专家调查法不包括（）。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A.头脑风暴法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B.德尔菲法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C.风险清单法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D.访谈法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22、单选 概率分析又称（），是利用概率来研究和预测不确定因素对项目经济评价指标影响的一种定量分析方法。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4"/>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A.经济分析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B.风险分析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C.效果分析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D.预测分析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23、多选 对当事人依据无效合同或者被撤销的合同而取得的财产的处理包括（）。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A.返还财产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B.折价补偿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C.赔偿损失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D.请求合同变更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E.收归国家所有或者返还集体、第三人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24、单选 根据《招标投标法》的规定，依法必须进行招标的项目，自招标文件开始发出之日起至投标人提交投标文件截止之日止，最短不得少于（）d。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D.20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25、单选 在下列固定资产折旧方法中，每年折旧率均相等的是（）。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A.工作量法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B.双倍余额递减法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C.年数总和法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D.平均年限法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26、多选 按功能的量化标准分类，产品的功能可分为（）。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A.过剩功能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B.不足功能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C.必要功能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D.不必要功能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E.辅助功能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27、单选 下列关于工程项目风险识别的说法中，不正确的是（）。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A.风险识别是风险管理中的首要步骤和基础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B.风险识别的主要内容是识别引起风险的主要因素，识别风险的性质，识别风险的后果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C.头脑风暴法是最常用的风险识别方法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5"/>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D.初始风险清单法是最有效的风险识别方法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28、单选 根据《注册造价工程师管理办法》的规定，对申请变更注册、延续注册的，注册初审机关应当自受理申请之日起（）d内审查完毕，并将申请材料和初审意见报注册机关。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D.20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29、多选 《政府采购法》中规定的政府采购，可采用邀请招标方式采购的情形是（）。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A.具有特殊性，只能从有限范围的供应商处采购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B.采用公开招标方式的费用占政府采购项目总价值的比例过大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C.招标后没有供应商投标或没有合格标的或重新招标未能成立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D.技术复杂或性质特殊，不能确定详细规格或具体要求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E.采用招标所需时间不能满足用户紧急需要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30、单选 根据现行要求采用吸收国外资本直接投资筹措项目资本金时，投资额为380万美元，以下注册资本数符合规定的是（）。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A.152万美元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B.160万美元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C.200万美元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D.260万美元</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吸收国外资本直接投资，按照现行规定：（1）投资总额在300万美元及以下的，其注册资本不得低于投资总额的70%。（2）投资总额在300万美元以上至1000万美元（含1000万美元）的，其注册资本不得低于投资总额的50%，其中投资总额在420万美元以下的，注册资本不得低于210万美元。（3）投资总额在1000万美元以上至3000万美元（含3000万美元）的，其注册资本不得低于投资总额的40%，其中投资总额在1250万美元以下的，注册资本不得低于500万美元。（4）投资总额在3000万美元以上的，其注册资本不得低于投资总额的1/3，其中投资总额在3600万美元以下的，注册资本不得低于1200万美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31、多选 合同部分条款无效的情形有（）。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A.造成对方人身伤害的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B.损害社会公共利益的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C.以合法形式掩盖非法目的的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6"/>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D.违反法律、行政法规的强制性规定的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E.因故意或者重大过失造成对方财产损失的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32、单选 关于投标报价策略论述正确的有（）。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A.施工条件好且工程量大的工程可适当提高报价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B.工期要求紧，但支付条件理想的工程应较大幅度提高报价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C.当招标文件中部分条款不公正时，可采用增加建设方案法报价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D.一个建设项目总报价确定后，内部调整时，地基基础部分可适当提高报价</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可选择报高价的情形：施工条件差的工程（如条件艰苦、场地狭小或地处交通要道等）；专业要求高的技术密集型工程且投标单位在这方面有专长，声望也较高；总价低的小工程，以及投标单位不愿做而被邀请投标，又不便不投标的工程；特殊工程，如港口码头、地下开挖工程等；投标对手少的工程；工期要求紧的工程；支付条件不理想的工程。可选择报低价的情形：施工条件好的工程，工作简单。工程量大而其他投标人都可以做的工程（如大量土方工程、一般房屋建筑工程等）；投标单位急于打入某一市场、某一地区，或虽已在某一地区经营多年，但即将面临没有工程的情况，机械设备无工地转移时；附近有工程而本项目可利用该工程的设备、劳务或有条件短期内突击完成的工程；投标对手多，竞争激烈的工程；非急需工程；支付条件好的工程。对比两种条件得知A、B把两种概念混淆；招标文件中有时规定，可提一个建议方案，即可以修改原设计方案，提出投标单位的方案，所以C错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33、单选 根据我国现行规定，融资租赁房屋的，房产税的计税依据为（）。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A.房产原值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B.房产租金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C.房产余值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D.房产现值</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房产税的计税依据和税率包括：从价计征，计税依据是房产原值一次减除10%～30%的扣除比例后的余值，税率为1.2%；从租计征，计税依据为房产租金收入，税率为12%，对个人按市场价格出租的居民住房，暂按4%税率征收房产税。其中，融资租赁房屋的，从价计征，以房产余值为计税依据计征房产税；从租计征只限于房产经营租赁租金收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34、单选 工程项目平行承包模式的特点不包括（）。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A.有利于业主择优选定承包商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B.有利于控制工程质量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C.对业主而言，选择总承包商的范围小，一般合同金额较高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D.组织管理和协调工作量大</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7"/>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企业未来经营净现金流量中，财务费用及流动资金占用的增加部分将不能用于固定资产投资，折旧、无形及其他资产摊销通常认为可用于再投资或偿还债务，净利润中有一部分可能需要用于分红或用作盈余公积金和公益金留存，其余部分可用于再投资或偿还债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35</w:t>
      </w:r>
      <w:r>
        <w:rPr>
          <w:rFonts w:ascii="宋体" w:eastAsia="宋体" w:hAnsi="宋体" w:cs="宋体" w:hint="eastAsia"/>
          <w:outline w:val="0"/>
          <w:shadow w:val="0"/>
          <w:emboss w:val="0"/>
          <w:imprint w:val="0"/>
          <w:vanish w:val="0"/>
          <w:w w:val="100"/>
          <w:sz w:val="28"/>
          <w:szCs w:val="28"/>
          <w:u w:val="none"/>
          <w:lang w:eastAsia="zh-CN"/>
        </w:rPr>
        <w:t>、多选?</w:t>
      </w:r>
      <w:r>
        <w:rPr>
          <w:rFonts w:ascii="宋体" w:eastAsia="宋体" w:hAnsi="宋体" w:cs="宋体" w:hint="eastAsia"/>
          <w:outline w:val="0"/>
          <w:shadow w:val="0"/>
          <w:emboss w:val="0"/>
          <w:imprint w:val="0"/>
          <w:vanish w:val="0"/>
          <w:w w:val="100"/>
          <w:sz w:val="28"/>
          <w:szCs w:val="28"/>
          <w:u w:val="none"/>
        </w:rPr>
        <w:t>某建设项目的现金流量图如下，则下列等式正确的有（）。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outline w:val="0"/>
          <w:shadow w:val="0"/>
          <w:emboss w:val="0"/>
          <w:imprint w:val="0"/>
          <w:vanish w:val="0"/>
          <w:w w:val="100"/>
          <w:sz w:val="28"/>
          <w:szCs w:val="28"/>
          <w:u w:val="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75pt;height:81pt" coordsize="21600,21600" o:preferrelative="t" filled="f" stroked="f">
            <v:stroke joinstyle="miter"/>
            <v:imagedata r:id="rId4" r:href="rId5" o:title=""/>
            <o:lock v:ext="edit" aspectratio="t"/>
            <w10:anchorlock/>
          </v:shape>
        </w:pic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A.P＝A（P／A，i，n-1）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B.P＝A（1+i）（P／A，i，n）</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C.P＝A（P／A，i，n）（F／P，i，1）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D.P＝A（F／A，i，n）（P／F，i，n-1）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E.P＝A（F／A，i，n）（P／F，i，n）</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36、单选 下列不纳营业税的是（）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A.总承包企业将工程分包的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B.个人销售其购置的不动产的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C.从事建筑、修缮、装饰工程作业的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D.自建自用的房屋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37、单选 按照现行财务制度规定，对于停止使用的固定资产，应从（）起停止计提折旧。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A.停止使用的当月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B.停止使用月份的次月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C.停止使用年度的次年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D.停止使用的当年</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对于固定资产的折旧，应从固定资产投入使用的次月起，按月计提，停止使用的固定资产，从停用月份的次月起，停止计提折旧。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38、单选 价值工程对象选择往往要兼顾（）分析。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A.宏观和微观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B.定性和定量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C.主观和客观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D.动态和静态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39、单选 下列关于网络计划的工期优化说法正确的是（）。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8"/>
          <w:cols w:num="1" w:space="425"/>
          <w:titlePg w:val="0"/>
          <w:docGrid w:type="lines" w:linePitch="312" w:charSpace="0"/>
        </w:sectPr>
      </w:pP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A.在优化工期时，只要能够缩短网络计划的计算工期，可以改变各项工作的逻辑关系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B.进行工期优化时，一般首先压缩持续时间较长的工作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C.进行工期优化时，只能关键压缩工作的持续时间，且不能将关键工作压缩为非关键工作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D.压缩工期时，可以不考虑对费用的影响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40、单选 根据我国现行规定，工程造价咨询企业出具的工程造价成果文件除由执行咨询业务的注册造价工程师签字、加盖执业印章外，还应当加盖（）。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A.工程造价咨询企业法定代表人印章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B.工程造价咨询企业执业印章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C.工程造价咨询项目负责人印章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D.工程造价咨询企业技术负责人印章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41、多选 利用功能指数法进行价值分析时，如果VI&gt;1，出现这种情况的原因可能是（）。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A.目前成本偏低，不能满足评价对象应具有的功能要求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B.功能过剩，已经超过了其应具有的功能水平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C.功能成本比较好，正是价值分析所追求的目标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D.功能很重要但成本较低，不必列为改进对象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E.实现功能的条件和方法不佳，致使成本过高</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当VI&gt;1时，此时评价对象的成本比重小于其功能比重。出现这种结果的原因可能有三个：（1）由于现实成本偏低，不能满足评价对象实现其应具有的功能的要求，致使对象功能偏低，这种情况应列为改进对象，改善方向是增加成本。（2）对象目前具有的功能已经超过了其应该具有的水平，也即存在过剩功能，这种情况也应列为改进对象，改善方向是降低功能水平。（3）对象在技术、经济等方面具有某些特征，在客观上存在着功能很重要而需要消耗的成本却很少的情况，这种情况一般就不必列为改进对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42、多选 下列关于异节奏流水施工特点的说法中， 正确的有（）。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A.同一施工过程在各个施工段上的流水节拍不全相等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B.相邻专业工作队之间的流水步距不尽相等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C.专业工作队的数量等于施工过程的数量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D.各个专业队在施工段上能够连续作业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E.流水施工工期等于施工段数与流水节拍的乘积</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9"/>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异节奏流水施工特点主要有以下四个方面：（1）同一施工过程在各个施工段上的流水节拍均相等；不同施工过程之间的流水节拍不尽相等；（2）相邻施工过程之间的流水步距不尽相等；（3）专业工作队数等于施工过程数；（4）各个专业工作队在施工段上能够连续作业，施工段之间可能存在空闲时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43、单选 对于银行和其他债权人而言，项目融资的安全性来自于（）。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A.项目本身的经济强度和项目之外的各种担保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B.项目本身的经营能力和项目之外的融资渠道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C.项目本身的财务状况和各种担保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D.项目本身的负债结构和融资渠道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44、单选 乙级工程造价咨询企业资质标准中，企业出资人中，注册造价工程师人数不低于出资人总人数的60%，且其出资额不低于注册资本的（）。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A.20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B.60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C.30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D.90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45、多选 关于费用偏差分析的说法中，错误的是（）。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A.累计偏差分析需要以局部偏差分析结果为基础进行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B.进行费用偏差分析时，只能采用绝对偏差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C.绝对偏差与相对偏差既不受工程项目层次的限制，也不受工程项目实施时间的限制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D.造成局部偏差的原因一般较为明确，分析结果较为可靠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E.费用偏差既可用于工程项目内部的偏差分析，也可用于工程项目之间的偏差比较</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B错误，在各种费用比较中绝对偏差与相对偏差均可采用。E错误，费用偏差或进度偏差主要适用于工程项目内部的偏差分析。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46、单选 增值额占扣除项目金额比例在50%～100%时，税率为（）。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A.30%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B.40%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C.50%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D.60%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47、单选 工程造价咨询单位的资质证书有效期为（）年。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B.3</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10"/>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48、单选 产品的功能，按功能的性质分类有（）。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A.美学功能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B.必要功能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C.辅助功能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D.过剩功能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49、多选 下列属于工程造价计价的依据有（）。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A.项目建议书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B.概算造价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C.概算定额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D.进口设备关税率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E.单位工程造价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50、单选 对建设工程项目进行概率分析时，一般需要计算（）。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A.内部收益率的敏感度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B.经营成本的期望值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C.净现值的敏感度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D.净现值的期望值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51、单选 下列文件中，属于要约邀请文件的是（）。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A.投标书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B.中标通知书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C.招标公告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D.现场踏勘答疑会议纪要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52、单选 根据《招标投标法》的规定，招标人和中标人应当自中标通知书发出之日起（）d内，按照招标文件和中标人的投标文件订立书面合同。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A.7</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D.30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53、单选 若要对工程组织等节奏流水施工，其基本条件是（）。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A.各施工段工程量基本相等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B.各施工队作业人数相等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C.各施工段的工作面基本相等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D.各施工段所有机械相同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11"/>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54、多选 关于工程项目经济评价应遵循的基本原则描述正确的有（）。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A.有无对比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B.效益与费用计算口径对应一致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C.收益与风险权衡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D.定量分析与定性分析相结合，以定性分析为主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E.动态分析与静态分析相结合，以静态分析为主</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工程项目经济评价应遵循的基本原则：（1）"有无对比"原则；（2）效益与费用计算口径对应一致的原则；（3）收益与风险权衡的原则；（4）定量分析与定性分析相结合，以定量分析为主的原则；（5）动态分析与静态分析相结合，以动态分析为主的原则。项目经济评价的核心是动态分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55、单选 工程项目的风险因素很多，下列风险因素中属于社会风险的是（）。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A.法律不健全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B.物价上涨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C.金融风险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D.劳动者的文化素质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56、单选 建筑工程一切险中建筑工程的保险金额为（）。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A.建筑工程总造价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B.承包工程合同的总金额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C.工程费用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D.投保人与保险公司双方商定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57、单选 关于时标网络计划中时间参数判定的表述中，不正确的是（）。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A.时标网络计划中的关键线路可从网络计划的终点节点开始，逆着箭线方向进行判定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B.网络计划的计算工期应等于终点节点所对应的时标值与起点节点所对应的时标值之差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C.工作总时差的判定应从网络计划的终点节点开始，逆着箭线方向依次进行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D.工作箭线左端节点中心所对应的时标值为该工作的最早完成时间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58、多选 项目所支出的财务费用主要有（）。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A.成本费用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B.维护费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C.税金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D.措施费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2"/>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E.投资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C, 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59、多选 固定资产的折旧方法包括（）。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A.平均年限法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B.工作量法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C.双倍余额递减法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D.表格核算法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E.挣值分析法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60、单选 下列（）将导致造价工程师的注册证书失效。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A.申请人以欺骗、贿赂等不正当手段获准注册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B.注册有效期满未延续注册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C.造价工程师在造价业务活动中受刑事处罚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D.违反法定程序准予注册许可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61、单选 某企业于第1、2年年初各向银行借款100万元及150万元，年利率6%，半年计算一次利息，从第3年末开始每半年还（）万元能在第6年末还完。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A.35.71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B.39.98</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C.44.92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D.51.66</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根据题意，先画现金流量图见图4-6。</w:t>
      </w:r>
      <w:r>
        <w:rPr>
          <w:rFonts w:ascii="宋体" w:eastAsia="宋体" w:hAnsi="宋体" w:cs="宋体"/>
          <w:outline w:val="0"/>
          <w:shadow w:val="0"/>
          <w:emboss w:val="0"/>
          <w:imprint w:val="0"/>
          <w:vanish w:val="0"/>
          <w:w w:val="100"/>
          <w:sz w:val="28"/>
          <w:szCs w:val="28"/>
          <w:u w:val="none"/>
        </w:rPr>
        <w:pict>
          <v:shape id="_x0000_i1026" type="#_x0000_t75" style="width:313.5pt;height:145.5pt" coordsize="21600,21600" o:preferrelative="t" filled="f" stroked="f">
            <v:stroke joinstyle="miter"/>
            <v:imagedata r:id="rId6" r:href="rId7" o:title=""/>
            <o:lock v:ext="edit" aspectratio="t"/>
            <w10:anchorlock/>
          </v:shape>
        </w:pict>
      </w:r>
      <w:r>
        <w:rPr>
          <w:rFonts w:ascii="宋体" w:eastAsia="宋体" w:hAnsi="宋体" w:cs="宋体" w:hint="eastAsia"/>
          <w:outline w:val="0"/>
          <w:shadow w:val="0"/>
          <w:emboss w:val="0"/>
          <w:imprint w:val="0"/>
          <w:vanish w:val="0"/>
          <w:w w:val="100"/>
          <w:sz w:val="28"/>
          <w:szCs w:val="28"/>
          <w:u w:val="none"/>
        </w:rPr>
        <w:t>由图可知，这是一个复杂现金流量系统。因为年金每半年发生一次，所以以半年为一个计息单位，每期利率为3%。先将已知现金流量折算到2.5年处，本题即转化为已知现值求年金的情况。计算公式如下：A＝［100（F／P，3%，5）＋150（F／P，3%，3）］（A／P，3%，7）＝44.92万元本题画现金流量图是解题的关键。要注意将两笔借款折算到2.5年，而不是2年或3年末。同时要注意还款有7次，而不是6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13"/>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62、单选 根据我国《建筑法》的规定，下列关于施工许可制度的说法中不正确的是（）。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A.施工单位应当按照国家有关规定向工程所在地县级以上人民政府建设行政主管部门申请领取施工许可证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B.建设行政主管部门应当自收到申请之日起15日内，对符合条件的申请者颁发施工许可证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C.建设单位应当自领取施工许可证之日起3个月内开工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D.建设单位领取施工许可证后，既不开工又不申请延期或者超过延期时限，施工许可证自行废止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63、单选 财产税是以财产的价值额或租金额为征税对象的各个税种的统称，其类型包括（）。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A.车船税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B.印花税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C.筵席税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D.屠宰税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64、单选 可以撤销工程造价咨询企业资质的情形是（）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A.工程造价咨询企业资质有效期满，未申请延续的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B.超越法定职权准予工程造价咨询企业资质许可的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C.工程造价咨询企业依法终止的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D.工程造价咨询企业资质被撤回的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65、单选 产品功能重要性系数的常用打分方法中．（）又称DARE法，是一种通过确定各因素的重要性系数来评价和选择创新方案的方法。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A.强制打分法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B.逻辑评分法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C.环比评分法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D.多比例评分法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66、多选 盈亏平衡点反映了项目对市场变化的适应能力和抗风险能力。其表达形式有（）。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A.单位产品售价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B.年销售产品数量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C.实物产销量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D.可变成本相对量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E.生产能力利用率</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C, 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4"/>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盈亏平衡点（BEP）表达形式有多种。可以用实物产销量、年销售额、单位产品售价、单位产品可变成本以及年固定总成本的绝对量表示，也可以用某些相对值表示，如生产能力利用率。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67、单选 甲级工程造价咨询单位的业绩要求是：近3年工程造价咨询营业收入累计不低于人民币（）万元。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A.50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B.100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C.500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D.1000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68、单选 英国的工料测量师被认为是工程建设的（）。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A.造价师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B.积算师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C.经济师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D.估价师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69、单选 工程项目管理工作的中心任务是进行（）。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A.工程项目目标定义和定位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B.工程项目目标立项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C.工程项目目标控制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D.工程项目目标实施</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工程项目管理工作的中心任务是进行工程项目目标控制。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70、单选 关键线路上若不出现波形线，则说明在这条线路上相邻两项工作之间的（）全部为零。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A.自由时差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B.总时差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C.时间间隔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D.时距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71、单选 融资决策分析是项目融资的关键阶段，需要决定是否采用项目融资方式。在融资决策分析时，需要考虑的主要因素是（）。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A.项目产权形式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B.投资者对债务责任分担上的要求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C.项目的信用保证结构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D.现金流量控制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15"/>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72、单选 某工程由3个施工过程组成，分为3个施工段进行流水施工，流水节拍分别为4、5、3天，5、4、3天和3、5、4天。则施工过程之间的流水步距为（）天。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A.2，5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B.2，6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C.3，5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D.4，6</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考查非节奏流水施工。非节奏流水施工流水步距的确定，一般采用累加数列错位相减取大差法。基本步骤如下：（1）求各施工过程流水节拍的累加数列：</w:t>
      </w:r>
      <w:r>
        <w:rPr>
          <w:rFonts w:ascii="宋体" w:eastAsia="宋体" w:hAnsi="宋体" w:cs="宋体"/>
          <w:outline w:val="0"/>
          <w:shadow w:val="0"/>
          <w:emboss w:val="0"/>
          <w:imprint w:val="0"/>
          <w:vanish w:val="0"/>
          <w:w w:val="100"/>
          <w:sz w:val="28"/>
          <w:szCs w:val="28"/>
          <w:u w:val="none"/>
        </w:rPr>
        <w:pict>
          <v:shape id="_x0000_i1027" type="#_x0000_t75" style="width:155.25pt;height:60pt" coordsize="21600,21600" o:preferrelative="t" filled="f" stroked="f">
            <v:stroke joinstyle="miter"/>
            <v:imagedata r:id="rId8" r:href="rId9" o:title=""/>
            <o:lock v:ext="edit" aspectratio="t"/>
            <w10:anchorlock/>
          </v:shape>
        </w:pict>
      </w:r>
      <w:r>
        <w:rPr>
          <w:rFonts w:ascii="宋体" w:eastAsia="宋体" w:hAnsi="宋体" w:cs="宋体" w:hint="eastAsia"/>
          <w:outline w:val="0"/>
          <w:shadow w:val="0"/>
          <w:emboss w:val="0"/>
          <w:imprint w:val="0"/>
          <w:vanish w:val="0"/>
          <w:w w:val="100"/>
          <w:sz w:val="28"/>
          <w:szCs w:val="28"/>
          <w:u w:val="none"/>
        </w:rPr>
        <w:t>（2）错位相减求得差数列：</w:t>
      </w:r>
      <w:r>
        <w:rPr>
          <w:rFonts w:ascii="宋体" w:eastAsia="宋体" w:hAnsi="宋体" w:cs="宋体"/>
          <w:outline w:val="0"/>
          <w:shadow w:val="0"/>
          <w:emboss w:val="0"/>
          <w:imprint w:val="0"/>
          <w:vanish w:val="0"/>
          <w:w w:val="100"/>
          <w:sz w:val="28"/>
          <w:szCs w:val="28"/>
          <w:u w:val="none"/>
        </w:rPr>
        <w:pict>
          <v:shape id="_x0000_i1028" type="#_x0000_t75" style="width:207.75pt;height:150.75pt" coordsize="21600,21600" o:preferrelative="t" filled="f" stroked="f">
            <v:stroke joinstyle="miter"/>
            <v:imagedata r:id="rId10" r:href="rId11" o:title=""/>
            <o:lock v:ext="edit" aspectratio="t"/>
            <w10:anchorlock/>
          </v:shape>
        </w:pict>
      </w:r>
      <w:r>
        <w:rPr>
          <w:rFonts w:ascii="宋体" w:eastAsia="宋体" w:hAnsi="宋体" w:cs="宋体" w:hint="eastAsia"/>
          <w:outline w:val="0"/>
          <w:shadow w:val="0"/>
          <w:emboss w:val="0"/>
          <w:imprint w:val="0"/>
          <w:vanish w:val="0"/>
          <w:w w:val="100"/>
          <w:sz w:val="28"/>
          <w:szCs w:val="28"/>
          <w:u w:val="none"/>
        </w:rPr>
        <w:t>（3）在差数列中取最大值求得流水步距：施工过程Ⅰ与Ⅱ之间的流水步距：施工过程Ⅱ与Ⅲ之间的流水步距：</w:t>
      </w:r>
      <w:r>
        <w:rPr>
          <w:rFonts w:ascii="宋体" w:eastAsia="宋体" w:hAnsi="宋体" w:cs="宋体"/>
          <w:outline w:val="0"/>
          <w:shadow w:val="0"/>
          <w:emboss w:val="0"/>
          <w:imprint w:val="0"/>
          <w:vanish w:val="0"/>
          <w:w w:val="100"/>
          <w:sz w:val="28"/>
          <w:szCs w:val="28"/>
          <w:u w:val="none"/>
        </w:rPr>
        <w:pict>
          <v:shape id="_x0000_i1029" type="#_x0000_t75" style="width:185.25pt;height:18.75pt" coordsize="21600,21600" o:preferrelative="t" filled="f" stroked="f">
            <v:stroke joinstyle="miter"/>
            <v:imagedata r:id="rId12" r:href="rId13" o:title=""/>
            <o:lock v:ext="edit" aspectratio="t"/>
            <w10:anchorlock/>
          </v:shape>
        </w:pict>
      </w:r>
      <w:r>
        <w:rPr>
          <w:rFonts w:ascii="宋体" w:eastAsia="宋体" w:hAnsi="宋体" w:cs="宋体" w:hint="eastAsia"/>
          <w:outline w:val="0"/>
          <w:shadow w:val="0"/>
          <w:emboss w:val="0"/>
          <w:imprint w:val="0"/>
          <w:vanish w:val="0"/>
          <w:w w:val="100"/>
          <w:sz w:val="28"/>
          <w:szCs w:val="28"/>
          <w:u w:val="none"/>
        </w:rPr>
        <w:t>。</w:t>
      </w:r>
      <w:r>
        <w:rPr>
          <w:rFonts w:ascii="宋体" w:eastAsia="宋体" w:hAnsi="宋体" w:cs="宋体"/>
          <w:outline w:val="0"/>
          <w:shadow w:val="0"/>
          <w:emboss w:val="0"/>
          <w:imprint w:val="0"/>
          <w:vanish w:val="0"/>
          <w:w w:val="100"/>
          <w:sz w:val="28"/>
          <w:szCs w:val="28"/>
          <w:u w:val="none"/>
        </w:rPr>
        <w:pict>
          <v:shape id="_x0000_i1030" type="#_x0000_t75" style="width:181.5pt;height:18.75pt" coordsize="21600,21600" o:preferrelative="t" filled="f" stroked="f">
            <v:stroke joinstyle="miter"/>
            <v:imagedata r:id="rId14" r:href="rId15" o:title=""/>
            <o:lock v:ext="edit" aspectratio="t"/>
            <w10:anchorlock/>
          </v:shape>
        </w:pic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73、单选 在投资方案评价指标中，属于静态评价指标的是（）。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A.自有资金收益率和偿债备付率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B.全部投资收益率和内部收益率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C全部投资利润率和内部收益率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D.借款偿还期和净现值率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74、单选 某工程由3个施工过程组成，分为5个施工段进行流水施工，其流水节拍为，施工过程I：3、2、3、2、4d，施工过程Ⅱ：3、3、3、4、2d，施工过程Ⅲ：2、2、2、3、4d，则施工过程I与Ⅱ之间的流水步距为（）d。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B.3</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16"/>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75、单选 甲建筑公司以16000万元的总承包额中标为某房地产开发公司承建一幢写字楼，之后甲建筑公司又将该写字楼工程的装饰工程以7000万元分包给乙建筑公司，则甲建筑公司应缴建筑业营业税为（）万元。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A.210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B.270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C.480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D.690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76、多选 下列关于双代号时标网络计划的绘制方法的说法中，正确的是（）。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A.在编制时标网络计划时应使每一个节点和每一项工作（包括虚工作）尽量向左靠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B.在编制时标网络计划之前，应先按已经确定的时间单位绘制时标网络计划表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C.按工作的持续时间绘制以网络计划起点节点为开始节点的工作箭线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D.当网络计划的规模比较大，且比较复杂时，可以在时标网络计划表的顶部和底部同时标注时间坐标。必要时，还可以在顶部时间坐标之上或底部时间坐标之下同时加注日历时间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E.除网络计划的起点节点外，其他节点必须在所有以该节点为完成节点的工作箭线均绘出后，定位在这些工作箭线中最早的箭线始端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77、多选 当NPV＝0时，下列说法正确的有（）。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A.项目没有利润，正好盈亏平衡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B.项目亏损，无法收回投资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C.项目的收益正好是基准收益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D.IRR＝ic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E.Pt＝项目寿命期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 D, 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78、多选 企业在作出租赁或购买设备的决策之前，必须从（）方面来考虑。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A.支付方式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B.筹资方式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C.合同方式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D.使用方式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E.保证方式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79、多选 根据《城市房地产管理法》的规定，土地使用权出让，可以采取（）的方式。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A.征收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B.拍卖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C.继承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D.招标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7"/>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E.双方协议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D, 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80</w:t>
      </w:r>
      <w:r>
        <w:rPr>
          <w:rFonts w:ascii="宋体" w:eastAsia="宋体" w:hAnsi="宋体" w:cs="宋体" w:hint="eastAsia"/>
          <w:outline w:val="0"/>
          <w:shadow w:val="0"/>
          <w:emboss w:val="0"/>
          <w:imprint w:val="0"/>
          <w:vanish w:val="0"/>
          <w:w w:val="100"/>
          <w:sz w:val="28"/>
          <w:szCs w:val="28"/>
          <w:u w:val="none"/>
          <w:lang w:eastAsia="zh-CN"/>
        </w:rPr>
        <w:t>、多选?</w:t>
      </w:r>
      <w:r>
        <w:rPr>
          <w:rFonts w:ascii="宋体" w:eastAsia="宋体" w:hAnsi="宋体" w:cs="宋体" w:hint="eastAsia"/>
          <w:outline w:val="0"/>
          <w:shadow w:val="0"/>
          <w:emboss w:val="0"/>
          <w:imprint w:val="0"/>
          <w:vanish w:val="0"/>
          <w:w w:val="100"/>
          <w:sz w:val="28"/>
          <w:szCs w:val="28"/>
          <w:u w:val="none"/>
        </w:rPr>
        <w:t>某工程双代号网络计划中各个节点的最早时间和最迟时间如下图所示。该计划表明（）。</w:t>
      </w:r>
      <w:r>
        <w:rPr>
          <w:rFonts w:ascii="宋体" w:eastAsia="宋体" w:hAnsi="宋体" w:cs="宋体"/>
          <w:outline w:val="0"/>
          <w:shadow w:val="0"/>
          <w:emboss w:val="0"/>
          <w:imprint w:val="0"/>
          <w:vanish w:val="0"/>
          <w:w w:val="100"/>
          <w:sz w:val="28"/>
          <w:szCs w:val="28"/>
          <w:u w:val="none"/>
        </w:rPr>
        <w:pict>
          <v:shape id="_x0000_i1031" type="#_x0000_t75" style="width:334.5pt;height:116.25pt" coordsize="21600,21600" o:preferrelative="t" filled="f" stroked="f">
            <v:stroke joinstyle="miter"/>
            <v:imagedata r:id="rId16" r:href="rId17" o:title=""/>
            <o:lock v:ext="edit" aspectratio="t"/>
            <w10:anchorlock/>
          </v:shape>
        </w:pic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A.工作1-2和工作1-3同为关键工作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B.工作2-5的总时差与自由时差相等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C.工作3-5与工作4-7的自由时差相等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D.工作3-6的总时差与自由时差相等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E.工作5-7和工作6-7同为非关键工作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81</w:t>
      </w:r>
      <w:r>
        <w:rPr>
          <w:rFonts w:ascii="宋体" w:eastAsia="宋体" w:hAnsi="宋体" w:cs="宋体" w:hint="eastAsia"/>
          <w:outline w:val="0"/>
          <w:shadow w:val="0"/>
          <w:emboss w:val="0"/>
          <w:imprint w:val="0"/>
          <w:vanish w:val="0"/>
          <w:w w:val="100"/>
          <w:sz w:val="28"/>
          <w:szCs w:val="28"/>
          <w:u w:val="none"/>
          <w:lang w:eastAsia="zh-CN"/>
        </w:rPr>
        <w:t>、单选?</w:t>
      </w:r>
      <w:r>
        <w:rPr>
          <w:rFonts w:ascii="宋体" w:eastAsia="宋体" w:hAnsi="宋体" w:cs="宋体" w:hint="eastAsia"/>
          <w:outline w:val="0"/>
          <w:shadow w:val="0"/>
          <w:emboss w:val="0"/>
          <w:imprint w:val="0"/>
          <w:vanish w:val="0"/>
          <w:w w:val="100"/>
          <w:sz w:val="28"/>
          <w:szCs w:val="28"/>
          <w:u w:val="none"/>
        </w:rPr>
        <w:t>某产品各零部件功能重要程度采用0-1评分法评分结果见下表，零部件Ⅱ的功能重要性系数为（）</w:t>
      </w:r>
      <w:r>
        <w:rPr>
          <w:rFonts w:ascii="宋体" w:eastAsia="宋体" w:hAnsi="宋体" w:cs="宋体"/>
          <w:outline w:val="0"/>
          <w:shadow w:val="0"/>
          <w:emboss w:val="0"/>
          <w:imprint w:val="0"/>
          <w:vanish w:val="0"/>
          <w:w w:val="100"/>
          <w:sz w:val="28"/>
          <w:szCs w:val="28"/>
          <w:u w:val="none"/>
        </w:rPr>
        <w:pict>
          <v:shape id="_x0000_i1032" type="#_x0000_t75" style="width:453.6pt;height:119.25pt" coordsize="21600,21600" o:preferrelative="t" filled="f" stroked="f">
            <v:imagedata r:id="rId18" r:href="rId19" o:title=""/>
            <o:lock v:ext="edit" aspectratio="t"/>
            <w10:anchorlock/>
          </v:shape>
        </w:pic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A.0.1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B.0.133</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C.0.333</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D.0.4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82、多选 按股东承担风险和享有权益的大小，股票可分为（）。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A.优先股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B.普通股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C.公募股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D.私募股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E.弹性股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83、单选 下列建设工程项目目标控制方法中，可用来综合控制工程进度和工程造价的方法是（）。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8"/>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A.决策树法和流程图法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B.S曲线法和香蕉曲线法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C.横道图法和树枝图法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D.网络图法和横道图法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84、单选 资金成本和（）是确定基准收益率的基础。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A.投资风险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B.收益效果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C.通货膨胀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D.机会成本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85、单选 在FIDIC《土木工程施工合同条件》实施过程中，DAB在收到书面报告后（）天内对争端作出裁决，并说明理由。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A.56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B.42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C.84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D.24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86、单选 网络计划工期优化的前提是（）。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A.计算工期大于计划工期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B.将关键工作压缩成非关键工作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C.不改变各项工作之间的逻辑关系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D.计划工期大于计算工期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87、单选 关于工程总费用中直接费和间接费的表述，正确的是（）。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A.直接费由人工费、材料费及企业经营管理的全部费用组成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B.施工方案不同，直接费相同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C.如果施工方案一定，工期不同，直接费相同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D.间接费一般会随着工期的缩短而减少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88</w:t>
      </w:r>
      <w:r>
        <w:rPr>
          <w:rFonts w:ascii="宋体" w:eastAsia="宋体" w:hAnsi="宋体" w:cs="宋体" w:hint="eastAsia"/>
          <w:outline w:val="0"/>
          <w:shadow w:val="0"/>
          <w:emboss w:val="0"/>
          <w:imprint w:val="0"/>
          <w:vanish w:val="0"/>
          <w:w w:val="100"/>
          <w:sz w:val="28"/>
          <w:szCs w:val="28"/>
          <w:u w:val="none"/>
          <w:lang w:eastAsia="zh-CN"/>
        </w:rPr>
        <w:t>、单选?</w:t>
      </w:r>
      <w:r>
        <w:rPr>
          <w:rFonts w:ascii="宋体" w:eastAsia="宋体" w:hAnsi="宋体" w:cs="宋体" w:hint="eastAsia"/>
          <w:outline w:val="0"/>
          <w:shadow w:val="0"/>
          <w:emboss w:val="0"/>
          <w:imprint w:val="0"/>
          <w:vanish w:val="0"/>
          <w:w w:val="100"/>
          <w:sz w:val="28"/>
          <w:szCs w:val="28"/>
          <w:u w:val="none"/>
        </w:rPr>
        <w:t>以内部收益率为指标进行敏感性分析，已知基准折现率为10%，有关数据见下表：则该项目投资变化幅度的临界点为（）。</w:t>
      </w:r>
      <w:r>
        <w:rPr>
          <w:rFonts w:ascii="宋体" w:eastAsia="宋体" w:hAnsi="宋体" w:cs="宋体"/>
          <w:outline w:val="0"/>
          <w:shadow w:val="0"/>
          <w:emboss w:val="0"/>
          <w:imprint w:val="0"/>
          <w:vanish w:val="0"/>
          <w:w w:val="100"/>
          <w:sz w:val="28"/>
          <w:szCs w:val="28"/>
          <w:u w:val="none"/>
        </w:rPr>
        <w:pict>
          <v:shape id="_x0000_i1033" type="#_x0000_t75" style="width:453.6pt;height:50.25pt" coordsize="21600,21600" o:preferrelative="t" filled="f" stroked="f">
            <v:imagedata r:id="rId20" r:href="rId21" o:title=""/>
            <o:lock v:ext="edit" aspectratio="t"/>
            <w10:anchorlock/>
          </v:shape>
        </w:pic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A.20%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C.31.67%</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9"/>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D.22.5%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89、单选 诉讼时效的期间从权利人知道或者应当知道其权利被侵害之日起开始计算，但从权利被侵害之日起，超过（）年的，人民法院不予保护。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D.20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90、多选 根据我国《合同法》，下列关于要约和承诺的说明，正确的是（）。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A.合同的成立，必须要经过要约邀请、要约和承诺三个阶段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B.要约达到受要约人时生效，承诺通知发出时生效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C.要约可以不具备合同的主要条款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D.要约可以撤回，也可以撤销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E.承诺可以撤回</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 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91</w:t>
      </w:r>
      <w:r>
        <w:rPr>
          <w:rFonts w:ascii="宋体" w:eastAsia="宋体" w:hAnsi="宋体" w:cs="宋体" w:hint="eastAsia"/>
          <w:outline w:val="0"/>
          <w:shadow w:val="0"/>
          <w:emboss w:val="0"/>
          <w:imprint w:val="0"/>
          <w:vanish w:val="0"/>
          <w:w w:val="100"/>
          <w:sz w:val="28"/>
          <w:szCs w:val="28"/>
          <w:u w:val="none"/>
          <w:lang w:eastAsia="zh-CN"/>
        </w:rPr>
        <w:t>、单选?</w:t>
      </w:r>
      <w:r>
        <w:rPr>
          <w:rFonts w:ascii="宋体" w:eastAsia="宋体" w:hAnsi="宋体" w:cs="宋体" w:hint="eastAsia"/>
          <w:outline w:val="0"/>
          <w:shadow w:val="0"/>
          <w:emboss w:val="0"/>
          <w:imprint w:val="0"/>
          <w:vanish w:val="0"/>
          <w:w w:val="100"/>
          <w:sz w:val="28"/>
          <w:szCs w:val="28"/>
          <w:u w:val="none"/>
        </w:rPr>
        <w:t>工程项目承发包模式中，如下图所示的模式是（）。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outline w:val="0"/>
          <w:shadow w:val="0"/>
          <w:emboss w:val="0"/>
          <w:imprint w:val="0"/>
          <w:vanish w:val="0"/>
          <w:w w:val="100"/>
          <w:sz w:val="28"/>
          <w:szCs w:val="28"/>
          <w:u w:val="none"/>
        </w:rPr>
        <w:pict>
          <v:shape id="_x0000_i1034" type="#_x0000_t75" style="width:165pt;height:170.25pt" coordsize="21600,21600" o:preferrelative="t" filled="f" stroked="f">
            <v:stroke joinstyle="miter"/>
            <v:imagedata r:id="rId22" r:href="rId23" o:title=""/>
            <o:lock v:ext="edit" aspectratio="t"/>
            <w10:anchorlock/>
          </v:shape>
        </w:pic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A.总分包模式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B.平行承包模式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C.联合体承包模式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D.合作体承包模式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92、单选 成本分析、成本考核、成本核算是建设工程项目施工成本管理的重要环节，仅就此三项工作而言，其正确的工作流程是（）。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A.成本核算→成本分析→成本考核</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B.成本分析→成本考核→成本核算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C.成本考核→成本核算→成本分析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D.成本分析→成本核算→成本考核</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r>
        <w:rPr>
          <w:rFonts w:ascii="宋体" w:eastAsia="宋体" w:hAnsi="宋体" w:cs="宋体" w:hint="eastAsia"/>
          <w:outline w:val="0"/>
          <w:shadow w:val="0"/>
          <w:emboss w:val="0"/>
          <w:imprint w:val="0"/>
          <w:vanish w:val="0"/>
          <w:w w:val="100"/>
          <w:sz w:val="28"/>
          <w:szCs w:val="28"/>
          <w:u w:val="none"/>
          <w:lang w:eastAsia="zh-CN"/>
        </w:rPr>
        <w:br/>
      </w:r>
      <w:r>
        <w:rPr>
          <w:rFonts w:ascii="宋体" w:eastAsia="宋体" w:hAnsi="宋体" w:cs="宋体" w:hint="eastAsia"/>
          <w:outline w:val="0"/>
          <w:shadow w:val="0"/>
          <w:emboss w:val="0"/>
          <w:imprint w:val="0"/>
          <w:vanish w:val="0"/>
          <w:w w:val="100"/>
          <w:sz w:val="28"/>
          <w:szCs w:val="28"/>
          <w:u w:val="none"/>
          <w:lang w:eastAsia="zh-CN"/>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4" w:history="1">
        <w:r>
          <w:rPr>
            <w:rFonts w:ascii="SimSun" w:eastAsia="SimSun" w:hAnsi="SimSun" w:cs="SimSun"/>
            <w:b/>
            <w:bCs/>
            <w:color w:val="0000EE"/>
            <w:kern w:val="0"/>
            <w:sz w:val="30"/>
            <w:szCs w:val="30"/>
            <w:u w:val="single" w:color="0000EE"/>
          </w:rPr>
          <w:t>https://d.book118.com/698113074065006041</w:t>
        </w:r>
      </w:hyperlink>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p>
    <w:sectPr>
      <w:type w:val="nextPage"/>
      <w:pgSz w:w="11906" w:h="16838"/>
      <w:pgMar w:top="1440" w:right="1080" w:bottom="1440" w:left="108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20B3"/>
    <w:rsid w:val="002B1D86"/>
    <w:rsid w:val="005920B3"/>
    <w:rsid w:val="301C1D8F"/>
    <w:rsid w:val="3FBA11C5"/>
    <w:rsid w:val="706E1495"/>
  </w:rsids>
  <w:docVars>
    <w:docVar w:name="commondata" w:val="eyJoZGlkIjoiMzIxODdiYzkyZWJiMzc1YmY5NThiYjgyMjcxMWRjMmQ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uiPriority="0" w:unhideWhenUsed="0" w:qFormat="1"/>
    <w:lsdException w:name="footer" w:semiHidden="0" w:uiPriority="0" w:unhideWhenUsed="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uiPriority="0" w:unhideWhenUsed="0" w:qFormat="1"/>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semiHidden="0" w:uiPriority="0" w:unhideWhenUsed="0" w:qFormat="1"/>
    <w:lsdException w:name="HTML Acronym"/>
    <w:lsdException w:name="HTML Address"/>
    <w:lsdException w:name="HTML Cite"/>
    <w:lsdException w:name="HTML Code"/>
    <w:lsdException w:name="HTML Definition"/>
    <w:lsdException w:name="HTML Keyboard"/>
    <w:lsdException w:name="HTML Preformatted" w:semiHidden="0" w:uiPriority="0" w:unhideWhenUsed="0" w:qFormat="1"/>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2"/>
      <w:lang w:val="en-US" w:eastAsia="zh-CN" w:bidi="ar-SA"/>
    </w:rPr>
  </w:style>
  <w:style w:type="paragraph" w:styleId="Heading1">
    <w:name w:val="heading 1"/>
    <w:basedOn w:val="Normal"/>
    <w:next w:val="Normal"/>
    <w:link w:val="1"/>
    <w:autoRedefine/>
    <w:qFormat/>
    <w:pPr>
      <w:widowControl/>
      <w:spacing w:beforeAutospacing="1" w:afterAutospacing="1"/>
      <w:jc w:val="left"/>
      <w:outlineLvl w:val="0"/>
    </w:pPr>
    <w:rPr>
      <w:rFonts w:ascii="宋体" w:eastAsia="宋体" w:hAnsi="宋体" w:cs="Times New Roman" w:hint="eastAsia"/>
      <w:b/>
      <w:bCs/>
      <w:kern w:val="44"/>
      <w:sz w:val="48"/>
      <w:szCs w:val="48"/>
    </w:rPr>
  </w:style>
  <w:style w:type="paragraph" w:styleId="Heading2">
    <w:name w:val="heading 2"/>
    <w:basedOn w:val="Normal"/>
    <w:next w:val="Normal"/>
    <w:link w:val="2"/>
    <w:autoRedefine/>
    <w:semiHidden/>
    <w:unhideWhenUsed/>
    <w:qFormat/>
    <w:pPr>
      <w:widowControl/>
      <w:spacing w:beforeAutospacing="1" w:afterAutospacing="1"/>
      <w:jc w:val="left"/>
      <w:outlineLvl w:val="1"/>
    </w:pPr>
    <w:rPr>
      <w:rFonts w:ascii="宋体" w:eastAsia="宋体" w:hAnsi="宋体" w:cs="Times New Roman" w:hint="eastAsia"/>
      <w:b/>
      <w:bCs/>
      <w:kern w:val="0"/>
      <w:sz w:val="36"/>
      <w:szCs w:val="36"/>
    </w:rPr>
  </w:style>
  <w:style w:type="paragraph" w:styleId="Heading3">
    <w:name w:val="heading 3"/>
    <w:basedOn w:val="Normal"/>
    <w:next w:val="Normal"/>
    <w:link w:val="3"/>
    <w:autoRedefine/>
    <w:semiHidden/>
    <w:unhideWhenUsed/>
    <w:qFormat/>
    <w:pPr>
      <w:widowControl/>
      <w:spacing w:beforeAutospacing="1" w:afterAutospacing="1"/>
      <w:jc w:val="left"/>
      <w:outlineLvl w:val="2"/>
    </w:pPr>
    <w:rPr>
      <w:rFonts w:ascii="宋体" w:eastAsia="宋体" w:hAnsi="宋体" w:cs="Times New Roman" w:hint="eastAsia"/>
      <w:b/>
      <w:bCs/>
      <w:kern w:val="0"/>
      <w:sz w:val="27"/>
      <w:szCs w:val="27"/>
    </w:rPr>
  </w:style>
  <w:style w:type="paragraph" w:styleId="Heading4">
    <w:name w:val="heading 4"/>
    <w:basedOn w:val="Normal"/>
    <w:next w:val="Normal"/>
    <w:link w:val="4"/>
    <w:autoRedefine/>
    <w:semiHidden/>
    <w:unhideWhenUsed/>
    <w:qFormat/>
    <w:pPr>
      <w:widowControl/>
      <w:spacing w:beforeAutospacing="1" w:afterAutospacing="1"/>
      <w:jc w:val="left"/>
      <w:outlineLvl w:val="3"/>
    </w:pPr>
    <w:rPr>
      <w:rFonts w:ascii="宋体" w:eastAsia="宋体" w:hAnsi="宋体" w:cs="Times New Roman" w:hint="eastAsia"/>
      <w:b/>
      <w:bCs/>
      <w:kern w:val="0"/>
      <w:sz w:val="24"/>
      <w:szCs w:val="24"/>
    </w:rPr>
  </w:style>
  <w:style w:type="paragraph" w:styleId="Heading5">
    <w:name w:val="heading 5"/>
    <w:basedOn w:val="Normal"/>
    <w:next w:val="Normal"/>
    <w:link w:val="5"/>
    <w:semiHidden/>
    <w:unhideWhenUsed/>
    <w:qFormat/>
    <w:pPr>
      <w:widowControl/>
      <w:spacing w:beforeAutospacing="1" w:afterAutospacing="1"/>
      <w:jc w:val="left"/>
      <w:outlineLvl w:val="4"/>
    </w:pPr>
    <w:rPr>
      <w:rFonts w:ascii="宋体" w:eastAsia="宋体" w:hAnsi="宋体" w:cs="Times New Roman" w:hint="eastAsia"/>
      <w:b/>
      <w:bCs/>
      <w:kern w:val="0"/>
      <w:sz w:val="20"/>
      <w:szCs w:val="20"/>
    </w:rPr>
  </w:style>
  <w:style w:type="paragraph" w:styleId="Heading6">
    <w:name w:val="heading 6"/>
    <w:basedOn w:val="Normal"/>
    <w:next w:val="Normal"/>
    <w:link w:val="6"/>
    <w:autoRedefine/>
    <w:semiHidden/>
    <w:unhideWhenUsed/>
    <w:qFormat/>
    <w:pPr>
      <w:widowControl/>
      <w:spacing w:beforeAutospacing="1" w:afterAutospacing="1"/>
      <w:jc w:val="left"/>
      <w:outlineLvl w:val="5"/>
    </w:pPr>
    <w:rPr>
      <w:rFonts w:ascii="宋体" w:eastAsia="宋体" w:hAnsi="宋体" w:cs="Times New Roman" w:hint="eastAsia"/>
      <w:b/>
      <w:bCs/>
      <w:kern w:val="0"/>
      <w:sz w:val="15"/>
      <w:szCs w:val="15"/>
    </w:rPr>
  </w:style>
  <w:style w:type="character" w:default="1" w:styleId="DefaultParagraphFont">
    <w:name w:val="Default Paragraph Font"/>
    <w:uiPriority w:val="1"/>
    <w:semiHidden/>
    <w:unhideWhenUsed/>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Footer">
    <w:name w:val="footer"/>
    <w:basedOn w:val="Normal"/>
    <w:link w:val="a0"/>
    <w:autoRedefine/>
    <w:qFormat/>
    <w:pPr>
      <w:widowControl/>
      <w:tabs>
        <w:tab w:val="center" w:pos="4153"/>
        <w:tab w:val="right" w:pos="8306"/>
      </w:tabs>
      <w:snapToGrid w:val="0"/>
      <w:jc w:val="left"/>
    </w:pPr>
    <w:rPr>
      <w:rFonts w:asciiTheme="minorEastAsia" w:hAnsiTheme="minorEastAsia" w:cs="Times New Roman"/>
      <w:kern w:val="0"/>
      <w:sz w:val="18"/>
      <w:szCs w:val="18"/>
    </w:rPr>
  </w:style>
  <w:style w:type="paragraph" w:styleId="Header">
    <w:name w:val="header"/>
    <w:basedOn w:val="Normal"/>
    <w:link w:val="a"/>
    <w:autoRedefine/>
    <w:qFormat/>
    <w:pPr>
      <w:widowControl/>
      <w:tabs>
        <w:tab w:val="center" w:pos="4153"/>
        <w:tab w:val="right" w:pos="8306"/>
      </w:tabs>
      <w:snapToGrid w:val="0"/>
      <w:jc w:val="center"/>
    </w:pPr>
    <w:rPr>
      <w:rFonts w:asciiTheme="minorEastAsia" w:hAnsiTheme="minorEastAsia" w:cs="Times New Roman"/>
      <w:kern w:val="0"/>
      <w:sz w:val="18"/>
      <w:szCs w:val="18"/>
    </w:rPr>
  </w:style>
  <w:style w:type="paragraph" w:styleId="HTMLPreformatted">
    <w:name w:val="HTML Preformatted"/>
    <w:basedOn w:val="Normal"/>
    <w:link w:val="HTML"/>
    <w:autoRedefine/>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szCs w:val="24"/>
    </w:rPr>
  </w:style>
  <w:style w:type="paragraph" w:styleId="NormalWeb">
    <w:name w:val="Normal (Web)"/>
    <w:basedOn w:val="Normal"/>
    <w:autoRedefine/>
    <w:qFormat/>
    <w:pPr>
      <w:widowControl/>
      <w:spacing w:beforeAutospacing="1" w:afterAutospacing="1"/>
      <w:jc w:val="left"/>
    </w:pPr>
    <w:rPr>
      <w:rFonts w:asciiTheme="minorEastAsia" w:hAnsiTheme="minorEastAsia" w:cs="Times New Roman"/>
      <w:kern w:val="0"/>
      <w:sz w:val="24"/>
      <w:szCs w:val="24"/>
    </w:rPr>
  </w:style>
  <w:style w:type="character" w:styleId="Hyperlink">
    <w:name w:val="Hyperlink"/>
    <w:basedOn w:val="DefaultParagraphFont"/>
    <w:autoRedefine/>
    <w:qFormat/>
    <w:rPr>
      <w:color w:val="0000FF"/>
      <w:u w:val="single"/>
    </w:rPr>
  </w:style>
  <w:style w:type="character" w:customStyle="1" w:styleId="1">
    <w:name w:val="标题 1 字符"/>
    <w:basedOn w:val="DefaultParagraphFont"/>
    <w:link w:val="Heading1"/>
    <w:autoRedefine/>
    <w:qFormat/>
    <w:rPr>
      <w:rFonts w:ascii="宋体" w:eastAsia="宋体" w:hAnsi="宋体" w:cs="Times New Roman"/>
      <w:b/>
      <w:bCs/>
      <w:kern w:val="44"/>
      <w:sz w:val="48"/>
      <w:szCs w:val="48"/>
    </w:rPr>
  </w:style>
  <w:style w:type="character" w:customStyle="1" w:styleId="2">
    <w:name w:val="标题 2 字符"/>
    <w:basedOn w:val="DefaultParagraphFont"/>
    <w:link w:val="Heading2"/>
    <w:autoRedefine/>
    <w:semiHidden/>
    <w:qFormat/>
    <w:rPr>
      <w:rFonts w:ascii="宋体" w:eastAsia="宋体" w:hAnsi="宋体" w:cs="Times New Roman"/>
      <w:b/>
      <w:bCs/>
      <w:kern w:val="0"/>
      <w:sz w:val="36"/>
      <w:szCs w:val="36"/>
    </w:rPr>
  </w:style>
  <w:style w:type="character" w:customStyle="1" w:styleId="3">
    <w:name w:val="标题 3 字符"/>
    <w:basedOn w:val="DefaultParagraphFont"/>
    <w:link w:val="Heading3"/>
    <w:autoRedefine/>
    <w:semiHidden/>
    <w:qFormat/>
    <w:rPr>
      <w:rFonts w:ascii="宋体" w:eastAsia="宋体" w:hAnsi="宋体" w:cs="Times New Roman"/>
      <w:b/>
      <w:bCs/>
      <w:kern w:val="0"/>
      <w:sz w:val="27"/>
      <w:szCs w:val="27"/>
    </w:rPr>
  </w:style>
  <w:style w:type="character" w:customStyle="1" w:styleId="4">
    <w:name w:val="标题 4 字符"/>
    <w:basedOn w:val="DefaultParagraphFont"/>
    <w:link w:val="Heading4"/>
    <w:autoRedefine/>
    <w:semiHidden/>
    <w:qFormat/>
    <w:rPr>
      <w:rFonts w:ascii="宋体" w:eastAsia="宋体" w:hAnsi="宋体" w:cs="Times New Roman"/>
      <w:b/>
      <w:bCs/>
      <w:kern w:val="0"/>
      <w:sz w:val="24"/>
      <w:szCs w:val="24"/>
    </w:rPr>
  </w:style>
  <w:style w:type="character" w:customStyle="1" w:styleId="5">
    <w:name w:val="标题 5 字符"/>
    <w:basedOn w:val="DefaultParagraphFont"/>
    <w:link w:val="Heading5"/>
    <w:autoRedefine/>
    <w:semiHidden/>
    <w:qFormat/>
    <w:rPr>
      <w:rFonts w:ascii="宋体" w:eastAsia="宋体" w:hAnsi="宋体" w:cs="Times New Roman"/>
      <w:b/>
      <w:bCs/>
      <w:kern w:val="0"/>
      <w:sz w:val="20"/>
      <w:szCs w:val="20"/>
    </w:rPr>
  </w:style>
  <w:style w:type="character" w:customStyle="1" w:styleId="6">
    <w:name w:val="标题 6 字符"/>
    <w:basedOn w:val="DefaultParagraphFont"/>
    <w:link w:val="Heading6"/>
    <w:autoRedefine/>
    <w:semiHidden/>
    <w:qFormat/>
    <w:rPr>
      <w:rFonts w:ascii="宋体" w:eastAsia="宋体" w:hAnsi="宋体" w:cs="Times New Roman"/>
      <w:b/>
      <w:bCs/>
      <w:kern w:val="0"/>
      <w:sz w:val="15"/>
      <w:szCs w:val="15"/>
    </w:rPr>
  </w:style>
  <w:style w:type="character" w:customStyle="1" w:styleId="HTML">
    <w:name w:val="HTML 预设格式 字符"/>
    <w:basedOn w:val="DefaultParagraphFont"/>
    <w:link w:val="HTMLPreformatted"/>
    <w:autoRedefine/>
    <w:qFormat/>
    <w:rPr>
      <w:rFonts w:ascii="宋体" w:eastAsia="宋体" w:hAnsi="宋体" w:cs="Times New Roman"/>
      <w:kern w:val="0"/>
      <w:sz w:val="24"/>
      <w:szCs w:val="24"/>
    </w:rPr>
  </w:style>
  <w:style w:type="character" w:customStyle="1" w:styleId="a">
    <w:name w:val="页眉 字符"/>
    <w:basedOn w:val="DefaultParagraphFont"/>
    <w:link w:val="Header"/>
    <w:autoRedefine/>
    <w:qFormat/>
    <w:rPr>
      <w:rFonts w:asciiTheme="minorEastAsia" w:hAnsiTheme="minorEastAsia" w:cs="Times New Roman"/>
      <w:kern w:val="0"/>
      <w:sz w:val="18"/>
      <w:szCs w:val="18"/>
    </w:rPr>
  </w:style>
  <w:style w:type="character" w:customStyle="1" w:styleId="a0">
    <w:name w:val="页脚 字符"/>
    <w:basedOn w:val="DefaultParagraphFont"/>
    <w:link w:val="Footer"/>
    <w:autoRedefine/>
    <w:qFormat/>
    <w:rPr>
      <w:rFonts w:asciiTheme="minorEastAsia" w:hAnsiTheme="minorEastAsia" w:cs="Times New Roman"/>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png" /><Relationship Id="rId11" Type="http://schemas.openxmlformats.org/officeDocument/2006/relationships/image" Target="http://www.91exam.org/91files/2016072314/f0pzmzrjeiw.gif" TargetMode="External" /><Relationship Id="rId12" Type="http://schemas.openxmlformats.org/officeDocument/2006/relationships/image" Target="media/image5.png" /><Relationship Id="rId13" Type="http://schemas.openxmlformats.org/officeDocument/2006/relationships/image" Target="http://www.91exam.org/91files/2016072314/griuqj3tz0p.gif" TargetMode="External" /><Relationship Id="rId14" Type="http://schemas.openxmlformats.org/officeDocument/2006/relationships/image" Target="media/image6.png" /><Relationship Id="rId15" Type="http://schemas.openxmlformats.org/officeDocument/2006/relationships/image" Target="http://www.91exam.org/91files/2016072314/o2nksqsqx4z.gif" TargetMode="External" /><Relationship Id="rId16" Type="http://schemas.openxmlformats.org/officeDocument/2006/relationships/image" Target="media/image7.png" /><Relationship Id="rId17" Type="http://schemas.openxmlformats.org/officeDocument/2006/relationships/image" Target="http://www.91exam.org/91files/2016072313/y1bkwfvjrmz.gif" TargetMode="External" /><Relationship Id="rId18" Type="http://schemas.openxmlformats.org/officeDocument/2006/relationships/image" Target="media/image8.png" /><Relationship Id="rId19" Type="http://schemas.openxmlformats.org/officeDocument/2006/relationships/image" Target="http://www.91exam.org/91files/2016072314/zbidhcxeopy.gif" TargetMode="External" /><Relationship Id="rId2" Type="http://schemas.openxmlformats.org/officeDocument/2006/relationships/webSettings" Target="webSettings.xml" /><Relationship Id="rId20" Type="http://schemas.openxmlformats.org/officeDocument/2006/relationships/image" Target="media/image9.png" /><Relationship Id="rId21" Type="http://schemas.openxmlformats.org/officeDocument/2006/relationships/image" Target="http://www.91exam.org/91files/2016072313/tflturboo21.gif" TargetMode="External" /><Relationship Id="rId22" Type="http://schemas.openxmlformats.org/officeDocument/2006/relationships/image" Target="media/image10.png" /><Relationship Id="rId23" Type="http://schemas.openxmlformats.org/officeDocument/2006/relationships/image" Target="http://www.91exam.org/91files/2016072312/rufvywzsosn.gif" TargetMode="External" /><Relationship Id="rId24" Type="http://schemas.openxmlformats.org/officeDocument/2006/relationships/hyperlink" Target="https://d.book118.com/698113074065006041" TargetMode="External" /><Relationship Id="rId25" Type="http://schemas.openxmlformats.org/officeDocument/2006/relationships/theme" Target="theme/theme1.xml" /><Relationship Id="rId26"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http://www.91exam.org/91files/2016072313/m4aibvi1l3a.gif" TargetMode="External" /><Relationship Id="rId6" Type="http://schemas.openxmlformats.org/officeDocument/2006/relationships/image" Target="media/image2.png" /><Relationship Id="rId7" Type="http://schemas.openxmlformats.org/officeDocument/2006/relationships/image" Target="http://www.91exam.org/91files/2016072312/csqbry1z5ud.gif" TargetMode="External" /><Relationship Id="rId8" Type="http://schemas.openxmlformats.org/officeDocument/2006/relationships/image" Target="media/image3.png" /><Relationship Id="rId9" Type="http://schemas.openxmlformats.org/officeDocument/2006/relationships/image" Target="http://www.91exam.org/91files/2016072314/3sdidvam0xj.gif" TargetMode="Externa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4707</Words>
  <Characters>26832</Characters>
  <Application>Microsoft Office Word</Application>
  <DocSecurity>0</DocSecurity>
  <Lines>223</Lines>
  <Paragraphs>62</Paragraphs>
  <ScaleCrop>false</ScaleCrop>
  <Company/>
  <LinksUpToDate>false</LinksUpToDate>
  <CharactersWithSpaces>31477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江南博哥</cp:lastModifiedBy>
  <cp:revision>1</cp:revision>
  <dcterms:created xsi:type="dcterms:W3CDTF">2024-02-05T17:47:00Z</dcterms:created>
  <dcterms:modified xsi:type="dcterms:W3CDTF">2024-03-01T01:25:26Z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1B20E746FC0A4C169F04E31CAFC85A3D_13</vt:lpwstr>
  </property>
  <property fmtid="{D5CDD505-2E9C-101B-9397-08002B2CF9AE}" pid="3" name="KSOProductBuildVer">
    <vt:lpwstr>2052-12.1.0.16399</vt:lpwstr>
  </property>
</Properties>
</file>