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细菌活苗行业相关公司筹备报告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一、细菌活苗项目概况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(二)、细菌活苗项目提出的理由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(三)、细菌活苗项目选址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(六)、细菌活苗项目投资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6" w:history="1">
        <w:r>
          <w:rPr>
            <w:rFonts w:ascii="仿宋" w:eastAsia="仿宋" w:hAnsi="仿宋" w:cs="仿宋" w:hint="eastAsia"/>
            <w:lang w:eastAsia="zh-CN"/>
          </w:rPr>
          <w:t>(七)、细菌活苗项目进度规划</w:t>
        </w:r>
        <w:r>
          <w:tab/>
        </w:r>
        <w:r>
          <w:fldChar w:fldCharType="begin"/>
        </w:r>
        <w:r>
          <w:instrText xml:space="preserve"> PAGEREF _Toc27006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9" w:history="1">
        <w:r>
          <w:rPr>
            <w:rFonts w:ascii="仿宋" w:eastAsia="仿宋" w:hAnsi="仿宋" w:cs="仿宋" w:hint="eastAsia"/>
            <w:lang w:eastAsia="zh-CN"/>
          </w:rPr>
          <w:t>(九)、细菌活苗项目综合评价</w:t>
        </w:r>
        <w:r>
          <w:tab/>
        </w:r>
        <w:r>
          <w:fldChar w:fldCharType="begin"/>
        </w:r>
        <w:r>
          <w:instrText xml:space="preserve"> PAGEREF _Toc21509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二、细菌活苗筹建公司基本信息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_Toc10236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_Toc10221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(一)、细菌活苗项目选址原则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eastAsia="zh-CN"/>
          </w:rPr>
          <w:t>(五)、细菌活苗项目选址综合评价</w:t>
        </w:r>
        <w:r>
          <w:tab/>
        </w:r>
        <w:r>
          <w:fldChar w:fldCharType="begin"/>
        </w:r>
        <w:r>
          <w:instrText xml:space="preserve"> PAGEREF _Toc17784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(一)、细菌活苗项目进度安排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(二)、细菌活苗项目实施保障措施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八、细菌活苗项目风险分析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5" w:history="1">
        <w:r>
          <w:rPr>
            <w:rFonts w:ascii="仿宋" w:eastAsia="仿宋" w:hAnsi="仿宋" w:cs="仿宋" w:hint="eastAsia"/>
            <w:lang w:eastAsia="zh-CN"/>
          </w:rPr>
          <w:t>(一)、细菌活苗项目风险分析</w:t>
        </w:r>
        <w:r>
          <w:tab/>
        </w:r>
        <w:r>
          <w:fldChar w:fldCharType="begin"/>
        </w:r>
        <w:r>
          <w:instrText xml:space="preserve"> PAGEREF _Toc30955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(二)、细菌活苗项目风险对策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_Toc25100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_Toc15191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_Toc26021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十三、细菌活苗项目总结分析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09"/>
      <w:r>
        <w:rPr>
          <w:rFonts w:ascii="仿宋" w:eastAsia="仿宋" w:hAnsi="仿宋" w:cs="仿宋" w:hint="eastAsia"/>
          <w:sz w:val="28"/>
          <w:lang w:eastAsia="zh-CN"/>
        </w:rPr>
        <w:t>一、细菌活苗项目概况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0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35"/>
      <w:r>
        <w:rPr>
          <w:rFonts w:ascii="仿宋" w:eastAsia="仿宋" w:hAnsi="仿宋" w:cs="仿宋" w:hint="eastAsia"/>
          <w:sz w:val="28"/>
          <w:lang w:eastAsia="zh-CN"/>
        </w:rPr>
        <w:t>(二)、细菌活苗项目提出的理由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细菌活苗项目提出的理由可能包括以下几个方面：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市场需求：随着人们对生活品质的追求，对细菌活苗的需求也在不断增加。市场上对于高品质、符合个性化需求的细菌活苗需求量大，因此细菌活苗项目可以满足这一市场需求。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利润空间：细菌活苗行业的利润空间较大，通过生产和销售高品质的细菌活苗，可以获得可观的利润。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细菌活苗行业是一个不断创新和发展的行业，随着人们生活方式和审美观念的改变，对细菌活苗的需求也在不断变化。因此，在细菌活苗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环保和可持续发展：人们越来越关注环保和可持续发展，细菌活苗行业也开始注重环保和可持续性发展。通过使用环保材料和生产工艺，细菌活苗项目可以减少对环境的影响，并提高产品的可持续性。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个人兴趣和激情：一些人可能对细菌活苗设计和制造有着浓厚的兴趣和激情，他们希望通过自己的努力和创新，提供更好的细菌活苗产品和服务，满足消费者的需求。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细菌活苗项目的理由可能因具体情况而异，不同的细菌活苗项目可能有不同的原因和背景。因此，在选择细菌活苗项目时，我们需要根据自己的实际情况和需求来综合考虑各种因素，并选择最适合自己的细菌活苗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307"/>
      <w:r>
        <w:rPr>
          <w:rFonts w:ascii="仿宋" w:eastAsia="仿宋" w:hAnsi="仿宋" w:cs="仿宋" w:hint="eastAsia"/>
          <w:sz w:val="28"/>
          <w:lang w:eastAsia="zh-CN"/>
        </w:rPr>
        <w:t>(三)、细菌活苗项目选址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该细菌活苗项目计划选址于xx园区，占地面积约XXX亩。所选地理位置得天独厚，交通便捷，同时享有完善的电力、供水、排水、通讯等公用设施，非常适合本细菌活苗项目的建设需求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22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https://d.book118.com/705023323331011043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细菌活苗行业相关公司筹备报告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细菌活苗行业相关公司筹备报告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细菌活苗行业相关公司筹备报告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细菌活苗行业相关公司筹备报告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细菌活苗行业相关公司筹备报告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5023323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2024-01-15T18:11:00Z</dcterms:created>
  <dcterms:modified xsi:type="dcterms:W3CDTF">2024-01-15T18:11:16Z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7CC097D3F4064E7499204B53B38F99B3_11</vt:lpwstr>
  </property>
  <property fmtid="{D5CDD505-2E9C-101B-9397-08002B2CF9AE}" pid="3" name="KSOProductBuildVer">
    <vt:lpwstr>2052-12.1.0.16120</vt:lpwstr>
  </property>
</Properties>
</file>