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离子交换树脂项目规划设计纲要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7" w:history="1">
        <w:r>
          <w:rPr>
            <w:rFonts w:ascii="仿宋" w:eastAsia="仿宋" w:hAnsi="仿宋" w:cs="仿宋" w:hint="eastAsia"/>
            <w:lang w:eastAsia="zh-CN"/>
          </w:rPr>
          <w:t>概论</w:t>
        </w:r>
        <w:r>
          <w:tab/>
        </w:r>
        <w:r>
          <w:fldChar w:fldCharType="begin"/>
        </w:r>
        <w:r>
          <w:instrText xml:space="preserve"> PAGEREF _Toc1097 \h </w:instrText>
        </w:r>
        <w:r>
          <w:fldChar w:fldCharType="separate"/>
        </w:r>
        <w:r>
          <w:t>3</w:t>
        </w:r>
        <w:r>
          <w:fldChar w:fldCharType="end"/>
        </w:r>
      </w:hyperlink>
    </w:p>
    <w:p>
      <w:pPr>
        <w:pStyle w:val="TOC1"/>
        <w:tabs>
          <w:tab w:val="right" w:leader="dot" w:pos="8306"/>
        </w:tabs>
      </w:pPr>
      <w:hyperlink w:anchor="_Toc31634" w:history="1">
        <w:r>
          <w:rPr>
            <w:rFonts w:ascii="仿宋" w:eastAsia="仿宋" w:hAnsi="仿宋" w:cs="仿宋" w:hint="eastAsia"/>
            <w:lang w:eastAsia="zh-CN"/>
          </w:rPr>
          <w:t>一、离子交换树脂项目建设背景及必要性分析</w:t>
        </w:r>
        <w:r>
          <w:tab/>
        </w:r>
        <w:r>
          <w:fldChar w:fldCharType="begin"/>
        </w:r>
        <w:r>
          <w:instrText xml:space="preserve"> PAGEREF _Toc31634 \h </w:instrText>
        </w:r>
        <w:r>
          <w:fldChar w:fldCharType="separate"/>
        </w:r>
        <w:r>
          <w:t>3</w:t>
        </w:r>
        <w:r>
          <w:fldChar w:fldCharType="end"/>
        </w:r>
      </w:hyperlink>
    </w:p>
    <w:p>
      <w:pPr>
        <w:pStyle w:val="TOC2"/>
        <w:tabs>
          <w:tab w:val="right" w:leader="dot" w:pos="8306"/>
        </w:tabs>
      </w:pPr>
      <w:hyperlink w:anchor="_Toc7079" w:history="1">
        <w:r>
          <w:rPr>
            <w:rFonts w:ascii="仿宋" w:eastAsia="仿宋" w:hAnsi="仿宋" w:cs="仿宋" w:hint="eastAsia"/>
            <w:lang w:eastAsia="zh-CN"/>
          </w:rPr>
          <w:t>(一)、离子交换树脂项目背景分析</w:t>
        </w:r>
        <w:r>
          <w:tab/>
        </w:r>
        <w:r>
          <w:fldChar w:fldCharType="begin"/>
        </w:r>
        <w:r>
          <w:instrText xml:space="preserve"> PAGEREF _Toc7079 \h </w:instrText>
        </w:r>
        <w:r>
          <w:fldChar w:fldCharType="separate"/>
        </w:r>
        <w:r>
          <w:t>3</w:t>
        </w:r>
        <w:r>
          <w:fldChar w:fldCharType="end"/>
        </w:r>
      </w:hyperlink>
    </w:p>
    <w:p>
      <w:pPr>
        <w:pStyle w:val="TOC2"/>
        <w:tabs>
          <w:tab w:val="right" w:leader="dot" w:pos="8306"/>
        </w:tabs>
      </w:pPr>
      <w:hyperlink w:anchor="_Toc29006" w:history="1">
        <w:r>
          <w:rPr>
            <w:rFonts w:ascii="仿宋" w:eastAsia="仿宋" w:hAnsi="仿宋" w:cs="仿宋" w:hint="eastAsia"/>
            <w:lang w:eastAsia="zh-CN"/>
          </w:rPr>
          <w:t>(二)、离子交换树脂项目建设必要性分析</w:t>
        </w:r>
        <w:r>
          <w:tab/>
        </w:r>
        <w:r>
          <w:fldChar w:fldCharType="begin"/>
        </w:r>
        <w:r>
          <w:instrText xml:space="preserve"> PAGEREF _Toc29006 \h </w:instrText>
        </w:r>
        <w:r>
          <w:fldChar w:fldCharType="separate"/>
        </w:r>
        <w:r>
          <w:t>5</w:t>
        </w:r>
        <w:r>
          <w:fldChar w:fldCharType="end"/>
        </w:r>
      </w:hyperlink>
    </w:p>
    <w:p>
      <w:pPr>
        <w:pStyle w:val="TOC1"/>
        <w:tabs>
          <w:tab w:val="right" w:leader="dot" w:pos="8306"/>
        </w:tabs>
      </w:pPr>
      <w:hyperlink w:anchor="_Toc14233" w:history="1">
        <w:r>
          <w:rPr>
            <w:rFonts w:ascii="仿宋" w:eastAsia="仿宋" w:hAnsi="仿宋" w:cs="仿宋" w:hint="eastAsia"/>
            <w:lang w:eastAsia="zh-CN"/>
          </w:rPr>
          <w:t>二、离子交换树脂项目绩效评估</w:t>
        </w:r>
        <w:r>
          <w:tab/>
        </w:r>
        <w:r>
          <w:fldChar w:fldCharType="begin"/>
        </w:r>
        <w:r>
          <w:instrText xml:space="preserve"> PAGEREF _Toc14233 \h </w:instrText>
        </w:r>
        <w:r>
          <w:fldChar w:fldCharType="separate"/>
        </w:r>
        <w:r>
          <w:t>6</w:t>
        </w:r>
        <w:r>
          <w:fldChar w:fldCharType="end"/>
        </w:r>
      </w:hyperlink>
    </w:p>
    <w:p>
      <w:pPr>
        <w:pStyle w:val="TOC2"/>
        <w:tabs>
          <w:tab w:val="right" w:leader="dot" w:pos="8306"/>
        </w:tabs>
      </w:pPr>
      <w:hyperlink w:anchor="_Toc5161" w:history="1">
        <w:r>
          <w:rPr>
            <w:rFonts w:ascii="仿宋" w:eastAsia="仿宋" w:hAnsi="仿宋" w:cs="仿宋" w:hint="eastAsia"/>
            <w:lang w:eastAsia="zh-CN"/>
          </w:rPr>
          <w:t>(一)、绩效评估指标</w:t>
        </w:r>
        <w:r>
          <w:tab/>
        </w:r>
        <w:r>
          <w:fldChar w:fldCharType="begin"/>
        </w:r>
        <w:r>
          <w:instrText xml:space="preserve"> PAGEREF _Toc5161 \h </w:instrText>
        </w:r>
        <w:r>
          <w:fldChar w:fldCharType="separate"/>
        </w:r>
        <w:r>
          <w:t>6</w:t>
        </w:r>
        <w:r>
          <w:fldChar w:fldCharType="end"/>
        </w:r>
      </w:hyperlink>
    </w:p>
    <w:p>
      <w:pPr>
        <w:pStyle w:val="TOC2"/>
        <w:tabs>
          <w:tab w:val="right" w:leader="dot" w:pos="8306"/>
        </w:tabs>
      </w:pPr>
      <w:hyperlink w:anchor="_Toc8340" w:history="1">
        <w:r>
          <w:rPr>
            <w:rFonts w:ascii="仿宋" w:eastAsia="仿宋" w:hAnsi="仿宋" w:cs="仿宋" w:hint="eastAsia"/>
            <w:lang w:eastAsia="zh-CN"/>
          </w:rPr>
          <w:t>(二)、绩效评估方法</w:t>
        </w:r>
        <w:r>
          <w:tab/>
        </w:r>
        <w:r>
          <w:fldChar w:fldCharType="begin"/>
        </w:r>
        <w:r>
          <w:instrText xml:space="preserve"> PAGEREF _Toc8340 \h </w:instrText>
        </w:r>
        <w:r>
          <w:fldChar w:fldCharType="separate"/>
        </w:r>
        <w:r>
          <w:t>7</w:t>
        </w:r>
        <w:r>
          <w:fldChar w:fldCharType="end"/>
        </w:r>
      </w:hyperlink>
    </w:p>
    <w:p>
      <w:pPr>
        <w:pStyle w:val="TOC2"/>
        <w:tabs>
          <w:tab w:val="right" w:leader="dot" w:pos="8306"/>
        </w:tabs>
      </w:pPr>
      <w:hyperlink w:anchor="_Toc17326" w:history="1">
        <w:r>
          <w:rPr>
            <w:rFonts w:ascii="仿宋" w:eastAsia="仿宋" w:hAnsi="仿宋" w:cs="仿宋" w:hint="eastAsia"/>
            <w:lang w:eastAsia="zh-CN"/>
          </w:rPr>
          <w:t>(三)、绩效评估周期</w:t>
        </w:r>
        <w:r>
          <w:tab/>
        </w:r>
        <w:r>
          <w:fldChar w:fldCharType="begin"/>
        </w:r>
        <w:r>
          <w:instrText xml:space="preserve"> PAGEREF _Toc17326 \h </w:instrText>
        </w:r>
        <w:r>
          <w:fldChar w:fldCharType="separate"/>
        </w:r>
        <w:r>
          <w:t>8</w:t>
        </w:r>
        <w:r>
          <w:fldChar w:fldCharType="end"/>
        </w:r>
      </w:hyperlink>
    </w:p>
    <w:p>
      <w:pPr>
        <w:pStyle w:val="TOC1"/>
        <w:tabs>
          <w:tab w:val="right" w:leader="dot" w:pos="8306"/>
        </w:tabs>
      </w:pPr>
      <w:hyperlink w:anchor="_Toc13629" w:history="1">
        <w:r>
          <w:rPr>
            <w:rFonts w:ascii="仿宋" w:eastAsia="仿宋" w:hAnsi="仿宋" w:cs="仿宋" w:hint="eastAsia"/>
            <w:lang w:eastAsia="zh-CN"/>
          </w:rPr>
          <w:t>三、市场分析、调研</w:t>
        </w:r>
        <w:r>
          <w:tab/>
        </w:r>
        <w:r>
          <w:fldChar w:fldCharType="begin"/>
        </w:r>
        <w:r>
          <w:instrText xml:space="preserve"> PAGEREF _Toc13629 \h </w:instrText>
        </w:r>
        <w:r>
          <w:fldChar w:fldCharType="separate"/>
        </w:r>
        <w:r>
          <w:t>9</w:t>
        </w:r>
        <w:r>
          <w:fldChar w:fldCharType="end"/>
        </w:r>
      </w:hyperlink>
    </w:p>
    <w:p>
      <w:pPr>
        <w:pStyle w:val="TOC2"/>
        <w:tabs>
          <w:tab w:val="right" w:leader="dot" w:pos="8306"/>
        </w:tabs>
      </w:pPr>
      <w:hyperlink w:anchor="_Toc29743" w:history="1">
        <w:r>
          <w:rPr>
            <w:rFonts w:ascii="仿宋" w:eastAsia="仿宋" w:hAnsi="仿宋" w:cs="仿宋" w:hint="eastAsia"/>
            <w:lang w:eastAsia="zh-CN"/>
          </w:rPr>
          <w:t>(一)、离子交换树脂行业分析</w:t>
        </w:r>
        <w:r>
          <w:tab/>
        </w:r>
        <w:r>
          <w:fldChar w:fldCharType="begin"/>
        </w:r>
        <w:r>
          <w:instrText xml:space="preserve"> PAGEREF _Toc29743 \h </w:instrText>
        </w:r>
        <w:r>
          <w:fldChar w:fldCharType="separate"/>
        </w:r>
        <w:r>
          <w:t>9</w:t>
        </w:r>
        <w:r>
          <w:fldChar w:fldCharType="end"/>
        </w:r>
      </w:hyperlink>
    </w:p>
    <w:p>
      <w:pPr>
        <w:pStyle w:val="TOC2"/>
        <w:tabs>
          <w:tab w:val="right" w:leader="dot" w:pos="8306"/>
        </w:tabs>
      </w:pPr>
      <w:hyperlink w:anchor="_Toc20462" w:history="1">
        <w:r>
          <w:rPr>
            <w:rFonts w:ascii="仿宋" w:eastAsia="仿宋" w:hAnsi="仿宋" w:cs="仿宋" w:hint="eastAsia"/>
            <w:lang w:eastAsia="zh-CN"/>
          </w:rPr>
          <w:t>(二)、离子交换树脂市场分析预测</w:t>
        </w:r>
        <w:r>
          <w:tab/>
        </w:r>
        <w:r>
          <w:fldChar w:fldCharType="begin"/>
        </w:r>
        <w:r>
          <w:instrText xml:space="preserve"> PAGEREF _Toc20462 \h </w:instrText>
        </w:r>
        <w:r>
          <w:fldChar w:fldCharType="separate"/>
        </w:r>
        <w:r>
          <w:t>10</w:t>
        </w:r>
        <w:r>
          <w:fldChar w:fldCharType="end"/>
        </w:r>
      </w:hyperlink>
    </w:p>
    <w:p>
      <w:pPr>
        <w:pStyle w:val="TOC1"/>
        <w:tabs>
          <w:tab w:val="right" w:leader="dot" w:pos="8306"/>
        </w:tabs>
      </w:pPr>
      <w:hyperlink w:anchor="_Toc14494" w:history="1">
        <w:r>
          <w:rPr>
            <w:rFonts w:ascii="仿宋" w:eastAsia="仿宋" w:hAnsi="仿宋" w:cs="仿宋" w:hint="eastAsia"/>
            <w:lang w:eastAsia="zh-CN"/>
          </w:rPr>
          <w:t>四、离子交换树脂项目文档管理</w:t>
        </w:r>
        <w:r>
          <w:tab/>
        </w:r>
        <w:r>
          <w:fldChar w:fldCharType="begin"/>
        </w:r>
        <w:r>
          <w:instrText xml:space="preserve"> PAGEREF _Toc14494 \h </w:instrText>
        </w:r>
        <w:r>
          <w:fldChar w:fldCharType="separate"/>
        </w:r>
        <w:r>
          <w:t>11</w:t>
        </w:r>
        <w:r>
          <w:fldChar w:fldCharType="end"/>
        </w:r>
      </w:hyperlink>
    </w:p>
    <w:p>
      <w:pPr>
        <w:pStyle w:val="TOC2"/>
        <w:tabs>
          <w:tab w:val="right" w:leader="dot" w:pos="8306"/>
        </w:tabs>
      </w:pPr>
      <w:hyperlink w:anchor="_Toc31155" w:history="1">
        <w:r>
          <w:rPr>
            <w:rFonts w:ascii="仿宋" w:eastAsia="仿宋" w:hAnsi="仿宋" w:cs="仿宋" w:hint="eastAsia"/>
            <w:lang w:eastAsia="zh-CN"/>
          </w:rPr>
          <w:t>(一)、文档编制与审查</w:t>
        </w:r>
        <w:r>
          <w:tab/>
        </w:r>
        <w:r>
          <w:fldChar w:fldCharType="begin"/>
        </w:r>
        <w:r>
          <w:instrText xml:space="preserve"> PAGEREF _Toc31155 \h </w:instrText>
        </w:r>
        <w:r>
          <w:fldChar w:fldCharType="separate"/>
        </w:r>
        <w:r>
          <w:t>11</w:t>
        </w:r>
        <w:r>
          <w:fldChar w:fldCharType="end"/>
        </w:r>
      </w:hyperlink>
    </w:p>
    <w:p>
      <w:pPr>
        <w:pStyle w:val="TOC2"/>
        <w:tabs>
          <w:tab w:val="right" w:leader="dot" w:pos="8306"/>
        </w:tabs>
      </w:pPr>
      <w:hyperlink w:anchor="_Toc14395" w:history="1">
        <w:r>
          <w:rPr>
            <w:rFonts w:ascii="仿宋" w:eastAsia="仿宋" w:hAnsi="仿宋" w:cs="仿宋" w:hint="eastAsia"/>
            <w:lang w:eastAsia="zh-CN"/>
          </w:rPr>
          <w:t>(二)、文档发布与分发</w:t>
        </w:r>
        <w:r>
          <w:tab/>
        </w:r>
        <w:r>
          <w:fldChar w:fldCharType="begin"/>
        </w:r>
        <w:r>
          <w:instrText xml:space="preserve"> PAGEREF _Toc14395 \h </w:instrText>
        </w:r>
        <w:r>
          <w:fldChar w:fldCharType="separate"/>
        </w:r>
        <w:r>
          <w:t>12</w:t>
        </w:r>
        <w:r>
          <w:fldChar w:fldCharType="end"/>
        </w:r>
      </w:hyperlink>
    </w:p>
    <w:p>
      <w:pPr>
        <w:pStyle w:val="TOC2"/>
        <w:tabs>
          <w:tab w:val="right" w:leader="dot" w:pos="8306"/>
        </w:tabs>
      </w:pPr>
      <w:hyperlink w:anchor="_Toc23996" w:history="1">
        <w:r>
          <w:rPr>
            <w:rFonts w:ascii="仿宋" w:eastAsia="仿宋" w:hAnsi="仿宋" w:cs="仿宋" w:hint="eastAsia"/>
            <w:lang w:eastAsia="zh-CN"/>
          </w:rPr>
          <w:t>(三)、文档存档与归档</w:t>
        </w:r>
        <w:r>
          <w:tab/>
        </w:r>
        <w:r>
          <w:fldChar w:fldCharType="begin"/>
        </w:r>
        <w:r>
          <w:instrText xml:space="preserve"> PAGEREF _Toc23996 \h </w:instrText>
        </w:r>
        <w:r>
          <w:fldChar w:fldCharType="separate"/>
        </w:r>
        <w:r>
          <w:t>13</w:t>
        </w:r>
        <w:r>
          <w:fldChar w:fldCharType="end"/>
        </w:r>
      </w:hyperlink>
    </w:p>
    <w:p>
      <w:pPr>
        <w:pStyle w:val="TOC1"/>
        <w:tabs>
          <w:tab w:val="right" w:leader="dot" w:pos="8306"/>
        </w:tabs>
      </w:pPr>
      <w:hyperlink w:anchor="_Toc22167" w:history="1">
        <w:r>
          <w:rPr>
            <w:rFonts w:ascii="仿宋" w:eastAsia="仿宋" w:hAnsi="仿宋" w:cs="仿宋" w:hint="eastAsia"/>
            <w:lang w:eastAsia="zh-CN"/>
          </w:rPr>
          <w:t>五、离子交换树脂项目土建工程</w:t>
        </w:r>
        <w:r>
          <w:tab/>
        </w:r>
        <w:r>
          <w:fldChar w:fldCharType="begin"/>
        </w:r>
        <w:r>
          <w:instrText xml:space="preserve"> PAGEREF _Toc22167 \h </w:instrText>
        </w:r>
        <w:r>
          <w:fldChar w:fldCharType="separate"/>
        </w:r>
        <w:r>
          <w:t>14</w:t>
        </w:r>
        <w:r>
          <w:fldChar w:fldCharType="end"/>
        </w:r>
      </w:hyperlink>
    </w:p>
    <w:p>
      <w:pPr>
        <w:pStyle w:val="TOC2"/>
        <w:tabs>
          <w:tab w:val="right" w:leader="dot" w:pos="8306"/>
        </w:tabs>
      </w:pPr>
      <w:hyperlink w:anchor="_Toc18909" w:history="1">
        <w:r>
          <w:rPr>
            <w:rFonts w:ascii="仿宋" w:eastAsia="仿宋" w:hAnsi="仿宋" w:cs="仿宋" w:hint="eastAsia"/>
            <w:lang w:eastAsia="zh-CN"/>
          </w:rPr>
          <w:t>(一)、建筑工程设计原则</w:t>
        </w:r>
        <w:r>
          <w:tab/>
        </w:r>
        <w:r>
          <w:fldChar w:fldCharType="begin"/>
        </w:r>
        <w:r>
          <w:instrText xml:space="preserve"> PAGEREF _Toc18909 \h </w:instrText>
        </w:r>
        <w:r>
          <w:fldChar w:fldCharType="separate"/>
        </w:r>
        <w:r>
          <w:t>14</w:t>
        </w:r>
        <w:r>
          <w:fldChar w:fldCharType="end"/>
        </w:r>
      </w:hyperlink>
    </w:p>
    <w:p>
      <w:pPr>
        <w:pStyle w:val="TOC2"/>
        <w:tabs>
          <w:tab w:val="right" w:leader="dot" w:pos="8306"/>
        </w:tabs>
      </w:pPr>
      <w:hyperlink w:anchor="_Toc18616" w:history="1">
        <w:r>
          <w:rPr>
            <w:rFonts w:ascii="仿宋" w:eastAsia="仿宋" w:hAnsi="仿宋" w:cs="仿宋" w:hint="eastAsia"/>
            <w:lang w:eastAsia="zh-CN"/>
          </w:rPr>
          <w:t>(二)、土建工程设计年限及安全等级</w:t>
        </w:r>
        <w:r>
          <w:tab/>
        </w:r>
        <w:r>
          <w:fldChar w:fldCharType="begin"/>
        </w:r>
        <w:r>
          <w:instrText xml:space="preserve"> PAGEREF _Toc18616 \h </w:instrText>
        </w:r>
        <w:r>
          <w:fldChar w:fldCharType="separate"/>
        </w:r>
        <w:r>
          <w:t>15</w:t>
        </w:r>
        <w:r>
          <w:fldChar w:fldCharType="end"/>
        </w:r>
      </w:hyperlink>
    </w:p>
    <w:p>
      <w:pPr>
        <w:pStyle w:val="TOC2"/>
        <w:tabs>
          <w:tab w:val="right" w:leader="dot" w:pos="8306"/>
        </w:tabs>
      </w:pPr>
      <w:hyperlink w:anchor="_Toc11157" w:history="1">
        <w:r>
          <w:rPr>
            <w:rFonts w:ascii="仿宋" w:eastAsia="仿宋" w:hAnsi="仿宋" w:cs="仿宋" w:hint="eastAsia"/>
            <w:lang w:eastAsia="zh-CN"/>
          </w:rPr>
          <w:t>(三)、建筑工程设计总体要求</w:t>
        </w:r>
        <w:r>
          <w:tab/>
        </w:r>
        <w:r>
          <w:fldChar w:fldCharType="begin"/>
        </w:r>
        <w:r>
          <w:instrText xml:space="preserve"> PAGEREF _Toc11157 \h </w:instrText>
        </w:r>
        <w:r>
          <w:fldChar w:fldCharType="separate"/>
        </w:r>
        <w:r>
          <w:t>17</w:t>
        </w:r>
        <w:r>
          <w:fldChar w:fldCharType="end"/>
        </w:r>
      </w:hyperlink>
    </w:p>
    <w:p>
      <w:pPr>
        <w:pStyle w:val="TOC2"/>
        <w:tabs>
          <w:tab w:val="right" w:leader="dot" w:pos="8306"/>
        </w:tabs>
      </w:pPr>
      <w:hyperlink w:anchor="_Toc26726" w:history="1">
        <w:r>
          <w:rPr>
            <w:rFonts w:ascii="仿宋" w:eastAsia="仿宋" w:hAnsi="仿宋" w:cs="仿宋" w:hint="eastAsia"/>
            <w:lang w:eastAsia="zh-CN"/>
          </w:rPr>
          <w:t>(四)、土建工程建设指标</w:t>
        </w:r>
        <w:r>
          <w:tab/>
        </w:r>
        <w:r>
          <w:fldChar w:fldCharType="begin"/>
        </w:r>
        <w:r>
          <w:instrText xml:space="preserve"> PAGEREF _Toc26726 \h </w:instrText>
        </w:r>
        <w:r>
          <w:fldChar w:fldCharType="separate"/>
        </w:r>
        <w:r>
          <w:t>17</w:t>
        </w:r>
        <w:r>
          <w:fldChar w:fldCharType="end"/>
        </w:r>
      </w:hyperlink>
    </w:p>
    <w:p>
      <w:pPr>
        <w:pStyle w:val="TOC1"/>
        <w:tabs>
          <w:tab w:val="right" w:leader="dot" w:pos="8306"/>
        </w:tabs>
      </w:pPr>
      <w:hyperlink w:anchor="_Toc13992" w:history="1">
        <w:r>
          <w:rPr>
            <w:rFonts w:ascii="仿宋" w:eastAsia="仿宋" w:hAnsi="仿宋" w:cs="仿宋" w:hint="eastAsia"/>
            <w:lang w:eastAsia="zh-CN"/>
          </w:rPr>
          <w:t>六、离子交换树脂项目选址可行性分析</w:t>
        </w:r>
        <w:r>
          <w:tab/>
        </w:r>
        <w:r>
          <w:fldChar w:fldCharType="begin"/>
        </w:r>
        <w:r>
          <w:instrText xml:space="preserve"> PAGEREF _Toc13992 \h </w:instrText>
        </w:r>
        <w:r>
          <w:fldChar w:fldCharType="separate"/>
        </w:r>
        <w:r>
          <w:t>18</w:t>
        </w:r>
        <w:r>
          <w:fldChar w:fldCharType="end"/>
        </w:r>
      </w:hyperlink>
    </w:p>
    <w:p>
      <w:pPr>
        <w:pStyle w:val="TOC2"/>
        <w:tabs>
          <w:tab w:val="right" w:leader="dot" w:pos="8306"/>
        </w:tabs>
      </w:pPr>
      <w:hyperlink w:anchor="_Toc24304" w:history="1">
        <w:r>
          <w:rPr>
            <w:rFonts w:ascii="仿宋" w:eastAsia="仿宋" w:hAnsi="仿宋" w:cs="仿宋" w:hint="eastAsia"/>
            <w:lang w:eastAsia="zh-CN"/>
          </w:rPr>
          <w:t>(一)、离子交换树脂项目选址</w:t>
        </w:r>
        <w:r>
          <w:tab/>
        </w:r>
        <w:r>
          <w:fldChar w:fldCharType="begin"/>
        </w:r>
        <w:r>
          <w:instrText xml:space="preserve"> PAGEREF _Toc24304 \h </w:instrText>
        </w:r>
        <w:r>
          <w:fldChar w:fldCharType="separate"/>
        </w:r>
        <w:r>
          <w:t>18</w:t>
        </w:r>
        <w:r>
          <w:fldChar w:fldCharType="end"/>
        </w:r>
      </w:hyperlink>
    </w:p>
    <w:p>
      <w:pPr>
        <w:pStyle w:val="TOC2"/>
        <w:tabs>
          <w:tab w:val="right" w:leader="dot" w:pos="8306"/>
        </w:tabs>
      </w:pPr>
      <w:hyperlink w:anchor="_Toc2401" w:history="1">
        <w:r>
          <w:rPr>
            <w:rFonts w:ascii="仿宋" w:eastAsia="仿宋" w:hAnsi="仿宋" w:cs="仿宋" w:hint="eastAsia"/>
            <w:lang w:eastAsia="zh-CN"/>
          </w:rPr>
          <w:t>(二)、用地控制指标</w:t>
        </w:r>
        <w:r>
          <w:tab/>
        </w:r>
        <w:r>
          <w:fldChar w:fldCharType="begin"/>
        </w:r>
        <w:r>
          <w:instrText xml:space="preserve"> PAGEREF _Toc2401 \h </w:instrText>
        </w:r>
        <w:r>
          <w:fldChar w:fldCharType="separate"/>
        </w:r>
        <w:r>
          <w:t>18</w:t>
        </w:r>
        <w:r>
          <w:fldChar w:fldCharType="end"/>
        </w:r>
      </w:hyperlink>
    </w:p>
    <w:p>
      <w:pPr>
        <w:pStyle w:val="TOC2"/>
        <w:tabs>
          <w:tab w:val="right" w:leader="dot" w:pos="8306"/>
        </w:tabs>
      </w:pPr>
      <w:hyperlink w:anchor="_Toc19165" w:history="1">
        <w:r>
          <w:rPr>
            <w:rFonts w:ascii="仿宋" w:eastAsia="仿宋" w:hAnsi="仿宋" w:cs="仿宋" w:hint="eastAsia"/>
            <w:lang w:eastAsia="zh-CN"/>
          </w:rPr>
          <w:t>(三)、节约用地措施</w:t>
        </w:r>
        <w:r>
          <w:tab/>
        </w:r>
        <w:r>
          <w:fldChar w:fldCharType="begin"/>
        </w:r>
        <w:r>
          <w:instrText xml:space="preserve"> PAGEREF _Toc19165 \h </w:instrText>
        </w:r>
        <w:r>
          <w:fldChar w:fldCharType="separate"/>
        </w:r>
        <w:r>
          <w:t>20</w:t>
        </w:r>
        <w:r>
          <w:fldChar w:fldCharType="end"/>
        </w:r>
      </w:hyperlink>
    </w:p>
    <w:p>
      <w:pPr>
        <w:pStyle w:val="TOC2"/>
        <w:tabs>
          <w:tab w:val="right" w:leader="dot" w:pos="8306"/>
        </w:tabs>
      </w:pPr>
      <w:hyperlink w:anchor="_Toc1004" w:history="1">
        <w:r>
          <w:rPr>
            <w:rFonts w:ascii="仿宋" w:eastAsia="仿宋" w:hAnsi="仿宋" w:cs="仿宋" w:hint="eastAsia"/>
            <w:lang w:eastAsia="zh-CN"/>
          </w:rPr>
          <w:t>(四)、总图布置方案</w:t>
        </w:r>
        <w:r>
          <w:tab/>
        </w:r>
        <w:r>
          <w:fldChar w:fldCharType="begin"/>
        </w:r>
        <w:r>
          <w:instrText xml:space="preserve"> PAGEREF _Toc1004 \h </w:instrText>
        </w:r>
        <w:r>
          <w:fldChar w:fldCharType="separate"/>
        </w:r>
        <w:r>
          <w:t>21</w:t>
        </w:r>
        <w:r>
          <w:fldChar w:fldCharType="end"/>
        </w:r>
      </w:hyperlink>
    </w:p>
    <w:p>
      <w:pPr>
        <w:pStyle w:val="TOC2"/>
        <w:tabs>
          <w:tab w:val="right" w:leader="dot" w:pos="8306"/>
        </w:tabs>
      </w:pPr>
      <w:hyperlink w:anchor="_Toc24682" w:history="1">
        <w:r>
          <w:rPr>
            <w:rFonts w:ascii="仿宋" w:eastAsia="仿宋" w:hAnsi="仿宋" w:cs="仿宋" w:hint="eastAsia"/>
            <w:lang w:eastAsia="zh-CN"/>
          </w:rPr>
          <w:t>(五)、选址综合评价</w:t>
        </w:r>
        <w:r>
          <w:tab/>
        </w:r>
        <w:r>
          <w:fldChar w:fldCharType="begin"/>
        </w:r>
        <w:r>
          <w:instrText xml:space="preserve"> PAGEREF _Toc24682 \h </w:instrText>
        </w:r>
        <w:r>
          <w:fldChar w:fldCharType="separate"/>
        </w:r>
        <w:r>
          <w:t>22</w:t>
        </w:r>
        <w:r>
          <w:fldChar w:fldCharType="end"/>
        </w:r>
      </w:hyperlink>
    </w:p>
    <w:p>
      <w:pPr>
        <w:pStyle w:val="TOC1"/>
        <w:tabs>
          <w:tab w:val="right" w:leader="dot" w:pos="8306"/>
        </w:tabs>
      </w:pPr>
      <w:hyperlink w:anchor="_Toc29540" w:history="1">
        <w:r>
          <w:rPr>
            <w:rFonts w:ascii="仿宋" w:eastAsia="仿宋" w:hAnsi="仿宋" w:cs="仿宋" w:hint="eastAsia"/>
            <w:lang w:eastAsia="zh-CN"/>
          </w:rPr>
          <w:t>七、离子交换树脂项目人力资源培养与发展</w:t>
        </w:r>
        <w:r>
          <w:tab/>
        </w:r>
        <w:r>
          <w:fldChar w:fldCharType="begin"/>
        </w:r>
        <w:r>
          <w:instrText xml:space="preserve"> PAGEREF _Toc29540 \h </w:instrText>
        </w:r>
        <w:r>
          <w:fldChar w:fldCharType="separate"/>
        </w:r>
        <w:r>
          <w:t>23</w:t>
        </w:r>
        <w:r>
          <w:fldChar w:fldCharType="end"/>
        </w:r>
      </w:hyperlink>
    </w:p>
    <w:p>
      <w:pPr>
        <w:pStyle w:val="TOC2"/>
        <w:tabs>
          <w:tab w:val="right" w:leader="dot" w:pos="8306"/>
        </w:tabs>
      </w:pPr>
      <w:hyperlink w:anchor="_Toc17097" w:history="1">
        <w:r>
          <w:rPr>
            <w:rFonts w:ascii="仿宋" w:eastAsia="仿宋" w:hAnsi="仿宋" w:cs="仿宋" w:hint="eastAsia"/>
            <w:lang w:eastAsia="zh-CN"/>
          </w:rPr>
          <w:t>(一)、人才需求与规划</w:t>
        </w:r>
        <w:r>
          <w:tab/>
        </w:r>
        <w:r>
          <w:fldChar w:fldCharType="begin"/>
        </w:r>
        <w:r>
          <w:instrText xml:space="preserve"> PAGEREF _Toc17097 \h </w:instrText>
        </w:r>
        <w:r>
          <w:fldChar w:fldCharType="separate"/>
        </w:r>
        <w:r>
          <w:t>23</w:t>
        </w:r>
        <w:r>
          <w:fldChar w:fldCharType="end"/>
        </w:r>
      </w:hyperlink>
    </w:p>
    <w:p>
      <w:pPr>
        <w:pStyle w:val="TOC2"/>
        <w:tabs>
          <w:tab w:val="right" w:leader="dot" w:pos="8306"/>
        </w:tabs>
      </w:pPr>
      <w:hyperlink w:anchor="_Toc30355" w:history="1">
        <w:r>
          <w:rPr>
            <w:rFonts w:ascii="仿宋" w:eastAsia="仿宋" w:hAnsi="仿宋" w:cs="仿宋" w:hint="eastAsia"/>
            <w:lang w:eastAsia="zh-CN"/>
          </w:rPr>
          <w:t>(二)、培训与发展计划</w:t>
        </w:r>
        <w:r>
          <w:tab/>
        </w:r>
        <w:r>
          <w:fldChar w:fldCharType="begin"/>
        </w:r>
        <w:r>
          <w:instrText xml:space="preserve"> PAGEREF _Toc30355 \h </w:instrText>
        </w:r>
        <w:r>
          <w:fldChar w:fldCharType="separate"/>
        </w:r>
        <w:r>
          <w:t>24</w:t>
        </w:r>
        <w:r>
          <w:fldChar w:fldCharType="end"/>
        </w:r>
      </w:hyperlink>
    </w:p>
    <w:p>
      <w:pPr>
        <w:pStyle w:val="TOC1"/>
        <w:tabs>
          <w:tab w:val="right" w:leader="dot" w:pos="8306"/>
        </w:tabs>
      </w:pPr>
      <w:hyperlink w:anchor="_Toc1142" w:history="1">
        <w:r>
          <w:rPr>
            <w:rFonts w:ascii="仿宋" w:eastAsia="仿宋" w:hAnsi="仿宋" w:cs="仿宋" w:hint="eastAsia"/>
            <w:lang w:eastAsia="zh-CN"/>
          </w:rPr>
          <w:t>八、离子交换树脂项目技术管理</w:t>
        </w:r>
        <w:r>
          <w:tab/>
        </w:r>
        <w:r>
          <w:fldChar w:fldCharType="begin"/>
        </w:r>
        <w:r>
          <w:instrText xml:space="preserve"> PAGEREF _Toc1142 \h </w:instrText>
        </w:r>
        <w:r>
          <w:fldChar w:fldCharType="separate"/>
        </w:r>
        <w:r>
          <w:t>24</w:t>
        </w:r>
        <w:r>
          <w:fldChar w:fldCharType="end"/>
        </w:r>
      </w:hyperlink>
    </w:p>
    <w:p>
      <w:pPr>
        <w:pStyle w:val="TOC2"/>
        <w:tabs>
          <w:tab w:val="right" w:leader="dot" w:pos="8306"/>
        </w:tabs>
      </w:pPr>
      <w:hyperlink w:anchor="_Toc29048" w:history="1">
        <w:r>
          <w:rPr>
            <w:rFonts w:ascii="仿宋" w:eastAsia="仿宋" w:hAnsi="仿宋" w:cs="仿宋" w:hint="eastAsia"/>
            <w:lang w:eastAsia="zh-CN"/>
          </w:rPr>
          <w:t>(一)、技术方案选用方向</w:t>
        </w:r>
        <w:r>
          <w:tab/>
        </w:r>
        <w:r>
          <w:fldChar w:fldCharType="begin"/>
        </w:r>
        <w:r>
          <w:instrText xml:space="preserve"> PAGEREF _Toc29048 \h </w:instrText>
        </w:r>
        <w:r>
          <w:fldChar w:fldCharType="separate"/>
        </w:r>
        <w:r>
          <w:t>24</w:t>
        </w:r>
        <w:r>
          <w:fldChar w:fldCharType="end"/>
        </w:r>
      </w:hyperlink>
    </w:p>
    <w:p>
      <w:pPr>
        <w:pStyle w:val="TOC2"/>
        <w:tabs>
          <w:tab w:val="right" w:leader="dot" w:pos="8306"/>
        </w:tabs>
      </w:pPr>
      <w:hyperlink w:anchor="_Toc28452" w:history="1">
        <w:r>
          <w:rPr>
            <w:rFonts w:ascii="仿宋" w:eastAsia="仿宋" w:hAnsi="仿宋" w:cs="仿宋" w:hint="eastAsia"/>
            <w:lang w:eastAsia="zh-CN"/>
          </w:rPr>
          <w:t>(二)、工艺技术方案选用原则</w:t>
        </w:r>
        <w:r>
          <w:tab/>
        </w:r>
        <w:r>
          <w:fldChar w:fldCharType="begin"/>
        </w:r>
        <w:r>
          <w:instrText xml:space="preserve"> PAGEREF _Toc28452 \h </w:instrText>
        </w:r>
        <w:r>
          <w:fldChar w:fldCharType="separate"/>
        </w:r>
        <w:r>
          <w:t>26</w:t>
        </w:r>
        <w:r>
          <w:fldChar w:fldCharType="end"/>
        </w:r>
      </w:hyperlink>
    </w:p>
    <w:p>
      <w:pPr>
        <w:pStyle w:val="TOC2"/>
        <w:tabs>
          <w:tab w:val="right" w:leader="dot" w:pos="8306"/>
        </w:tabs>
      </w:pPr>
      <w:hyperlink w:anchor="_Toc19966" w:history="1">
        <w:r>
          <w:rPr>
            <w:rFonts w:ascii="仿宋" w:eastAsia="仿宋" w:hAnsi="仿宋" w:cs="仿宋" w:hint="eastAsia"/>
            <w:lang w:eastAsia="zh-CN"/>
          </w:rPr>
          <w:t>(三)、工艺技术方案要求</w:t>
        </w:r>
        <w:r>
          <w:tab/>
        </w:r>
        <w:r>
          <w:fldChar w:fldCharType="begin"/>
        </w:r>
        <w:r>
          <w:instrText xml:space="preserve"> PAGEREF _Toc19966 \h </w:instrText>
        </w:r>
        <w:r>
          <w:fldChar w:fldCharType="separate"/>
        </w:r>
        <w:r>
          <w:t>28</w:t>
        </w:r>
        <w:r>
          <w:fldChar w:fldCharType="end"/>
        </w:r>
      </w:hyperlink>
    </w:p>
    <w:p>
      <w:pPr>
        <w:pStyle w:val="TOC1"/>
        <w:tabs>
          <w:tab w:val="right" w:leader="dot" w:pos="8306"/>
        </w:tabs>
      </w:pPr>
      <w:hyperlink w:anchor="_Toc30726" w:history="1">
        <w:r>
          <w:rPr>
            <w:rFonts w:ascii="仿宋" w:eastAsia="仿宋" w:hAnsi="仿宋" w:cs="仿宋" w:hint="eastAsia"/>
            <w:lang w:eastAsia="zh-CN"/>
          </w:rPr>
          <w:t>九、离子交换树脂项目社会影响</w:t>
        </w:r>
        <w:r>
          <w:tab/>
        </w:r>
        <w:r>
          <w:fldChar w:fldCharType="begin"/>
        </w:r>
        <w:r>
          <w:instrText xml:space="preserve"> PAGEREF _Toc30726 \h </w:instrText>
        </w:r>
        <w:r>
          <w:fldChar w:fldCharType="separate"/>
        </w:r>
        <w:r>
          <w:t>30</w:t>
        </w:r>
        <w:r>
          <w:fldChar w:fldCharType="end"/>
        </w:r>
      </w:hyperlink>
    </w:p>
    <w:p>
      <w:pPr>
        <w:pStyle w:val="TOC2"/>
        <w:tabs>
          <w:tab w:val="right" w:leader="dot" w:pos="8306"/>
        </w:tabs>
      </w:pPr>
      <w:hyperlink w:anchor="_Toc31641" w:history="1">
        <w:r>
          <w:rPr>
            <w:rFonts w:ascii="仿宋" w:eastAsia="仿宋" w:hAnsi="仿宋" w:cs="仿宋" w:hint="eastAsia"/>
            <w:lang w:eastAsia="zh-CN"/>
          </w:rPr>
          <w:t>(一)、社会责任与义务</w:t>
        </w:r>
        <w:r>
          <w:tab/>
        </w:r>
        <w:r>
          <w:fldChar w:fldCharType="begin"/>
        </w:r>
        <w:r>
          <w:instrText xml:space="preserve"> PAGEREF _Toc31641 \h </w:instrText>
        </w:r>
        <w:r>
          <w:fldChar w:fldCharType="separate"/>
        </w:r>
        <w:r>
          <w:t>30</w:t>
        </w:r>
        <w:r>
          <w:fldChar w:fldCharType="end"/>
        </w:r>
      </w:hyperlink>
    </w:p>
    <w:p>
      <w:pPr>
        <w:pStyle w:val="TOC2"/>
        <w:tabs>
          <w:tab w:val="right" w:leader="dot" w:pos="8306"/>
        </w:tabs>
      </w:pPr>
      <w:hyperlink w:anchor="_Toc11147" w:history="1">
        <w:r>
          <w:rPr>
            <w:rFonts w:ascii="仿宋" w:eastAsia="仿宋" w:hAnsi="仿宋" w:cs="仿宋" w:hint="eastAsia"/>
            <w:lang w:eastAsia="zh-CN"/>
          </w:rPr>
          <w:t>(二)、社会参与与沟通</w:t>
        </w:r>
        <w:r>
          <w:tab/>
        </w:r>
        <w:r>
          <w:fldChar w:fldCharType="begin"/>
        </w:r>
        <w:r>
          <w:instrText xml:space="preserve"> PAGEREF _Toc11147 \h </w:instrText>
        </w:r>
        <w:r>
          <w:fldChar w:fldCharType="separate"/>
        </w:r>
        <w:r>
          <w:t>31</w:t>
        </w:r>
        <w:r>
          <w:fldChar w:fldCharType="end"/>
        </w:r>
      </w:hyperlink>
    </w:p>
    <w:p>
      <w:pPr>
        <w:pStyle w:val="TOC1"/>
        <w:tabs>
          <w:tab w:val="right" w:leader="dot" w:pos="8306"/>
        </w:tabs>
      </w:pPr>
      <w:hyperlink w:anchor="_Toc27812" w:history="1">
        <w:r>
          <w:rPr>
            <w:rFonts w:ascii="仿宋" w:eastAsia="仿宋" w:hAnsi="仿宋" w:cs="仿宋" w:hint="eastAsia"/>
            <w:lang w:eastAsia="zh-CN"/>
          </w:rPr>
          <w:t>十、离子交换树脂项目财务管理</w:t>
        </w:r>
        <w:r>
          <w:tab/>
        </w:r>
        <w:r>
          <w:fldChar w:fldCharType="begin"/>
        </w:r>
        <w:r>
          <w:instrText xml:space="preserve"> PAGEREF _Toc27812 \h </w:instrText>
        </w:r>
        <w:r>
          <w:fldChar w:fldCharType="separate"/>
        </w:r>
        <w:r>
          <w:t>32</w:t>
        </w:r>
        <w:r>
          <w:fldChar w:fldCharType="end"/>
        </w:r>
      </w:hyperlink>
    </w:p>
    <w:p>
      <w:pPr>
        <w:pStyle w:val="TOC2"/>
        <w:tabs>
          <w:tab w:val="right" w:leader="dot" w:pos="8306"/>
        </w:tabs>
      </w:pPr>
      <w:hyperlink w:anchor="_Toc29631" w:history="1">
        <w:r>
          <w:rPr>
            <w:rFonts w:ascii="仿宋" w:eastAsia="仿宋" w:hAnsi="仿宋" w:cs="仿宋" w:hint="eastAsia"/>
            <w:lang w:eastAsia="zh-CN"/>
          </w:rPr>
          <w:t>(一)、资金需求大</w:t>
        </w:r>
        <w:r>
          <w:tab/>
        </w:r>
        <w:r>
          <w:fldChar w:fldCharType="begin"/>
        </w:r>
        <w:r>
          <w:instrText xml:space="preserve"> PAGEREF _Toc29631 \h </w:instrText>
        </w:r>
        <w:r>
          <w:fldChar w:fldCharType="separate"/>
        </w:r>
        <w:r>
          <w:t>32</w:t>
        </w:r>
        <w:r>
          <w:fldChar w:fldCharType="end"/>
        </w:r>
      </w:hyperlink>
    </w:p>
    <w:p>
      <w:pPr>
        <w:pStyle w:val="TOC2"/>
        <w:tabs>
          <w:tab w:val="right" w:leader="dot" w:pos="8306"/>
        </w:tabs>
      </w:pPr>
      <w:hyperlink w:anchor="_Toc1959" w:history="1">
        <w:r>
          <w:rPr>
            <w:rFonts w:ascii="仿宋" w:eastAsia="仿宋" w:hAnsi="仿宋" w:cs="仿宋" w:hint="eastAsia"/>
            <w:lang w:eastAsia="zh-CN"/>
          </w:rPr>
          <w:t>(二)、研发周期长</w:t>
        </w:r>
        <w:r>
          <w:tab/>
        </w:r>
        <w:r>
          <w:fldChar w:fldCharType="begin"/>
        </w:r>
        <w:r>
          <w:instrText xml:space="preserve"> PAGEREF _Toc1959 \h </w:instrText>
        </w:r>
        <w:r>
          <w:fldChar w:fldCharType="separate"/>
        </w:r>
        <w:r>
          <w:t>33</w:t>
        </w:r>
        <w:r>
          <w:fldChar w:fldCharType="end"/>
        </w:r>
      </w:hyperlink>
    </w:p>
    <w:p>
      <w:pPr>
        <w:pStyle w:val="TOC2"/>
        <w:tabs>
          <w:tab w:val="right" w:leader="dot" w:pos="8306"/>
        </w:tabs>
      </w:pPr>
      <w:hyperlink w:anchor="_Toc30450" w:history="1">
        <w:r>
          <w:rPr>
            <w:rFonts w:ascii="仿宋" w:eastAsia="仿宋" w:hAnsi="仿宋" w:cs="仿宋" w:hint="eastAsia"/>
            <w:lang w:eastAsia="zh-CN"/>
          </w:rPr>
          <w:t>(三)、市场风险大</w:t>
        </w:r>
        <w:r>
          <w:tab/>
        </w:r>
        <w:r>
          <w:fldChar w:fldCharType="begin"/>
        </w:r>
        <w:r>
          <w:instrText xml:space="preserve"> PAGEREF _Toc30450 \h </w:instrText>
        </w:r>
        <w:r>
          <w:fldChar w:fldCharType="separate"/>
        </w:r>
        <w:r>
          <w:t>34</w:t>
        </w:r>
        <w:r>
          <w:fldChar w:fldCharType="end"/>
        </w:r>
      </w:hyperlink>
    </w:p>
    <w:p>
      <w:pPr>
        <w:pStyle w:val="TOC2"/>
        <w:tabs>
          <w:tab w:val="right" w:leader="dot" w:pos="8306"/>
        </w:tabs>
      </w:pPr>
      <w:hyperlink w:anchor="_Toc29692" w:history="1">
        <w:r>
          <w:rPr>
            <w:rFonts w:ascii="仿宋" w:eastAsia="仿宋" w:hAnsi="仿宋" w:cs="仿宋" w:hint="eastAsia"/>
            <w:lang w:eastAsia="zh-CN"/>
          </w:rPr>
          <w:t>(四)、利润率高</w:t>
        </w:r>
        <w:r>
          <w:tab/>
        </w:r>
        <w:r>
          <w:fldChar w:fldCharType="begin"/>
        </w:r>
        <w:r>
          <w:instrText xml:space="preserve"> PAGEREF _Toc29692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00" w:history="1">
        <w:r>
          <w:rPr>
            <w:rFonts w:ascii="仿宋" w:eastAsia="仿宋" w:hAnsi="仿宋" w:cs="仿宋" w:hint="eastAsia"/>
            <w:lang w:eastAsia="zh-CN"/>
          </w:rPr>
          <w:t>十一、离子交换树脂项目风险管理</w:t>
        </w:r>
        <w:r>
          <w:tab/>
        </w:r>
        <w:r>
          <w:fldChar w:fldCharType="begin"/>
        </w:r>
        <w:r>
          <w:instrText xml:space="preserve"> PAGEREF _Toc30800 \h </w:instrText>
        </w:r>
        <w:r>
          <w:fldChar w:fldCharType="separate"/>
        </w:r>
        <w:r>
          <w:t>39</w:t>
        </w:r>
        <w:r>
          <w:fldChar w:fldCharType="end"/>
        </w:r>
      </w:hyperlink>
    </w:p>
    <w:p>
      <w:pPr>
        <w:pStyle w:val="TOC2"/>
        <w:tabs>
          <w:tab w:val="right" w:leader="dot" w:pos="8306"/>
        </w:tabs>
      </w:pPr>
      <w:hyperlink w:anchor="_Toc9320" w:history="1">
        <w:r>
          <w:rPr>
            <w:rFonts w:ascii="仿宋" w:eastAsia="仿宋" w:hAnsi="仿宋" w:cs="仿宋" w:hint="eastAsia"/>
            <w:lang w:eastAsia="zh-CN"/>
          </w:rPr>
          <w:t>(一)、风险识别与评估</w:t>
        </w:r>
        <w:r>
          <w:tab/>
        </w:r>
        <w:r>
          <w:fldChar w:fldCharType="begin"/>
        </w:r>
        <w:r>
          <w:instrText xml:space="preserve"> PAGEREF _Toc9320 \h </w:instrText>
        </w:r>
        <w:r>
          <w:fldChar w:fldCharType="separate"/>
        </w:r>
        <w:r>
          <w:t>39</w:t>
        </w:r>
        <w:r>
          <w:fldChar w:fldCharType="end"/>
        </w:r>
      </w:hyperlink>
    </w:p>
    <w:p>
      <w:pPr>
        <w:pStyle w:val="TOC2"/>
        <w:tabs>
          <w:tab w:val="right" w:leader="dot" w:pos="8306"/>
        </w:tabs>
      </w:pPr>
      <w:hyperlink w:anchor="_Toc12950" w:history="1">
        <w:r>
          <w:rPr>
            <w:rFonts w:ascii="仿宋" w:eastAsia="仿宋" w:hAnsi="仿宋" w:cs="仿宋" w:hint="eastAsia"/>
            <w:lang w:eastAsia="zh-CN"/>
          </w:rPr>
          <w:t>(二)、风险应对策略</w:t>
        </w:r>
        <w:r>
          <w:tab/>
        </w:r>
        <w:r>
          <w:fldChar w:fldCharType="begin"/>
        </w:r>
        <w:r>
          <w:instrText xml:space="preserve"> PAGEREF _Toc12950 \h </w:instrText>
        </w:r>
        <w:r>
          <w:fldChar w:fldCharType="separate"/>
        </w:r>
        <w:r>
          <w:t>40</w:t>
        </w:r>
        <w:r>
          <w:fldChar w:fldCharType="end"/>
        </w:r>
      </w:hyperlink>
    </w:p>
    <w:p>
      <w:pPr>
        <w:pStyle w:val="TOC2"/>
        <w:tabs>
          <w:tab w:val="right" w:leader="dot" w:pos="8306"/>
        </w:tabs>
      </w:pPr>
      <w:hyperlink w:anchor="_Toc22430" w:history="1">
        <w:r>
          <w:rPr>
            <w:rFonts w:ascii="仿宋" w:eastAsia="仿宋" w:hAnsi="仿宋" w:cs="仿宋" w:hint="eastAsia"/>
            <w:lang w:eastAsia="zh-CN"/>
          </w:rPr>
          <w:t>(三)、风险监控与控制</w:t>
        </w:r>
        <w:r>
          <w:tab/>
        </w:r>
        <w:r>
          <w:fldChar w:fldCharType="begin"/>
        </w:r>
        <w:r>
          <w:instrText xml:space="preserve"> PAGEREF _Toc22430 \h </w:instrText>
        </w:r>
        <w:r>
          <w:fldChar w:fldCharType="separate"/>
        </w:r>
        <w:r>
          <w:t>42</w:t>
        </w:r>
        <w:r>
          <w:fldChar w:fldCharType="end"/>
        </w:r>
      </w:hyperlink>
    </w:p>
    <w:p>
      <w:pPr>
        <w:pStyle w:val="TOC1"/>
        <w:tabs>
          <w:tab w:val="right" w:leader="dot" w:pos="8306"/>
        </w:tabs>
      </w:pPr>
      <w:hyperlink w:anchor="_Toc9475" w:history="1">
        <w:r>
          <w:rPr>
            <w:rFonts w:ascii="仿宋" w:eastAsia="仿宋" w:hAnsi="仿宋" w:cs="仿宋" w:hint="eastAsia"/>
            <w:lang w:eastAsia="zh-CN"/>
          </w:rPr>
          <w:t>十二、离子交换树脂项目创新与研发</w:t>
        </w:r>
        <w:r>
          <w:tab/>
        </w:r>
        <w:r>
          <w:fldChar w:fldCharType="begin"/>
        </w:r>
        <w:r>
          <w:instrText xml:space="preserve"> PAGEREF _Toc9475 \h </w:instrText>
        </w:r>
        <w:r>
          <w:fldChar w:fldCharType="separate"/>
        </w:r>
        <w:r>
          <w:t>43</w:t>
        </w:r>
        <w:r>
          <w:fldChar w:fldCharType="end"/>
        </w:r>
      </w:hyperlink>
    </w:p>
    <w:p>
      <w:pPr>
        <w:pStyle w:val="TOC2"/>
        <w:tabs>
          <w:tab w:val="right" w:leader="dot" w:pos="8306"/>
        </w:tabs>
      </w:pPr>
      <w:hyperlink w:anchor="_Toc17869" w:history="1">
        <w:r>
          <w:rPr>
            <w:rFonts w:ascii="仿宋" w:eastAsia="仿宋" w:hAnsi="仿宋" w:cs="仿宋" w:hint="eastAsia"/>
            <w:lang w:eastAsia="zh-CN"/>
          </w:rPr>
          <w:t>(一)、创新策略与方向</w:t>
        </w:r>
        <w:r>
          <w:tab/>
        </w:r>
        <w:r>
          <w:fldChar w:fldCharType="begin"/>
        </w:r>
        <w:r>
          <w:instrText xml:space="preserve"> PAGEREF _Toc17869 \h </w:instrText>
        </w:r>
        <w:r>
          <w:fldChar w:fldCharType="separate"/>
        </w:r>
        <w:r>
          <w:t>43</w:t>
        </w:r>
        <w:r>
          <w:fldChar w:fldCharType="end"/>
        </w:r>
      </w:hyperlink>
    </w:p>
    <w:p>
      <w:pPr>
        <w:pStyle w:val="TOC2"/>
        <w:tabs>
          <w:tab w:val="right" w:leader="dot" w:pos="8306"/>
        </w:tabs>
      </w:pPr>
      <w:hyperlink w:anchor="_Toc19763" w:history="1">
        <w:r>
          <w:rPr>
            <w:rFonts w:ascii="仿宋" w:eastAsia="仿宋" w:hAnsi="仿宋" w:cs="仿宋" w:hint="eastAsia"/>
            <w:lang w:eastAsia="zh-CN"/>
          </w:rPr>
          <w:t>(二)、研发规划与投入</w:t>
        </w:r>
        <w:r>
          <w:tab/>
        </w:r>
        <w:r>
          <w:fldChar w:fldCharType="begin"/>
        </w:r>
        <w:r>
          <w:instrText xml:space="preserve"> PAGEREF _Toc19763 \h </w:instrText>
        </w:r>
        <w:r>
          <w:fldChar w:fldCharType="separate"/>
        </w:r>
        <w:r>
          <w:t>45</w:t>
        </w:r>
        <w:r>
          <w:fldChar w:fldCharType="end"/>
        </w:r>
      </w:hyperlink>
    </w:p>
    <w:p>
      <w:pPr>
        <w:pStyle w:val="TOC1"/>
        <w:tabs>
          <w:tab w:val="right" w:leader="dot" w:pos="8306"/>
        </w:tabs>
      </w:pPr>
      <w:hyperlink w:anchor="_Toc11173" w:history="1">
        <w:r>
          <w:rPr>
            <w:rFonts w:ascii="仿宋" w:eastAsia="仿宋" w:hAnsi="仿宋" w:cs="仿宋" w:hint="eastAsia"/>
            <w:lang w:eastAsia="zh-CN"/>
          </w:rPr>
          <w:t>十三、营销与推广策略</w:t>
        </w:r>
        <w:r>
          <w:tab/>
        </w:r>
        <w:r>
          <w:fldChar w:fldCharType="begin"/>
        </w:r>
        <w:r>
          <w:instrText xml:space="preserve"> PAGEREF _Toc11173 \h </w:instrText>
        </w:r>
        <w:r>
          <w:fldChar w:fldCharType="separate"/>
        </w:r>
        <w:r>
          <w:t>46</w:t>
        </w:r>
        <w:r>
          <w:fldChar w:fldCharType="end"/>
        </w:r>
      </w:hyperlink>
    </w:p>
    <w:p>
      <w:pPr>
        <w:pStyle w:val="TOC2"/>
        <w:tabs>
          <w:tab w:val="right" w:leader="dot" w:pos="8306"/>
        </w:tabs>
      </w:pPr>
      <w:hyperlink w:anchor="_Toc23697" w:history="1">
        <w:r>
          <w:rPr>
            <w:rFonts w:ascii="仿宋" w:eastAsia="仿宋" w:hAnsi="仿宋" w:cs="仿宋" w:hint="eastAsia"/>
            <w:lang w:eastAsia="zh-CN"/>
          </w:rPr>
          <w:t>(一)、产品/服务定位与特点</w:t>
        </w:r>
        <w:r>
          <w:tab/>
        </w:r>
        <w:r>
          <w:fldChar w:fldCharType="begin"/>
        </w:r>
        <w:r>
          <w:instrText xml:space="preserve"> PAGEREF _Toc23697 \h </w:instrText>
        </w:r>
        <w:r>
          <w:fldChar w:fldCharType="separate"/>
        </w:r>
        <w:r>
          <w:t>46</w:t>
        </w:r>
        <w:r>
          <w:fldChar w:fldCharType="end"/>
        </w:r>
      </w:hyperlink>
    </w:p>
    <w:p>
      <w:pPr>
        <w:pStyle w:val="TOC2"/>
        <w:tabs>
          <w:tab w:val="right" w:leader="dot" w:pos="8306"/>
        </w:tabs>
      </w:pPr>
      <w:hyperlink w:anchor="_Toc9846" w:history="1">
        <w:r>
          <w:rPr>
            <w:rFonts w:ascii="仿宋" w:eastAsia="仿宋" w:hAnsi="仿宋" w:cs="仿宋" w:hint="eastAsia"/>
            <w:lang w:eastAsia="zh-CN"/>
          </w:rPr>
          <w:t>(二)、市场定位与竞争分析</w:t>
        </w:r>
        <w:r>
          <w:tab/>
        </w:r>
        <w:r>
          <w:fldChar w:fldCharType="begin"/>
        </w:r>
        <w:r>
          <w:instrText xml:space="preserve"> PAGEREF _Toc9846 \h </w:instrText>
        </w:r>
        <w:r>
          <w:fldChar w:fldCharType="separate"/>
        </w:r>
        <w:r>
          <w:t>48</w:t>
        </w:r>
        <w:r>
          <w:fldChar w:fldCharType="end"/>
        </w:r>
      </w:hyperlink>
    </w:p>
    <w:p>
      <w:pPr>
        <w:pStyle w:val="TOC2"/>
        <w:tabs>
          <w:tab w:val="right" w:leader="dot" w:pos="8306"/>
        </w:tabs>
      </w:pPr>
      <w:hyperlink w:anchor="_Toc11895" w:history="1">
        <w:r>
          <w:rPr>
            <w:rFonts w:ascii="仿宋" w:eastAsia="仿宋" w:hAnsi="仿宋" w:cs="仿宋" w:hint="eastAsia"/>
            <w:lang w:eastAsia="zh-CN"/>
          </w:rPr>
          <w:t>(三)、营销渠道与策略</w:t>
        </w:r>
        <w:r>
          <w:tab/>
        </w:r>
        <w:r>
          <w:fldChar w:fldCharType="begin"/>
        </w:r>
        <w:r>
          <w:instrText xml:space="preserve"> PAGEREF _Toc11895 \h </w:instrText>
        </w:r>
        <w:r>
          <w:fldChar w:fldCharType="separate"/>
        </w:r>
        <w:r>
          <w:t>49</w:t>
        </w:r>
        <w:r>
          <w:fldChar w:fldCharType="end"/>
        </w:r>
      </w:hyperlink>
    </w:p>
    <w:p>
      <w:pPr>
        <w:pStyle w:val="TOC2"/>
        <w:tabs>
          <w:tab w:val="right" w:leader="dot" w:pos="8306"/>
        </w:tabs>
      </w:pPr>
      <w:hyperlink w:anchor="_Toc12887" w:history="1">
        <w:r>
          <w:rPr>
            <w:rFonts w:ascii="仿宋" w:eastAsia="仿宋" w:hAnsi="仿宋" w:cs="仿宋" w:hint="eastAsia"/>
            <w:lang w:eastAsia="zh-CN"/>
          </w:rPr>
          <w:t>(四)、推广与宣传活动</w:t>
        </w:r>
        <w:r>
          <w:tab/>
        </w:r>
        <w:r>
          <w:fldChar w:fldCharType="begin"/>
        </w:r>
        <w:r>
          <w:instrText xml:space="preserve"> PAGEREF _Toc12887 \h </w:instrText>
        </w:r>
        <w:r>
          <w:fldChar w:fldCharType="separate"/>
        </w:r>
        <w:r>
          <w:t>50</w:t>
        </w:r>
        <w:r>
          <w:fldChar w:fldCharType="end"/>
        </w:r>
      </w:hyperlink>
    </w:p>
    <w:p>
      <w:pPr>
        <w:pStyle w:val="TOC1"/>
        <w:tabs>
          <w:tab w:val="right" w:leader="dot" w:pos="8306"/>
        </w:tabs>
      </w:pPr>
      <w:hyperlink w:anchor="_Toc11323" w:history="1">
        <w:r>
          <w:rPr>
            <w:rFonts w:ascii="仿宋" w:eastAsia="仿宋" w:hAnsi="仿宋" w:cs="仿宋" w:hint="eastAsia"/>
            <w:lang w:eastAsia="zh-CN"/>
          </w:rPr>
          <w:t>十四、供应链管理</w:t>
        </w:r>
        <w:r>
          <w:tab/>
        </w:r>
        <w:r>
          <w:fldChar w:fldCharType="begin"/>
        </w:r>
        <w:r>
          <w:instrText xml:space="preserve"> PAGEREF _Toc11323 \h </w:instrText>
        </w:r>
        <w:r>
          <w:fldChar w:fldCharType="separate"/>
        </w:r>
        <w:r>
          <w:t>55</w:t>
        </w:r>
        <w:r>
          <w:fldChar w:fldCharType="end"/>
        </w:r>
      </w:hyperlink>
    </w:p>
    <w:p>
      <w:pPr>
        <w:pStyle w:val="TOC2"/>
        <w:tabs>
          <w:tab w:val="right" w:leader="dot" w:pos="8306"/>
        </w:tabs>
      </w:pPr>
      <w:hyperlink w:anchor="_Toc25207" w:history="1">
        <w:r>
          <w:rPr>
            <w:rFonts w:ascii="仿宋" w:eastAsia="仿宋" w:hAnsi="仿宋" w:cs="仿宋" w:hint="eastAsia"/>
            <w:lang w:eastAsia="zh-CN"/>
          </w:rPr>
          <w:t>(一)、供应链战略规划</w:t>
        </w:r>
        <w:r>
          <w:tab/>
        </w:r>
        <w:r>
          <w:fldChar w:fldCharType="begin"/>
        </w:r>
        <w:r>
          <w:instrText xml:space="preserve"> PAGEREF _Toc25207 \h </w:instrText>
        </w:r>
        <w:r>
          <w:fldChar w:fldCharType="separate"/>
        </w:r>
        <w:r>
          <w:t>55</w:t>
        </w:r>
        <w:r>
          <w:fldChar w:fldCharType="end"/>
        </w:r>
      </w:hyperlink>
    </w:p>
    <w:p>
      <w:pPr>
        <w:pStyle w:val="TOC2"/>
        <w:tabs>
          <w:tab w:val="right" w:leader="dot" w:pos="8306"/>
        </w:tabs>
      </w:pPr>
      <w:hyperlink w:anchor="_Toc30391" w:history="1">
        <w:r>
          <w:rPr>
            <w:rFonts w:ascii="仿宋" w:eastAsia="仿宋" w:hAnsi="仿宋" w:cs="仿宋" w:hint="eastAsia"/>
            <w:lang w:eastAsia="zh-CN"/>
          </w:rPr>
          <w:t>(二)、供应商选择与合作</w:t>
        </w:r>
        <w:r>
          <w:tab/>
        </w:r>
        <w:r>
          <w:fldChar w:fldCharType="begin"/>
        </w:r>
        <w:r>
          <w:instrText xml:space="preserve"> PAGEREF _Toc30391 \h </w:instrText>
        </w:r>
        <w:r>
          <w:fldChar w:fldCharType="separate"/>
        </w:r>
        <w:r>
          <w:t>57</w:t>
        </w:r>
        <w:r>
          <w:fldChar w:fldCharType="end"/>
        </w:r>
      </w:hyperlink>
    </w:p>
    <w:p>
      <w:pPr>
        <w:pStyle w:val="TOC2"/>
        <w:tabs>
          <w:tab w:val="right" w:leader="dot" w:pos="8306"/>
        </w:tabs>
      </w:pPr>
      <w:hyperlink w:anchor="_Toc27912" w:history="1">
        <w:r>
          <w:rPr>
            <w:rFonts w:ascii="仿宋" w:eastAsia="仿宋" w:hAnsi="仿宋" w:cs="仿宋" w:hint="eastAsia"/>
            <w:lang w:eastAsia="zh-CN"/>
          </w:rPr>
          <w:t>(三)、物流与库存管理</w:t>
        </w:r>
        <w:r>
          <w:tab/>
        </w:r>
        <w:r>
          <w:fldChar w:fldCharType="begin"/>
        </w:r>
        <w:r>
          <w:instrText xml:space="preserve"> PAGEREF _Toc27912 \h </w:instrText>
        </w:r>
        <w:r>
          <w:fldChar w:fldCharType="separate"/>
        </w:r>
        <w:r>
          <w:t>58</w:t>
        </w:r>
        <w:r>
          <w:fldChar w:fldCharType="end"/>
        </w:r>
      </w:hyperlink>
    </w:p>
    <w:p>
      <w:pPr>
        <w:pStyle w:val="TOC1"/>
        <w:tabs>
          <w:tab w:val="right" w:leader="dot" w:pos="8306"/>
        </w:tabs>
      </w:pPr>
      <w:hyperlink w:anchor="_Toc10518" w:history="1">
        <w:r>
          <w:rPr>
            <w:rFonts w:ascii="仿宋" w:eastAsia="仿宋" w:hAnsi="仿宋" w:cs="仿宋" w:hint="eastAsia"/>
            <w:lang w:eastAsia="zh-CN"/>
          </w:rPr>
          <w:t>十五、利益相关者分析与沟通计划</w:t>
        </w:r>
        <w:r>
          <w:tab/>
        </w:r>
        <w:r>
          <w:fldChar w:fldCharType="begin"/>
        </w:r>
        <w:r>
          <w:instrText xml:space="preserve"> PAGEREF _Toc10518 \h </w:instrText>
        </w:r>
        <w:r>
          <w:fldChar w:fldCharType="separate"/>
        </w:r>
        <w:r>
          <w:t>60</w:t>
        </w:r>
        <w:r>
          <w:fldChar w:fldCharType="end"/>
        </w:r>
      </w:hyperlink>
    </w:p>
    <w:p>
      <w:pPr>
        <w:pStyle w:val="TOC2"/>
        <w:tabs>
          <w:tab w:val="right" w:leader="dot" w:pos="8306"/>
        </w:tabs>
      </w:pPr>
      <w:hyperlink w:anchor="_Toc12125" w:history="1">
        <w:r>
          <w:rPr>
            <w:rFonts w:ascii="仿宋" w:eastAsia="仿宋" w:hAnsi="仿宋" w:cs="仿宋" w:hint="eastAsia"/>
            <w:lang w:eastAsia="zh-CN"/>
          </w:rPr>
          <w:t>(一)、利益相关者分析</w:t>
        </w:r>
        <w:r>
          <w:tab/>
        </w:r>
        <w:r>
          <w:fldChar w:fldCharType="begin"/>
        </w:r>
        <w:r>
          <w:instrText xml:space="preserve"> PAGEREF _Toc12125 \h </w:instrText>
        </w:r>
        <w:r>
          <w:fldChar w:fldCharType="separate"/>
        </w:r>
        <w:r>
          <w:t>60</w:t>
        </w:r>
        <w:r>
          <w:fldChar w:fldCharType="end"/>
        </w:r>
      </w:hyperlink>
    </w:p>
    <w:p>
      <w:pPr>
        <w:pStyle w:val="TOC2"/>
        <w:tabs>
          <w:tab w:val="right" w:leader="dot" w:pos="8306"/>
        </w:tabs>
      </w:pPr>
      <w:hyperlink w:anchor="_Toc26338" w:history="1">
        <w:r>
          <w:rPr>
            <w:rFonts w:ascii="仿宋" w:eastAsia="仿宋" w:hAnsi="仿宋" w:cs="仿宋" w:hint="eastAsia"/>
            <w:lang w:eastAsia="zh-CN"/>
          </w:rPr>
          <w:t>(二)、沟通计划</w:t>
        </w:r>
        <w:r>
          <w:tab/>
        </w:r>
        <w:r>
          <w:fldChar w:fldCharType="begin"/>
        </w:r>
        <w:r>
          <w:instrText xml:space="preserve"> PAGEREF _Toc26338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34"/>
      <w:r>
        <w:rPr>
          <w:rFonts w:ascii="仿宋" w:eastAsia="仿宋" w:hAnsi="仿宋" w:cs="仿宋" w:hint="eastAsia"/>
          <w:sz w:val="28"/>
          <w:lang w:eastAsia="zh-CN"/>
        </w:rPr>
        <w:t>一、离子交换树脂项目建设背景及必要性分析</w:t>
      </w:r>
      <w:bookmarkEnd w:id="2"/>
    </w:p>
    <w:p>
      <w:pPr>
        <w:pStyle w:val="Heading2"/>
        <w:rPr>
          <w:rFonts w:ascii="仿宋" w:eastAsia="仿宋" w:hAnsi="仿宋" w:cs="仿宋" w:hint="eastAsia"/>
          <w:lang w:eastAsia="zh-CN"/>
        </w:rPr>
      </w:pPr>
      <w:bookmarkStart w:id="3" w:name="_Toc7079"/>
      <w:r>
        <w:rPr>
          <w:rFonts w:ascii="仿宋" w:eastAsia="仿宋" w:hAnsi="仿宋" w:cs="仿宋" w:hint="eastAsia"/>
          <w:lang w:eastAsia="zh-CN"/>
        </w:rPr>
        <w:t>(一)、离子交换树脂项目背景分析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离子交换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离子交换树脂项目在这个潮流中的定位。同时，我们将关注行业内涌现的新兴机遇，以便离子交换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离子交换树脂项目提供了强大的发展动力。我们将聚焦于行业内最新的技术发展趋势，包括但不限于人工智能、大数据分析、物联网等领域。通过深度的技术研究，我们将确保离子交换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离子交换树脂项目发展的源泉。我们将投入更多的精力对市场需求进行深入剖析，超越表面的需求，深入挖掘潜在的市场痛点和机遇。通过对市场需求的细致了解，离子交换树脂项目将更有针对性地设计解决方案，满足市场的多样化需求，从而更好地促进离子交换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离子交换树脂项目战略至关重要。我们将对竞争态势进行更为深入的分析，包括但不限于市场份额、产品特点、客户满意度等多个维度。通过深度的竞争分析，离子交换树脂项目将能够更准确地把握市场脉搏，制定具有竞争力的离子交换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离子交换树脂项目的发展具有直接的影响。我们将进行更为全面的法规和政策分析，了解行业发展中的潜在法律风险和合规挑战。通过充分了解和遵守相关法规，离子交换树脂项目将确保在法律框架内合法合规运营，为离子交换树脂项目的稳健发展提供有力支持。</w:t>
      </w:r>
    </w:p>
    <w:p>
      <w:pPr>
        <w:pStyle w:val="Heading2"/>
        <w:ind w:firstLine="560" w:firstLineChars="200"/>
        <w:rPr>
          <w:rFonts w:ascii="仿宋" w:eastAsia="仿宋" w:hAnsi="仿宋" w:cs="仿宋" w:hint="eastAsia"/>
          <w:sz w:val="28"/>
          <w:lang w:eastAsia="zh-CN"/>
        </w:rPr>
      </w:pPr>
      <w:bookmarkStart w:id="4" w:name="_Toc29006"/>
      <w:r>
        <w:rPr>
          <w:rFonts w:ascii="仿宋" w:eastAsia="仿宋" w:hAnsi="仿宋" w:cs="仿宋" w:hint="eastAsia"/>
          <w:sz w:val="28"/>
          <w:lang w:eastAsia="zh-CN"/>
        </w:rPr>
        <w:t>(二)、离子交换树脂项目建设必要性分析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建设的迫切性源于对行业发展趋势的深刻洞察。我们正处于一个行业变革的时代，科技创新、数字化转型成为企业发展的关键动力。离子交换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建设不仅仅是为了跟上潮流，更是为了通过技术创新推动企业的持续发展。通过引入先进的技术和解决方案，离子交换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离子交换树脂项目的建设成为必然选择，通过提高产品质量、拓展服务领域，从而在竞争中获得更多的机会。离子交换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离子交换树脂项目建设的必要性体现在对客户需求更精准的满足。通过离子交换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建设的背后是对企业持续创新的追求。只有通过不断创新，企业才能在竞争中立于不败之地。离子交换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33"/>
      <w:r>
        <w:rPr>
          <w:rFonts w:ascii="仿宋" w:eastAsia="仿宋" w:hAnsi="仿宋" w:cs="仿宋" w:hint="eastAsia"/>
          <w:sz w:val="28"/>
          <w:lang w:eastAsia="zh-CN"/>
        </w:rPr>
        <w:t>二、离子交换树脂项目绩效评估</w:t>
      </w:r>
      <w:bookmarkEnd w:id="5"/>
    </w:p>
    <w:p>
      <w:pPr>
        <w:pStyle w:val="Heading2"/>
        <w:rPr>
          <w:rFonts w:ascii="仿宋" w:eastAsia="仿宋" w:hAnsi="仿宋" w:cs="仿宋" w:hint="eastAsia"/>
          <w:lang w:eastAsia="zh-CN"/>
        </w:rPr>
      </w:pPr>
      <w:bookmarkStart w:id="6" w:name="_Toc516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树脂项目中，我们设计了一套全面的绩效评估指标，以确保离子交换树脂项目的可控和成功交付。这些指标跨足离子交换树脂项目目标、成本、进度和质量等多个维度，为我们提供了全面洞察离子交换树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目标达成率是我们关注的首要指标。我们设定了明确的目标，并通过定期监测和评估，迅速发现并应对潜在的目标偏差。这为离子交换树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成本绩效是另一个核心关注点。通过实际成本与预算成本的对比分析，我们深入了解成本差异的原因，及时调整资源分配，保持离子交换树脂项目在经济效益方面的合理水平。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进度作为关键的绩效指标之一，得到了精心的关注。我们制定了详细的离子交换树脂项目进度计划，并设立了进度符合度指标，确保实际进度与计划进度保持一致。这使我们能够快速发现和解决潜在的进度问题，保持离子交换树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离子交换树脂项目绩效的不可或缺的一环。我们引入了一系列的质量标准和客户满意度指标，以确保离子交换树脂项目交付的成果在质量上达到或超越预期水平。通过持续监测这些指标，我们努力提升离子交换树脂项目整体质量水平，为离子交换树脂项目的成功交付提供有力保障。通过这些科学且全面的绩效评估，我们能够更好地引导离子交换树脂项目的持续改进，确保离子交换树脂项目目标的顺利达成。</w:t>
      </w:r>
    </w:p>
    <w:p>
      <w:pPr>
        <w:pStyle w:val="Heading2"/>
        <w:ind w:firstLine="560" w:firstLineChars="200"/>
        <w:rPr>
          <w:rFonts w:ascii="仿宋" w:eastAsia="仿宋" w:hAnsi="仿宋" w:cs="仿宋" w:hint="eastAsia"/>
          <w:sz w:val="28"/>
          <w:lang w:eastAsia="zh-CN"/>
        </w:rPr>
      </w:pPr>
      <w:bookmarkStart w:id="7" w:name="_Toc8340"/>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绩效评估是离子交换树脂项目中的关键环节，为确保离子交换树脂项目达到预期目标，我们采用了多层次、多维度的绩效评估方法。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离子交换树脂项目的战略目标对齐，确保每个决策和行动都与离子交换树脂项目整体目标保持一致。团队会定期召开战略对齐会议，审视当前工作与离子交换树脂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离子交换树脂项目进度、质量、成本和风险等方面。这些指标通过数据收集和分析，为离子交换树脂项目管理团队提供了客观的评估依据。例如，我们通过离子交换树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绩效评估不仅仅停留在离子交换树脂项目内部，还考虑了离子交换树脂项目对外部环境的影响。我们定期进行干系人满意度调查，以了解各利益相关方对离子交换树脂项目的期望和满意度，并及时做出调整。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这种多层次、多角度的绩效评估方法，使得我们能够全面了解离子交换树脂项目的运行状态，及时做出调整，确保离子交换树脂项目在不断变化的环境中保持稳健前行。</w:t>
      </w:r>
    </w:p>
    <w:p>
      <w:pPr>
        <w:pStyle w:val="Heading2"/>
        <w:ind w:firstLine="560" w:firstLineChars="200"/>
        <w:rPr>
          <w:rFonts w:ascii="仿宋" w:eastAsia="仿宋" w:hAnsi="仿宋" w:cs="仿宋" w:hint="eastAsia"/>
          <w:sz w:val="28"/>
          <w:lang w:eastAsia="zh-CN"/>
        </w:rPr>
      </w:pPr>
      <w:bookmarkStart w:id="8" w:name="_Toc1732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为了确保离子交换树脂项目的有效管理和不断优化，我们采用了精心设计的绩效评估周期。这个周期旨在实现灵活、实时和全面的评估，以适应离子交换树脂项目执行中的各种挑战。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离子交换树脂项目的不同需求，分为短期、中期和长期。短期评估关注每个迭代或工作周期，以及时发现和解决当前任务中的问题。中期评估涵盖几个迭代，深入了解整体离子交换树脂项目的趋势和性能。长期评估则着眼于整个离子交换树脂项目阶段，确保离子交换树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离子交换树脂项目管理工具和协作平台，团队成员能够随时更新和分享离子交换树脂项目数据。这种实时性的反馈机制使我们能够及时察觉潜在问题，快速调整，保持离子交换树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离子交换树脂项目的决策制定密不可分。每个周期的离子交换树脂项目回顾会议成为集体总结经验、识别问题深层次原因并找到创新解决方案的平台。这种定期的反思与调整机制使离子交换树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362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9743"/>
      <w:r>
        <w:rPr>
          <w:rFonts w:ascii="仿宋" w:eastAsia="仿宋" w:hAnsi="仿宋" w:cs="仿宋" w:hint="eastAsia"/>
          <w:lang w:eastAsia="zh-CN"/>
        </w:rPr>
        <w:t>(一)、离子交换树脂行业分析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行业一直以来都是市场的关注焦点。行业内的发展趋势、竞争态势以及潜在机会都对离子交换树脂项目的推进产生深远的影响。通过深入研究行业的整体概貌，我们将更好地理解行业的核心特征，为离子交换树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树脂行业，技术一直是推动创新和发展的关键因素。我们将对当前技术趋势进行详尽分析，包括但不限于人工智能、大数据应用、先进制造技术等。这有助于离子交换树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离子交换树脂项目成功的基础。我们将对主要竞争对手进行深入研究，包括其市场份额、产品特点、市场定位等。通过全面了解竞争对手的优势和劣势，离子交换树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0462"/>
      <w:r>
        <w:rPr>
          <w:rFonts w:ascii="仿宋" w:eastAsia="仿宋" w:hAnsi="仿宋" w:cs="仿宋" w:hint="eastAsia"/>
          <w:sz w:val="28"/>
          <w:lang w:eastAsia="zh-CN"/>
        </w:rPr>
        <w:t>(二)、离子交换树脂市场分析预测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离子交换树脂市场未来的增长趋势。这包括市场的整体规模、各细分领域的发展趋势等。离子交换树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离子交换树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离子交换树脂项目实施过程中需要充分考虑的因素。我们将对市场风险进行全面评估，包括但不限于政策法规风险、市场竞争风险、技术变革风险等。通过对潜在风险的深入分析，离子交换树脂项目可以制定相应的风险缓解策略，降低不确定性对离子交换树脂项目的影响。</w:t>
      </w:r>
    </w:p>
    <w:p>
      <w:pPr>
        <w:pStyle w:val="Heading1"/>
        <w:ind w:firstLine="560" w:firstLineChars="200"/>
        <w:rPr>
          <w:rFonts w:ascii="仿宋" w:eastAsia="仿宋" w:hAnsi="仿宋" w:cs="仿宋" w:hint="eastAsia"/>
          <w:sz w:val="28"/>
          <w:lang w:eastAsia="zh-CN"/>
        </w:rPr>
      </w:pPr>
      <w:bookmarkStart w:id="12" w:name="_Toc14494"/>
      <w:r>
        <w:rPr>
          <w:rFonts w:ascii="仿宋" w:eastAsia="仿宋" w:hAnsi="仿宋" w:cs="仿宋" w:hint="eastAsia"/>
          <w:sz w:val="28"/>
          <w:lang w:eastAsia="zh-CN"/>
        </w:rPr>
        <w:t>四、离子交换树脂项目文档管理</w:t>
      </w:r>
      <w:bookmarkEnd w:id="12"/>
    </w:p>
    <w:p>
      <w:pPr>
        <w:pStyle w:val="Heading2"/>
        <w:rPr>
          <w:rFonts w:ascii="仿宋" w:eastAsia="仿宋" w:hAnsi="仿宋" w:cs="仿宋" w:hint="eastAsia"/>
          <w:lang w:eastAsia="zh-CN"/>
        </w:rPr>
      </w:pPr>
      <w:bookmarkStart w:id="13" w:name="_Toc3115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离子交换树脂项目高度重视文档的质量和准确性，以支持离子交换树脂项目的各项活动和决策。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文档的编制始于离子交换树脂项目计划的初期，我们制定了详细的文档编制计划，明确了每个文档的内容、格式和编写责任人。在离子交换树脂项目启动阶段，我们首先编制了离子交换树脂项目章程，明确定义了离子交换树脂项目的目标、范围、风险等关键要素。随后，离子交换树脂项目团队根据计划陆续编制了需求文档、设计文档、测试文档等各类文档，确保离子交换树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离子交换树脂项目管理中的重要环节，旨在确保离子交换树脂项目文档符合质量标准和离子交换树脂项目需求。在离子交换树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离子交换树脂项目相关利益方和专业领域的专家对文档进行独立审查。这有助于获取更全面、客观的反馈，确保离子交换树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离子交换树脂项目在文档编制与审查方面建立了严格的管理机制，通过规范的流程和多维度的审查，确保离子交换树脂项目文档的质量、准确性和可靠性，为离子交换树脂项目的顺利推进提供了有力支持。</w:t>
      </w:r>
    </w:p>
    <w:p>
      <w:pPr>
        <w:pStyle w:val="Heading2"/>
        <w:ind w:firstLine="560" w:firstLineChars="200"/>
        <w:rPr>
          <w:rFonts w:ascii="仿宋" w:eastAsia="仿宋" w:hAnsi="仿宋" w:cs="仿宋" w:hint="eastAsia"/>
          <w:sz w:val="28"/>
          <w:lang w:eastAsia="zh-CN"/>
        </w:rPr>
      </w:pPr>
      <w:bookmarkStart w:id="14" w:name="_Toc14395"/>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在离子交换树脂项目中，我们致力于优化文档发布与分发过程，以确保信息的高效传递和团队间协作的顺畅进行。以下是我们采取的关键优化策略：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我们通过多渠道发布文档，包括电子邮件、离子交换树脂项目管理平台、内部网站等，以满足不同团队成员的偏好和需求。多渠道发布确保了信息的全面覆盖。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我们采用了精细的权限控制，确保只有授权人员可以访问敏感信息。这种安全措施保护了离子交换树脂项目文档的机密性，防止了未经授权的信息泄露。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399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离子交换树脂项目生命周期中一个至关重要的环节，直接关系到离子交换树脂项目信息的长期保存和历史记录的完整性。在离子交换树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2167"/>
      <w:r>
        <w:rPr>
          <w:rFonts w:ascii="仿宋" w:eastAsia="仿宋" w:hAnsi="仿宋" w:cs="仿宋" w:hint="eastAsia"/>
          <w:sz w:val="28"/>
          <w:lang w:eastAsia="zh-CN"/>
        </w:rPr>
        <w:t>五、离子交换树脂项目土建工程</w:t>
      </w:r>
      <w:bookmarkEnd w:id="16"/>
    </w:p>
    <w:p>
      <w:pPr>
        <w:pStyle w:val="Heading2"/>
        <w:rPr>
          <w:rFonts w:ascii="仿宋" w:eastAsia="仿宋" w:hAnsi="仿宋" w:cs="仿宋" w:hint="eastAsia"/>
          <w:lang w:eastAsia="zh-CN"/>
        </w:rPr>
      </w:pPr>
      <w:bookmarkStart w:id="17" w:name="_Toc18909"/>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在离子交换树脂项目的建筑工程设计中，我们将秉承一系列重要的设计原则，以确保离子交换树脂项目建筑在功能、美观、可持续性等方面达到最佳效果。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首要原则是确保建筑的功能性得到最大化的发挥。我们将充分理解离子交换树脂项目的实际需求，合理布局各个功能区域，保证建筑在满足业务需求的同时，提供高效的工作环境。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在建筑设计中，我们将综合考虑建设和运营成本。通过精细的经济效益分析，确保设计方案在高效利用资源的同时，对离子交换树脂项目的长期盈利能力有积极的贡献。</w:t>
      </w:r>
    </w:p>
    <w:p>
      <w:pPr>
        <w:pStyle w:val="Heading2"/>
        <w:ind w:firstLine="560" w:firstLineChars="200"/>
        <w:rPr>
          <w:rFonts w:ascii="仿宋" w:eastAsia="仿宋" w:hAnsi="仿宋" w:cs="仿宋" w:hint="eastAsia"/>
          <w:sz w:val="28"/>
          <w:lang w:eastAsia="zh-CN"/>
        </w:rPr>
      </w:pPr>
      <w:bookmarkStart w:id="18" w:name="_Toc18616"/>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树脂项目的土建工程设计中，我们将精准设定设计年限，结合离子交换树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https://d.book118.com/705043011243011121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离子交换树脂项目规划设计纲要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E50083"/>
    <w:rsid w:val="58E500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04301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2024-03-01T14:31:00Z</dcterms:created>
  <dcterms:modified xsi:type="dcterms:W3CDTF">2024-03-01T14:32:01Z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07168CB04883402182FCFD3FA88D7D79_11</vt:lpwstr>
  </property>
  <property fmtid="{D5CDD505-2E9C-101B-9397-08002B2CF9AE}" pid="3" name="KSOProductBuildVer">
    <vt:lpwstr>2052-12.1.0.16388</vt:lpwstr>
  </property>
</Properties>
</file>