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宋体" w:eastAsia="宋体" w:hAnsi="宋体" w:cstheme="minorBidi"/>
          <w:kern w:val="2"/>
          <w:sz w:val="21"/>
          <w:szCs w:val="22"/>
          <w:lang w:val="en-US" w:eastAsia="zh-CN" w:bidi="ar-SA"/>
        </w:rPr>
        <w:id w:val="147477247"/>
        <w:docPartObj>
          <w:docPartGallery w:val="Table of Contents"/>
          <w:docPartUnique/>
        </w:docPartObj>
        <w15:color w:val="DBDBDB"/>
      </w:sdtPr>
      <w:sdtEndPr>
        <w:rPr>
          <w:rFonts w:ascii="幼圆" w:eastAsia="幼圆" w:hAnsi="幼圆" w:cs="幼圆" w:hint="eastAsia"/>
          <w:b/>
          <w:bCs w:val="0"/>
          <w:kern w:val="44"/>
          <w:sz w:val="30"/>
          <w:szCs w:val="32"/>
          <w:lang w:val="en-US" w:eastAsia="zh-CN" w:bidi="ar-SA"/>
        </w:rPr>
      </w:sdtEndPr>
      <w:sdtContent>
        <w:p>
          <w:pPr>
            <w:spacing w:before="0" w:beforeLines="0" w:after="0" w:afterLines="0" w:line="240" w:lineRule="auto"/>
            <w:ind w:left="0" w:right="0" w:firstLine="0" w:leftChars="0" w:rightChars="0" w:firstLineChars="0"/>
            <w:jc w:val="center"/>
            <w:rPr>
              <w:rFonts w:eastAsia="幼圆" w:hint="default"/>
            </w:rPr>
          </w:pPr>
          <w:bookmarkStart w:id="0" w:name="_Hlk66953657"/>
          <w:bookmarkStart w:id="1" w:name="_GoBack"/>
          <w:r>
            <w:rPr>
              <w:rFonts w:ascii="幼圆" w:eastAsia="幼圆" w:hAnsi="幼圆" w:cs="幼圆" w:hint="eastAsia"/>
              <w:b/>
              <w:lang w:eastAsia="zh-CN"/>
            </w:rPr>
            <w:t>S</w:t>
          </w:r>
          <w:r>
            <w:rPr>
              <w:rFonts w:ascii="幼圆" w:eastAsia="幼圆" w:hAnsi="幼圆" w:cs="幼圆" w:hint="eastAsia"/>
              <w:b/>
            </w:rPr>
            <w:t>区新生代农民工职业培训</w:t>
          </w:r>
          <w:r>
            <w:rPr>
              <w:rFonts w:ascii="幼圆" w:eastAsia="幼圆" w:hAnsi="幼圆" w:cs="幼圆" w:hint="eastAsia"/>
              <w:b/>
              <w:lang w:val="en-US" w:eastAsia="zh-CN"/>
            </w:rPr>
            <w:t>意愿的影响因素调研分析报告</w:t>
          </w:r>
        </w:p>
        <w:bookmarkEnd w:id="1"/>
        <w:p>
          <w:pPr>
            <w:pStyle w:val="WPSOffice1"/>
            <w:tabs>
              <w:tab w:val="right" w:leader="dot" w:pos="9922"/>
            </w:tabs>
            <w:rPr>
              <w:b/>
            </w:rPr>
          </w:pPr>
          <w:r>
            <w:rPr>
              <w:rFonts w:ascii="幼圆" w:eastAsia="幼圆" w:hAnsi="幼圆" w:cs="幼圆" w:hint="eastAsia"/>
              <w:b/>
              <w:bCs w:val="0"/>
              <w:sz w:val="32"/>
              <w:szCs w:val="32"/>
            </w:rPr>
            <w:fldChar w:fldCharType="begin"/>
          </w:r>
          <w:r>
            <w:rPr>
              <w:rFonts w:ascii="幼圆" w:eastAsia="幼圆" w:hAnsi="幼圆" w:cs="幼圆" w:hint="eastAsia"/>
              <w:b/>
              <w:bCs w:val="0"/>
              <w:sz w:val="32"/>
              <w:szCs w:val="32"/>
            </w:rPr>
            <w:instrText xml:space="preserve">TOC \o "1-2" \h \u </w:instrText>
          </w:r>
          <w:r>
            <w:rPr>
              <w:rFonts w:ascii="幼圆" w:eastAsia="幼圆" w:hAnsi="幼圆" w:cs="幼圆" w:hint="eastAsia"/>
              <w:b/>
              <w:bCs w:val="0"/>
              <w:sz w:val="32"/>
              <w:szCs w:val="32"/>
            </w:rPr>
            <w:fldChar w:fldCharType="separate"/>
          </w:r>
          <w:r>
            <w:rPr>
              <w:rFonts w:ascii="幼圆" w:eastAsia="幼圆" w:hAnsi="幼圆" w:cs="幼圆" w:hint="eastAsia"/>
              <w:b/>
              <w:bCs w:val="0"/>
              <w:szCs w:val="32"/>
            </w:rPr>
            <w:fldChar w:fldCharType="begin"/>
          </w:r>
          <w:r>
            <w:rPr>
              <w:rFonts w:ascii="幼圆" w:eastAsia="幼圆" w:hAnsi="幼圆" w:cs="幼圆" w:hint="eastAsia"/>
              <w:b/>
              <w:bCs w:val="0"/>
              <w:szCs w:val="32"/>
            </w:rPr>
            <w:instrText xml:space="preserve"> HYPERLINK \l _Toc29374 </w:instrText>
          </w:r>
          <w:r>
            <w:rPr>
              <w:rFonts w:ascii="幼圆" w:eastAsia="幼圆" w:hAnsi="幼圆" w:cs="幼圆" w:hint="eastAsia"/>
              <w:b/>
              <w:bCs w:val="0"/>
              <w:szCs w:val="32"/>
            </w:rPr>
            <w:fldChar w:fldCharType="separate"/>
          </w:r>
          <w:r>
            <w:rPr>
              <w:rFonts w:ascii="幼圆" w:eastAsia="幼圆" w:hAnsi="幼圆" w:cs="幼圆" w:hint="eastAsia"/>
              <w:b/>
              <w:bCs w:val="0"/>
              <w:szCs w:val="32"/>
            </w:rPr>
            <w:t>摘 要</w:t>
          </w:r>
          <w:r>
            <w:rPr>
              <w:b/>
            </w:rPr>
            <w:tab/>
          </w:r>
          <w:r>
            <w:rPr>
              <w:b/>
            </w:rPr>
            <w:fldChar w:fldCharType="begin"/>
          </w:r>
          <w:r>
            <w:rPr>
              <w:b/>
            </w:rPr>
            <w:instrText xml:space="preserve"> PAGEREF _Toc29374 \h </w:instrText>
          </w:r>
          <w:r>
            <w:rPr>
              <w:b/>
            </w:rPr>
            <w:fldChar w:fldCharType="separate"/>
          </w:r>
          <w:r>
            <w:rPr>
              <w:b/>
            </w:rPr>
            <w:t>1</w:t>
          </w:r>
          <w:r>
            <w:rPr>
              <w:b/>
            </w:rPr>
            <w:fldChar w:fldCharType="end"/>
          </w:r>
          <w:r>
            <w:rPr>
              <w:rFonts w:ascii="幼圆" w:eastAsia="幼圆" w:hAnsi="幼圆" w:cs="幼圆" w:hint="eastAsia"/>
              <w:b/>
              <w:bCs w:val="0"/>
              <w:szCs w:val="32"/>
            </w:rPr>
            <w:fldChar w:fldCharType="end"/>
          </w:r>
        </w:p>
        <w:p>
          <w:pPr>
            <w:pStyle w:val="WPSOffice1"/>
            <w:tabs>
              <w:tab w:val="right" w:leader="dot" w:pos="9922"/>
            </w:tabs>
            <w:rPr>
              <w:b/>
            </w:rPr>
          </w:pPr>
          <w:hyperlink w:anchor="_Toc11601" w:history="1">
            <w:r>
              <w:rPr>
                <w:rFonts w:ascii="幼圆" w:eastAsia="幼圆" w:hAnsi="幼圆" w:cs="幼圆" w:hint="eastAsia"/>
                <w:b/>
              </w:rPr>
              <w:t>第1章 绪论</w:t>
            </w:r>
            <w:r>
              <w:rPr>
                <w:b/>
              </w:rPr>
              <w:tab/>
            </w:r>
            <w:r>
              <w:rPr>
                <w:b/>
              </w:rPr>
              <w:fldChar w:fldCharType="begin"/>
            </w:r>
            <w:r>
              <w:rPr>
                <w:b/>
              </w:rPr>
              <w:instrText xml:space="preserve"> PAGEREF _Toc11601 \h </w:instrText>
            </w:r>
            <w:r>
              <w:rPr>
                <w:b/>
              </w:rPr>
              <w:fldChar w:fldCharType="separate"/>
            </w:r>
            <w:r>
              <w:rPr>
                <w:b/>
              </w:rPr>
              <w:t>2</w:t>
            </w:r>
            <w:r>
              <w:rPr>
                <w:b/>
              </w:rPr>
              <w:fldChar w:fldCharType="end"/>
            </w:r>
          </w:hyperlink>
        </w:p>
        <w:p>
          <w:pPr>
            <w:pStyle w:val="WPSOffice2"/>
            <w:tabs>
              <w:tab w:val="right" w:leader="dot" w:pos="9922"/>
            </w:tabs>
          </w:pPr>
          <w:hyperlink w:anchor="_Toc11141" w:history="1">
            <w:r>
              <w:rPr>
                <w:rFonts w:ascii="幼圆" w:eastAsia="幼圆" w:hAnsi="幼圆" w:cs="幼圆" w:hint="eastAsia"/>
              </w:rPr>
              <w:t>1.1 选题背景和研究意义</w:t>
            </w:r>
            <w:r>
              <w:tab/>
            </w:r>
            <w:r>
              <w:fldChar w:fldCharType="begin"/>
            </w:r>
            <w:r>
              <w:instrText xml:space="preserve"> PAGEREF _Toc11141 \h </w:instrText>
            </w:r>
            <w:r>
              <w:fldChar w:fldCharType="separate"/>
            </w:r>
            <w:r>
              <w:t>2</w:t>
            </w:r>
            <w:r>
              <w:fldChar w:fldCharType="end"/>
            </w:r>
          </w:hyperlink>
        </w:p>
        <w:p>
          <w:pPr>
            <w:pStyle w:val="WPSOffice2"/>
            <w:tabs>
              <w:tab w:val="right" w:leader="dot" w:pos="9922"/>
            </w:tabs>
          </w:pPr>
          <w:hyperlink w:anchor="_Toc15633" w:history="1">
            <w:r>
              <w:rPr>
                <w:rFonts w:ascii="幼圆" w:eastAsia="幼圆" w:hAnsi="幼圆" w:cs="幼圆" w:hint="eastAsia"/>
              </w:rPr>
              <w:t>1.2 研究内容和研究方法</w:t>
            </w:r>
            <w:r>
              <w:tab/>
            </w:r>
            <w:r>
              <w:fldChar w:fldCharType="begin"/>
            </w:r>
            <w:r>
              <w:instrText xml:space="preserve"> PAGEREF _Toc15633 \h </w:instrText>
            </w:r>
            <w:r>
              <w:fldChar w:fldCharType="separate"/>
            </w:r>
            <w:r>
              <w:t>3</w:t>
            </w:r>
            <w:r>
              <w:fldChar w:fldCharType="end"/>
            </w:r>
          </w:hyperlink>
        </w:p>
        <w:p>
          <w:pPr>
            <w:pStyle w:val="WPSOffice2"/>
            <w:tabs>
              <w:tab w:val="right" w:leader="dot" w:pos="9922"/>
            </w:tabs>
          </w:pPr>
          <w:hyperlink w:anchor="_Toc25119" w:history="1">
            <w:r>
              <w:rPr>
                <w:rFonts w:ascii="幼圆" w:eastAsia="幼圆" w:hAnsi="幼圆" w:cs="幼圆" w:hint="eastAsia"/>
              </w:rPr>
              <w:t>1.3 新生代农民工职业培训的研究现状</w:t>
            </w:r>
            <w:r>
              <w:tab/>
            </w:r>
            <w:r>
              <w:fldChar w:fldCharType="begin"/>
            </w:r>
            <w:r>
              <w:instrText xml:space="preserve"> PAGEREF _Toc25119 \h </w:instrText>
            </w:r>
            <w:r>
              <w:fldChar w:fldCharType="separate"/>
            </w:r>
            <w:r>
              <w:t>3</w:t>
            </w:r>
            <w:r>
              <w:fldChar w:fldCharType="end"/>
            </w:r>
          </w:hyperlink>
        </w:p>
        <w:p>
          <w:pPr>
            <w:pStyle w:val="WPSOffice1"/>
            <w:tabs>
              <w:tab w:val="right" w:leader="dot" w:pos="9922"/>
            </w:tabs>
            <w:rPr>
              <w:b/>
            </w:rPr>
          </w:pPr>
          <w:hyperlink w:anchor="_Toc11086" w:history="1">
            <w:r>
              <w:rPr>
                <w:rFonts w:ascii="幼圆" w:eastAsia="幼圆" w:hAnsi="幼圆" w:cs="幼圆" w:hint="eastAsia"/>
                <w:b/>
              </w:rPr>
              <w:t>第二章 相关概念界定及理论基础</w:t>
            </w:r>
            <w:r>
              <w:rPr>
                <w:b/>
              </w:rPr>
              <w:tab/>
            </w:r>
            <w:r>
              <w:rPr>
                <w:b/>
              </w:rPr>
              <w:fldChar w:fldCharType="begin"/>
            </w:r>
            <w:r>
              <w:rPr>
                <w:b/>
              </w:rPr>
              <w:instrText xml:space="preserve"> PAGEREF _Toc11086 \h </w:instrText>
            </w:r>
            <w:r>
              <w:rPr>
                <w:b/>
              </w:rPr>
              <w:fldChar w:fldCharType="separate"/>
            </w:r>
            <w:r>
              <w:rPr>
                <w:b/>
              </w:rPr>
              <w:t>6</w:t>
            </w:r>
            <w:r>
              <w:rPr>
                <w:b/>
              </w:rPr>
              <w:fldChar w:fldCharType="end"/>
            </w:r>
          </w:hyperlink>
        </w:p>
        <w:p>
          <w:pPr>
            <w:pStyle w:val="WPSOffice2"/>
            <w:tabs>
              <w:tab w:val="right" w:leader="dot" w:pos="9922"/>
            </w:tabs>
          </w:pPr>
          <w:hyperlink w:anchor="_Toc5739" w:history="1">
            <w:r>
              <w:rPr>
                <w:rFonts w:ascii="幼圆" w:eastAsia="幼圆" w:hAnsi="幼圆" w:cs="幼圆" w:hint="eastAsia"/>
              </w:rPr>
              <w:t>2.1 相关概念</w:t>
            </w:r>
            <w:r>
              <w:tab/>
            </w:r>
            <w:r>
              <w:fldChar w:fldCharType="begin"/>
            </w:r>
            <w:r>
              <w:instrText xml:space="preserve"> PAGEREF _Toc5739 \h </w:instrText>
            </w:r>
            <w:r>
              <w:fldChar w:fldCharType="separate"/>
            </w:r>
            <w:r>
              <w:t>6</w:t>
            </w:r>
            <w:r>
              <w:fldChar w:fldCharType="end"/>
            </w:r>
          </w:hyperlink>
        </w:p>
        <w:p>
          <w:pPr>
            <w:pStyle w:val="WPSOffice2"/>
            <w:tabs>
              <w:tab w:val="right" w:leader="dot" w:pos="9922"/>
            </w:tabs>
          </w:pPr>
          <w:hyperlink w:anchor="_Toc29197" w:history="1">
            <w:r>
              <w:rPr>
                <w:rFonts w:ascii="幼圆" w:eastAsia="幼圆" w:hAnsi="幼圆" w:cs="幼圆" w:hint="eastAsia"/>
              </w:rPr>
              <w:t>2.2 理论基础</w:t>
            </w:r>
            <w:r>
              <w:tab/>
            </w:r>
            <w:r>
              <w:fldChar w:fldCharType="begin"/>
            </w:r>
            <w:r>
              <w:instrText xml:space="preserve"> PAGEREF _Toc29197 \h </w:instrText>
            </w:r>
            <w:r>
              <w:fldChar w:fldCharType="separate"/>
            </w:r>
            <w:r>
              <w:t>6</w:t>
            </w:r>
            <w:r>
              <w:fldChar w:fldCharType="end"/>
            </w:r>
          </w:hyperlink>
        </w:p>
        <w:p>
          <w:pPr>
            <w:pStyle w:val="WPSOffice1"/>
            <w:tabs>
              <w:tab w:val="right" w:leader="dot" w:pos="9922"/>
            </w:tabs>
            <w:rPr>
              <w:b/>
            </w:rPr>
          </w:pPr>
          <w:hyperlink w:anchor="_Toc30057" w:history="1">
            <w:r>
              <w:rPr>
                <w:rFonts w:ascii="幼圆" w:eastAsia="幼圆" w:hAnsi="幼圆" w:cs="幼圆" w:hint="eastAsia"/>
                <w:b/>
              </w:rPr>
              <w:t xml:space="preserve">第3章 </w:t>
            </w:r>
            <w:r>
              <w:rPr>
                <w:rFonts w:ascii="幼圆" w:eastAsia="幼圆" w:hAnsi="幼圆" w:cs="幼圆" w:hint="eastAsia"/>
                <w:b/>
                <w:lang w:eastAsia="zh-CN"/>
              </w:rPr>
              <w:t>S</w:t>
            </w:r>
            <w:r>
              <w:rPr>
                <w:rFonts w:ascii="幼圆" w:eastAsia="幼圆" w:hAnsi="幼圆" w:cs="幼圆" w:hint="eastAsia"/>
                <w:b/>
              </w:rPr>
              <w:t>区新生代农民工及职业培训现状分析</w:t>
            </w:r>
            <w:r>
              <w:rPr>
                <w:b/>
              </w:rPr>
              <w:tab/>
            </w:r>
            <w:r>
              <w:rPr>
                <w:b/>
              </w:rPr>
              <w:fldChar w:fldCharType="begin"/>
            </w:r>
            <w:r>
              <w:rPr>
                <w:b/>
              </w:rPr>
              <w:instrText xml:space="preserve"> PAGEREF _Toc30057 \h </w:instrText>
            </w:r>
            <w:r>
              <w:rPr>
                <w:b/>
              </w:rPr>
              <w:fldChar w:fldCharType="separate"/>
            </w:r>
            <w:r>
              <w:rPr>
                <w:b/>
              </w:rPr>
              <w:t>8</w:t>
            </w:r>
            <w:r>
              <w:rPr>
                <w:b/>
              </w:rPr>
              <w:fldChar w:fldCharType="end"/>
            </w:r>
          </w:hyperlink>
        </w:p>
        <w:p>
          <w:pPr>
            <w:pStyle w:val="WPSOffice2"/>
            <w:tabs>
              <w:tab w:val="right" w:leader="dot" w:pos="9922"/>
            </w:tabs>
          </w:pPr>
          <w:hyperlink w:anchor="_Toc8444" w:history="1">
            <w:r>
              <w:rPr>
                <w:rFonts w:ascii="幼圆" w:eastAsia="幼圆" w:hAnsi="幼圆" w:cs="幼圆" w:hint="eastAsia"/>
              </w:rPr>
              <w:t>3.1 调查问卷的设计与实施</w:t>
            </w:r>
            <w:r>
              <w:tab/>
            </w:r>
            <w:r>
              <w:fldChar w:fldCharType="begin"/>
            </w:r>
            <w:r>
              <w:instrText xml:space="preserve"> PAGEREF _Toc8444 \h </w:instrText>
            </w:r>
            <w:r>
              <w:fldChar w:fldCharType="separate"/>
            </w:r>
            <w:r>
              <w:t>8</w:t>
            </w:r>
            <w:r>
              <w:fldChar w:fldCharType="end"/>
            </w:r>
          </w:hyperlink>
        </w:p>
        <w:p>
          <w:pPr>
            <w:pStyle w:val="WPSOffice2"/>
            <w:tabs>
              <w:tab w:val="right" w:leader="dot" w:pos="9922"/>
            </w:tabs>
          </w:pPr>
          <w:hyperlink w:anchor="_Toc21504" w:history="1">
            <w:r>
              <w:rPr>
                <w:rFonts w:ascii="幼圆" w:eastAsia="幼圆" w:hAnsi="幼圆" w:cs="幼圆" w:hint="eastAsia"/>
              </w:rPr>
              <w:t>3.2 样本描述性统计分析</w:t>
            </w:r>
            <w:r>
              <w:tab/>
            </w:r>
            <w:r>
              <w:fldChar w:fldCharType="begin"/>
            </w:r>
            <w:r>
              <w:instrText xml:space="preserve"> PAGEREF _Toc21504 \h </w:instrText>
            </w:r>
            <w:r>
              <w:fldChar w:fldCharType="separate"/>
            </w:r>
            <w:r>
              <w:t>9</w:t>
            </w:r>
            <w:r>
              <w:fldChar w:fldCharType="end"/>
            </w:r>
          </w:hyperlink>
        </w:p>
        <w:p>
          <w:pPr>
            <w:pStyle w:val="WPSOffice2"/>
            <w:tabs>
              <w:tab w:val="right" w:leader="dot" w:pos="9922"/>
            </w:tabs>
          </w:pPr>
          <w:hyperlink w:anchor="_Toc21930" w:history="1">
            <w:r>
              <w:rPr>
                <w:rFonts w:ascii="幼圆" w:eastAsia="幼圆" w:hAnsi="幼圆" w:cs="幼圆" w:hint="eastAsia"/>
              </w:rPr>
              <w:t>3.3 职业培训情况描述性统计分析</w:t>
            </w:r>
            <w:r>
              <w:tab/>
            </w:r>
            <w:r>
              <w:fldChar w:fldCharType="begin"/>
            </w:r>
            <w:r>
              <w:instrText xml:space="preserve"> PAGEREF _Toc21930 \h </w:instrText>
            </w:r>
            <w:r>
              <w:fldChar w:fldCharType="separate"/>
            </w:r>
            <w:r>
              <w:t>10</w:t>
            </w:r>
            <w:r>
              <w:fldChar w:fldCharType="end"/>
            </w:r>
          </w:hyperlink>
        </w:p>
        <w:p>
          <w:pPr>
            <w:pStyle w:val="WPSOffice1"/>
            <w:tabs>
              <w:tab w:val="right" w:leader="dot" w:pos="9922"/>
            </w:tabs>
            <w:rPr>
              <w:b/>
            </w:rPr>
          </w:pPr>
          <w:hyperlink w:anchor="_Toc3260" w:history="1">
            <w:r>
              <w:rPr>
                <w:rFonts w:ascii="幼圆" w:eastAsia="幼圆" w:hAnsi="幼圆" w:cs="幼圆" w:hint="eastAsia"/>
                <w:b/>
              </w:rPr>
              <w:t xml:space="preserve">第4章 </w:t>
            </w:r>
            <w:r>
              <w:rPr>
                <w:rFonts w:ascii="幼圆" w:eastAsia="幼圆" w:hAnsi="幼圆" w:cs="幼圆" w:hint="eastAsia"/>
                <w:b/>
                <w:lang w:eastAsia="zh-CN"/>
              </w:rPr>
              <w:t>S</w:t>
            </w:r>
            <w:r>
              <w:rPr>
                <w:rFonts w:ascii="幼圆" w:eastAsia="幼圆" w:hAnsi="幼圆" w:cs="幼圆" w:hint="eastAsia"/>
                <w:b/>
              </w:rPr>
              <w:t>区新生代农民工职业培训意愿影响因素实证分析</w:t>
            </w:r>
            <w:r>
              <w:rPr>
                <w:b/>
              </w:rPr>
              <w:tab/>
            </w:r>
            <w:r>
              <w:rPr>
                <w:b/>
              </w:rPr>
              <w:fldChar w:fldCharType="begin"/>
            </w:r>
            <w:r>
              <w:rPr>
                <w:b/>
              </w:rPr>
              <w:instrText xml:space="preserve"> PAGEREF _Toc3260 \h </w:instrText>
            </w:r>
            <w:r>
              <w:rPr>
                <w:b/>
              </w:rPr>
              <w:fldChar w:fldCharType="separate"/>
            </w:r>
            <w:r>
              <w:rPr>
                <w:b/>
              </w:rPr>
              <w:t>16</w:t>
            </w:r>
            <w:r>
              <w:rPr>
                <w:b/>
              </w:rPr>
              <w:fldChar w:fldCharType="end"/>
            </w:r>
          </w:hyperlink>
        </w:p>
        <w:p>
          <w:pPr>
            <w:pStyle w:val="WPSOffice2"/>
            <w:tabs>
              <w:tab w:val="right" w:leader="dot" w:pos="9922"/>
            </w:tabs>
          </w:pPr>
          <w:hyperlink w:anchor="_Toc20167" w:history="1">
            <w:r>
              <w:rPr>
                <w:rFonts w:ascii="幼圆" w:eastAsia="幼圆" w:hAnsi="幼圆" w:cs="幼圆" w:hint="eastAsia"/>
              </w:rPr>
              <w:t>4.1 研究假设</w:t>
            </w:r>
            <w:r>
              <w:tab/>
            </w:r>
            <w:r>
              <w:fldChar w:fldCharType="begin"/>
            </w:r>
            <w:r>
              <w:instrText xml:space="preserve"> PAGEREF _Toc20167 \h </w:instrText>
            </w:r>
            <w:r>
              <w:fldChar w:fldCharType="separate"/>
            </w:r>
            <w:r>
              <w:t>16</w:t>
            </w:r>
            <w:r>
              <w:fldChar w:fldCharType="end"/>
            </w:r>
          </w:hyperlink>
        </w:p>
        <w:p>
          <w:pPr>
            <w:pStyle w:val="WPSOffice2"/>
            <w:tabs>
              <w:tab w:val="right" w:leader="dot" w:pos="9922"/>
            </w:tabs>
          </w:pPr>
          <w:hyperlink w:anchor="_Toc16535" w:history="1">
            <w:r>
              <w:rPr>
                <w:rFonts w:ascii="幼圆" w:eastAsia="幼圆" w:hAnsi="幼圆" w:cs="幼圆" w:hint="eastAsia"/>
              </w:rPr>
              <w:t>4.2 模型选择</w:t>
            </w:r>
            <w:r>
              <w:tab/>
            </w:r>
            <w:r>
              <w:fldChar w:fldCharType="begin"/>
            </w:r>
            <w:r>
              <w:instrText xml:space="preserve"> PAGEREF _Toc16535 \h </w:instrText>
            </w:r>
            <w:r>
              <w:fldChar w:fldCharType="separate"/>
            </w:r>
            <w:r>
              <w:t>17</w:t>
            </w:r>
            <w:r>
              <w:fldChar w:fldCharType="end"/>
            </w:r>
          </w:hyperlink>
        </w:p>
        <w:p>
          <w:pPr>
            <w:pStyle w:val="WPSOffice2"/>
            <w:tabs>
              <w:tab w:val="right" w:leader="dot" w:pos="9922"/>
            </w:tabs>
          </w:pPr>
          <w:hyperlink w:anchor="_Toc14915" w:history="1">
            <w:r>
              <w:rPr>
                <w:rFonts w:ascii="幼圆" w:eastAsia="幼圆" w:hAnsi="幼圆" w:cs="幼圆" w:hint="eastAsia"/>
              </w:rPr>
              <w:t>4.3 变量选择</w:t>
            </w:r>
            <w:r>
              <w:tab/>
            </w:r>
            <w:r>
              <w:fldChar w:fldCharType="begin"/>
            </w:r>
            <w:r>
              <w:instrText xml:space="preserve"> PAGEREF _Toc14915 \h </w:instrText>
            </w:r>
            <w:r>
              <w:fldChar w:fldCharType="separate"/>
            </w:r>
            <w:r>
              <w:t>17</w:t>
            </w:r>
            <w:r>
              <w:fldChar w:fldCharType="end"/>
            </w:r>
          </w:hyperlink>
        </w:p>
        <w:p>
          <w:pPr>
            <w:pStyle w:val="WPSOffice2"/>
            <w:tabs>
              <w:tab w:val="right" w:leader="dot" w:pos="9922"/>
            </w:tabs>
          </w:pPr>
          <w:hyperlink w:anchor="_Toc15127" w:history="1">
            <w:r>
              <w:rPr>
                <w:rFonts w:ascii="幼圆" w:eastAsia="幼圆" w:hAnsi="幼圆" w:cs="幼圆" w:hint="eastAsia"/>
              </w:rPr>
              <w:t>4.4 实证结果与分析</w:t>
            </w:r>
            <w:r>
              <w:tab/>
            </w:r>
            <w:r>
              <w:fldChar w:fldCharType="begin"/>
            </w:r>
            <w:r>
              <w:instrText xml:space="preserve"> PAGEREF _Toc15127 \h </w:instrText>
            </w:r>
            <w:r>
              <w:fldChar w:fldCharType="separate"/>
            </w:r>
            <w:r>
              <w:t>19</w:t>
            </w:r>
            <w:r>
              <w:fldChar w:fldCharType="end"/>
            </w:r>
          </w:hyperlink>
        </w:p>
        <w:p>
          <w:pPr>
            <w:pStyle w:val="WPSOffice1"/>
            <w:tabs>
              <w:tab w:val="right" w:leader="dot" w:pos="9922"/>
            </w:tabs>
            <w:rPr>
              <w:b/>
            </w:rPr>
          </w:pPr>
          <w:hyperlink w:anchor="_Toc7554" w:history="1">
            <w:r>
              <w:rPr>
                <w:rFonts w:ascii="幼圆" w:eastAsia="幼圆" w:hAnsi="幼圆" w:cs="幼圆" w:hint="eastAsia"/>
                <w:b/>
              </w:rPr>
              <w:t>第5章 提升新生代农民工职业培训意愿的对策建议</w:t>
            </w:r>
            <w:r>
              <w:rPr>
                <w:b/>
              </w:rPr>
              <w:tab/>
            </w:r>
            <w:r>
              <w:rPr>
                <w:b/>
              </w:rPr>
              <w:fldChar w:fldCharType="begin"/>
            </w:r>
            <w:r>
              <w:rPr>
                <w:b/>
              </w:rPr>
              <w:instrText xml:space="preserve"> PAGEREF _Toc7554 \h </w:instrText>
            </w:r>
            <w:r>
              <w:rPr>
                <w:b/>
              </w:rPr>
              <w:fldChar w:fldCharType="separate"/>
            </w:r>
            <w:r>
              <w:rPr>
                <w:b/>
              </w:rPr>
              <w:t>23</w:t>
            </w:r>
            <w:r>
              <w:rPr>
                <w:b/>
              </w:rPr>
              <w:fldChar w:fldCharType="end"/>
            </w:r>
          </w:hyperlink>
        </w:p>
        <w:p>
          <w:pPr>
            <w:pStyle w:val="WPSOffice2"/>
            <w:tabs>
              <w:tab w:val="right" w:leader="dot" w:pos="9922"/>
            </w:tabs>
          </w:pPr>
          <w:hyperlink w:anchor="_Toc31807" w:history="1">
            <w:r>
              <w:rPr>
                <w:rFonts w:ascii="幼圆" w:eastAsia="幼圆" w:hAnsi="幼圆" w:cs="幼圆" w:hint="eastAsia"/>
              </w:rPr>
              <w:t>5.1 政府层面</w:t>
            </w:r>
            <w:r>
              <w:tab/>
            </w:r>
            <w:r>
              <w:fldChar w:fldCharType="begin"/>
            </w:r>
            <w:r>
              <w:instrText xml:space="preserve"> PAGEREF _Toc31807 \h </w:instrText>
            </w:r>
            <w:r>
              <w:fldChar w:fldCharType="separate"/>
            </w:r>
            <w:r>
              <w:t>23</w:t>
            </w:r>
            <w:r>
              <w:fldChar w:fldCharType="end"/>
            </w:r>
          </w:hyperlink>
        </w:p>
        <w:p>
          <w:pPr>
            <w:pStyle w:val="WPSOffice2"/>
            <w:tabs>
              <w:tab w:val="right" w:leader="dot" w:pos="9922"/>
            </w:tabs>
          </w:pPr>
          <w:hyperlink w:anchor="_Toc28665" w:history="1">
            <w:r>
              <w:rPr>
                <w:rFonts w:ascii="幼圆" w:eastAsia="幼圆" w:hAnsi="幼圆" w:cs="幼圆" w:hint="eastAsia"/>
              </w:rPr>
              <w:t>5.2 企业层面</w:t>
            </w:r>
            <w:r>
              <w:tab/>
            </w:r>
            <w:r>
              <w:fldChar w:fldCharType="begin"/>
            </w:r>
            <w:r>
              <w:instrText xml:space="preserve"> PAGEREF _Toc28665 \h </w:instrText>
            </w:r>
            <w:r>
              <w:fldChar w:fldCharType="separate"/>
            </w:r>
            <w:r>
              <w:t>24</w:t>
            </w:r>
            <w:r>
              <w:fldChar w:fldCharType="end"/>
            </w:r>
          </w:hyperlink>
        </w:p>
        <w:p>
          <w:pPr>
            <w:pStyle w:val="WPSOffice2"/>
            <w:tabs>
              <w:tab w:val="right" w:leader="dot" w:pos="9922"/>
            </w:tabs>
          </w:pPr>
          <w:hyperlink w:anchor="_Toc16168" w:history="1">
            <w:r>
              <w:rPr>
                <w:rFonts w:ascii="幼圆" w:eastAsia="幼圆" w:hAnsi="幼圆" w:cs="幼圆" w:hint="eastAsia"/>
              </w:rPr>
              <w:t>5.3 新生代农民工自身</w:t>
            </w:r>
            <w:r>
              <w:tab/>
            </w:r>
            <w:r>
              <w:fldChar w:fldCharType="begin"/>
            </w:r>
            <w:r>
              <w:instrText xml:space="preserve"> PAGEREF _Toc16168 \h </w:instrText>
            </w:r>
            <w:r>
              <w:fldChar w:fldCharType="separate"/>
            </w:r>
            <w:r>
              <w:t>24</w:t>
            </w:r>
            <w:r>
              <w:fldChar w:fldCharType="end"/>
            </w:r>
          </w:hyperlink>
        </w:p>
        <w:p>
          <w:pPr>
            <w:pStyle w:val="WPSOffice1"/>
            <w:tabs>
              <w:tab w:val="right" w:leader="dot" w:pos="9922"/>
            </w:tabs>
            <w:rPr>
              <w:b/>
            </w:rPr>
          </w:pPr>
          <w:hyperlink w:anchor="_Toc1012" w:history="1">
            <w:r>
              <w:rPr>
                <w:rFonts w:ascii="幼圆" w:eastAsia="幼圆" w:hAnsi="幼圆" w:cs="幼圆" w:hint="eastAsia"/>
                <w:b/>
              </w:rPr>
              <w:t>结 语</w:t>
            </w:r>
            <w:r>
              <w:rPr>
                <w:b/>
              </w:rPr>
              <w:tab/>
            </w:r>
            <w:r>
              <w:rPr>
                <w:b/>
              </w:rPr>
              <w:fldChar w:fldCharType="begin"/>
            </w:r>
            <w:r>
              <w:rPr>
                <w:b/>
              </w:rPr>
              <w:instrText xml:space="preserve"> PAGEREF _Toc1012 \h </w:instrText>
            </w:r>
            <w:r>
              <w:rPr>
                <w:b/>
              </w:rPr>
              <w:fldChar w:fldCharType="separate"/>
            </w:r>
            <w:r>
              <w:rPr>
                <w:b/>
              </w:rPr>
              <w:t>25</w:t>
            </w:r>
            <w:r>
              <w:rPr>
                <w:b/>
              </w:rPr>
              <w:fldChar w:fldCharType="end"/>
            </w:r>
          </w:hyperlink>
        </w:p>
        <w:p>
          <w:pPr>
            <w:pStyle w:val="Heading1"/>
            <w:tabs>
              <w:tab w:val="center" w:pos="4965"/>
              <w:tab w:val="left" w:pos="7305"/>
            </w:tabs>
            <w:spacing w:after="240"/>
            <w:rPr>
              <w:rFonts w:ascii="幼圆" w:eastAsia="幼圆" w:hAnsi="幼圆" w:cs="幼圆" w:hint="eastAsia"/>
              <w:b/>
              <w:bCs w:val="0"/>
              <w:sz w:val="32"/>
              <w:szCs w:val="32"/>
            </w:rPr>
          </w:pPr>
          <w:r>
            <w:rPr>
              <w:rFonts w:ascii="幼圆" w:eastAsia="幼圆" w:hAnsi="幼圆" w:cs="幼圆" w:hint="eastAsia"/>
              <w:b/>
              <w:bCs w:val="0"/>
              <w:szCs w:val="32"/>
            </w:rPr>
            <w:fldChar w:fldCharType="end"/>
          </w:r>
        </w:p>
      </w:sdtContent>
    </w:sdt>
    <w:p>
      <w:pPr>
        <w:pStyle w:val="Heading1"/>
        <w:tabs>
          <w:tab w:val="center" w:pos="4965"/>
          <w:tab w:val="left" w:pos="7305"/>
        </w:tabs>
        <w:spacing w:after="240"/>
        <w:rPr>
          <w:rFonts w:ascii="幼圆" w:eastAsia="幼圆" w:hAnsi="幼圆" w:cs="幼圆" w:hint="eastAsia"/>
          <w:b/>
          <w:bCs w:val="0"/>
          <w:sz w:val="32"/>
          <w:szCs w:val="32"/>
        </w:rPr>
      </w:pPr>
      <w:bookmarkStart w:id="2" w:name="_Toc29374"/>
      <w:r>
        <w:rPr>
          <w:rFonts w:ascii="幼圆" w:eastAsia="幼圆" w:hAnsi="幼圆" w:cs="幼圆" w:hint="eastAsia"/>
          <w:b/>
          <w:bCs w:val="0"/>
          <w:sz w:val="32"/>
          <w:szCs w:val="32"/>
        </w:rPr>
        <w:t>摘 要</w:t>
      </w:r>
      <w:bookmarkEnd w:id="2"/>
    </w:p>
    <w:p>
      <w:pPr>
        <w:ind w:firstLine="480"/>
        <w:rPr>
          <w:rFonts w:ascii="幼圆" w:eastAsia="幼圆" w:hAnsi="幼圆" w:cs="幼圆" w:hint="eastAsia"/>
        </w:rPr>
      </w:pPr>
      <w:r>
        <w:rPr>
          <w:rFonts w:ascii="幼圆" w:eastAsia="幼圆" w:hAnsi="幼圆" w:cs="幼圆" w:hint="eastAsia"/>
        </w:rPr>
        <w:t>作为我国经济社会发展建设的主力军，农民工群体一直备受学界关注。相较于老一代农民工，新生代农民工群体受教育程度相对较高，对生活质量和就业质量的追求也有提高，但其自身职业素质仍不能满足快速发展的时代的需要。对其进行职业培训则是最为有效提高其职业素质的途径，近年来政府、企业各方等都积极开展职业培训，但是效果达不到预期。其中，新生代农民工自身参与职业培训的意愿是影响职业培训效果的关键因素。因此本文以枣庄市</w:t>
      </w:r>
      <w:r>
        <w:rPr>
          <w:rFonts w:ascii="幼圆" w:eastAsia="幼圆" w:hAnsi="幼圆" w:cs="幼圆" w:hint="eastAsia"/>
          <w:lang w:eastAsia="zh-CN"/>
        </w:rPr>
        <w:t>S</w:t>
      </w:r>
      <w:r>
        <w:rPr>
          <w:rFonts w:ascii="幼圆" w:eastAsia="幼圆" w:hAnsi="幼圆" w:cs="幼圆" w:hint="eastAsia"/>
        </w:rPr>
        <w:t>区为例，通过文献研究、问卷调查、实证分析等，从个人因素、培训成本和培训收益三个层面，对相关因素进行交叉分析、二元logistic回归分析，探讨</w:t>
      </w:r>
      <w:r>
        <w:rPr>
          <w:rFonts w:ascii="幼圆" w:eastAsia="幼圆" w:hAnsi="幼圆" w:cs="幼圆" w:hint="eastAsia"/>
          <w:lang w:eastAsia="zh-CN"/>
        </w:rPr>
        <w:t>S</w:t>
      </w:r>
      <w:r>
        <w:rPr>
          <w:rFonts w:ascii="幼圆" w:eastAsia="幼圆" w:hAnsi="幼圆" w:cs="幼圆" w:hint="eastAsia"/>
        </w:rPr>
        <w:t>区新生代农民工参与职业培训意愿的显著性影响因素，并根据相关结果从政府加强统筹协调、完善培训资金投入和培训服务机制；企业合理安排培训时间、重视个体培训后晋升发展以及加强产教融合；新生代农民工树立职业培训意识和重视自身职业素质提高等方面提出相关对策与建议，以期在内卷化严重的当下，新生代农民工可以提升自身竞争力，加快职业素质的培养，从而更好的满足我国产业转型升级和城镇化建设需要。</w:t>
      </w:r>
    </w:p>
    <w:p>
      <w:pPr>
        <w:ind w:firstLine="480"/>
        <w:rPr>
          <w:rFonts w:ascii="幼圆" w:eastAsia="幼圆" w:hAnsi="幼圆" w:cs="幼圆" w:hint="eastAsia"/>
          <w:color w:val="FF0000"/>
        </w:rPr>
      </w:pPr>
    </w:p>
    <w:p>
      <w:pPr>
        <w:ind w:firstLine="0" w:firstLineChars="0"/>
        <w:jc w:val="left"/>
        <w:rPr>
          <w:rFonts w:ascii="幼圆" w:eastAsia="幼圆" w:hAnsi="幼圆" w:cs="幼圆" w:hint="eastAsia"/>
        </w:rPr>
        <w:sectPr>
          <w:headerReference w:type="default" r:id="rId6"/>
          <w:footerReference w:type="default" r:id="rId7"/>
          <w:pgSz w:w="11906" w:h="16838"/>
          <w:pgMar w:top="1038" w:right="782" w:bottom="1179" w:left="1202" w:header="851" w:footer="851" w:gutter="0"/>
          <w:cols w:num="1" w:space="425"/>
          <w:docGrid w:linePitch="326" w:charSpace="0"/>
        </w:sectPr>
      </w:pPr>
      <w:r>
        <w:rPr>
          <w:rFonts w:ascii="幼圆" w:eastAsia="幼圆" w:hAnsi="幼圆" w:cs="幼圆" w:hint="eastAsia"/>
        </w:rPr>
        <w:t>关键词：</w:t>
      </w:r>
      <w:r>
        <w:rPr>
          <w:rFonts w:ascii="幼圆" w:eastAsia="幼圆" w:hAnsi="幼圆" w:cs="幼圆" w:hint="eastAsia"/>
        </w:rPr>
        <w:t>新生代农民工；职业培训；培训意愿</w:t>
      </w:r>
    </w:p>
    <w:p>
      <w:pPr>
        <w:pStyle w:val="Heading1"/>
        <w:spacing w:after="240"/>
        <w:rPr>
          <w:rFonts w:ascii="幼圆" w:eastAsia="幼圆" w:hAnsi="幼圆" w:cs="幼圆" w:hint="eastAsia"/>
        </w:rPr>
      </w:pPr>
      <w:bookmarkStart w:id="3" w:name="_Toc11601"/>
      <w:r>
        <w:rPr>
          <w:rFonts w:ascii="幼圆" w:eastAsia="幼圆" w:hAnsi="幼圆" w:cs="幼圆" w:hint="eastAsia"/>
        </w:rPr>
        <w:t>第1章 绪论</w:t>
      </w:r>
      <w:bookmarkEnd w:id="3"/>
    </w:p>
    <w:p>
      <w:pPr>
        <w:pStyle w:val="Heading2"/>
        <w:spacing w:before="120" w:after="120"/>
        <w:rPr>
          <w:rFonts w:ascii="幼圆" w:eastAsia="幼圆" w:hAnsi="幼圆" w:cs="幼圆" w:hint="eastAsia"/>
        </w:rPr>
      </w:pPr>
      <w:bookmarkStart w:id="4" w:name="_Toc11141"/>
      <w:r>
        <w:rPr>
          <w:rFonts w:ascii="幼圆" w:eastAsia="幼圆" w:hAnsi="幼圆" w:cs="幼圆" w:hint="eastAsia"/>
        </w:rPr>
        <w:t>1</w:t>
      </w:r>
      <w:r>
        <w:rPr>
          <w:rFonts w:ascii="幼圆" w:eastAsia="幼圆" w:hAnsi="幼圆" w:cs="幼圆" w:hint="eastAsia"/>
        </w:rPr>
        <w:t>.1 选题背景和研究意义</w:t>
      </w:r>
      <w:bookmarkEnd w:id="4"/>
    </w:p>
    <w:p>
      <w:pPr>
        <w:pStyle w:val="Heading3"/>
        <w:ind w:firstLine="480"/>
        <w:rPr>
          <w:rFonts w:ascii="幼圆" w:eastAsia="幼圆" w:hAnsi="幼圆" w:cs="幼圆" w:hint="eastAsia"/>
        </w:rPr>
      </w:pPr>
      <w:r>
        <w:rPr>
          <w:rFonts w:ascii="幼圆" w:eastAsia="幼圆" w:hAnsi="幼圆" w:cs="幼圆" w:hint="eastAsia"/>
        </w:rPr>
        <w:t>1.</w:t>
      </w:r>
      <w:r>
        <w:rPr>
          <w:rFonts w:ascii="幼圆" w:eastAsia="幼圆" w:hAnsi="幼圆" w:cs="幼圆" w:hint="eastAsia"/>
        </w:rPr>
        <w:t>1</w:t>
      </w:r>
      <w:r>
        <w:rPr>
          <w:rFonts w:ascii="幼圆" w:eastAsia="幼圆" w:hAnsi="幼圆" w:cs="幼圆" w:hint="eastAsia"/>
        </w:rPr>
        <w:t>.</w:t>
      </w:r>
      <w:r>
        <w:rPr>
          <w:rFonts w:ascii="幼圆" w:eastAsia="幼圆" w:hAnsi="幼圆" w:cs="幼圆" w:hint="eastAsia"/>
        </w:rPr>
        <w:t xml:space="preserve">1 </w:t>
      </w:r>
      <w:r>
        <w:rPr>
          <w:rFonts w:ascii="幼圆" w:eastAsia="幼圆" w:hAnsi="幼圆" w:cs="幼圆" w:hint="eastAsia"/>
        </w:rPr>
        <w:t>选题背景</w:t>
      </w:r>
    </w:p>
    <w:p>
      <w:pPr>
        <w:ind w:firstLine="480"/>
        <w:rPr>
          <w:rFonts w:ascii="幼圆" w:eastAsia="幼圆" w:hAnsi="幼圆" w:cs="幼圆" w:hint="eastAsia"/>
          <w:bCs/>
        </w:rPr>
      </w:pPr>
      <w:r>
        <w:rPr>
          <w:rFonts w:ascii="幼圆" w:eastAsia="幼圆" w:hAnsi="幼圆" w:cs="幼圆" w:hint="eastAsia"/>
          <w:bCs/>
        </w:rPr>
        <w:t>2010年新生代农民工这一概念首次被正式提出，如今新生代农民工已成为体的中坚力量。《2</w:t>
      </w:r>
      <w:r>
        <w:rPr>
          <w:rFonts w:ascii="幼圆" w:eastAsia="幼圆" w:hAnsi="幼圆" w:cs="幼圆" w:hint="eastAsia"/>
          <w:bCs/>
        </w:rPr>
        <w:t>0</w:t>
      </w:r>
      <w:r>
        <w:rPr>
          <w:rFonts w:ascii="幼圆" w:eastAsia="幼圆" w:hAnsi="幼圆" w:cs="幼圆" w:hint="eastAsia"/>
          <w:bCs/>
        </w:rPr>
        <w:t>20年农民工调查监测报告》数据显示，2020年度全国农民工总量为28560万人，其中4</w:t>
      </w:r>
      <w:r>
        <w:rPr>
          <w:rFonts w:ascii="幼圆" w:eastAsia="幼圆" w:hAnsi="幼圆" w:cs="幼圆" w:hint="eastAsia"/>
          <w:bCs/>
        </w:rPr>
        <w:t>0</w:t>
      </w:r>
      <w:r>
        <w:rPr>
          <w:rFonts w:ascii="幼圆" w:eastAsia="幼圆" w:hAnsi="幼圆" w:cs="幼圆" w:hint="eastAsia"/>
          <w:bCs/>
        </w:rPr>
        <w:t>岁以下农民工人数占全国农民工总量的49.4%。相较于老一代农民工，新生代农民工的受教育程度高、学习能力强、对职业期待高，但尽管如此，其自身职业素质仍不能适应快速发展的时代的需要。随着产业的转型升级，新兴技术产业对技术型人才的需求剧增，出现了“就业难”与“民工荒”的双重困境。同时，受2</w:t>
      </w:r>
      <w:r>
        <w:rPr>
          <w:rFonts w:ascii="幼圆" w:eastAsia="幼圆" w:hAnsi="幼圆" w:cs="幼圆" w:hint="eastAsia"/>
          <w:bCs/>
        </w:rPr>
        <w:t>020</w:t>
      </w:r>
      <w:r>
        <w:rPr>
          <w:rFonts w:ascii="幼圆" w:eastAsia="幼圆" w:hAnsi="幼圆" w:cs="幼圆" w:hint="eastAsia"/>
          <w:bCs/>
        </w:rPr>
        <w:t>年新冠病毒肺炎疫情的影响，农民工群体的就业受到冲击，返岗就业问题也成为一大难题。因此必须大力加强对新生代农民工的职业培训，促使其提升自身职业素质和竞争力，适应产业转型升级的需要，促进社会经济发展。</w:t>
      </w:r>
    </w:p>
    <w:p>
      <w:pPr>
        <w:ind w:firstLine="480"/>
        <w:rPr>
          <w:rFonts w:ascii="幼圆" w:eastAsia="幼圆" w:hAnsi="幼圆" w:cs="幼圆" w:hint="eastAsia"/>
        </w:rPr>
      </w:pPr>
      <w:r>
        <w:rPr>
          <w:rFonts w:ascii="幼圆" w:eastAsia="幼圆" w:hAnsi="幼圆" w:cs="幼圆" w:hint="eastAsia"/>
        </w:rPr>
        <w:t>职业培训作为提升劳动人口素质的重要手段一直以来备受关注，近年来，为提升劳动者技能，国务院办公厅印发了《职业技能提升行动方案（</w:t>
      </w:r>
      <w:r>
        <w:rPr>
          <w:rFonts w:ascii="幼圆" w:eastAsia="幼圆" w:hAnsi="幼圆" w:cs="幼圆" w:hint="eastAsia"/>
        </w:rPr>
        <w:t>2019-2021</w:t>
      </w:r>
      <w:r>
        <w:rPr>
          <w:rFonts w:ascii="幼圆" w:eastAsia="幼圆" w:hAnsi="幼圆" w:cs="幼圆" w:hint="eastAsia"/>
        </w:rPr>
        <w:t>年）》，在方案中重点提出了针对新生代农民工群体开展职业技能提升培训和创业培训的多种方案。2021年恰逢职业技能提升行动“315工程”的收官之年，即用3年时间，拿出1千亿专项资金，培训不少于5千万人次。与此同时，尽管各部门采取了积极的举措，但新生代农民工的职业培训效果达不到预期，其中新生代农民工整体对职业培训的积极性与重要性认识不够到位，进而导致了政府和企业进行职业培训、开展职业培训课程的有效程度降低，影响职业培训的效果。为使新生代农民工培训能达到预期效果，提高新生代农民工的职业技能水平，进行新生代农民工职业培训意愿的影响因素研究至关重要。</w:t>
      </w:r>
    </w:p>
    <w:p>
      <w:pPr>
        <w:pStyle w:val="Heading3"/>
        <w:ind w:firstLine="480"/>
        <w:rPr>
          <w:rFonts w:ascii="幼圆" w:eastAsia="幼圆" w:hAnsi="幼圆" w:cs="幼圆" w:hint="eastAsia"/>
        </w:rPr>
      </w:pPr>
      <w:r>
        <w:rPr>
          <w:rFonts w:ascii="幼圆" w:eastAsia="幼圆" w:hAnsi="幼圆" w:cs="幼圆" w:hint="eastAsia"/>
        </w:rPr>
        <w:t>1.</w:t>
      </w:r>
      <w:r>
        <w:rPr>
          <w:rFonts w:ascii="幼圆" w:eastAsia="幼圆" w:hAnsi="幼圆" w:cs="幼圆" w:hint="eastAsia"/>
        </w:rPr>
        <w:t>1</w:t>
      </w:r>
      <w:r>
        <w:rPr>
          <w:rFonts w:ascii="幼圆" w:eastAsia="幼圆" w:hAnsi="幼圆" w:cs="幼圆" w:hint="eastAsia"/>
        </w:rPr>
        <w:t>.</w:t>
      </w:r>
      <w:r>
        <w:rPr>
          <w:rFonts w:ascii="幼圆" w:eastAsia="幼圆" w:hAnsi="幼圆" w:cs="幼圆" w:hint="eastAsia"/>
        </w:rPr>
        <w:t xml:space="preserve">2 </w:t>
      </w:r>
      <w:r>
        <w:rPr>
          <w:rFonts w:ascii="幼圆" w:eastAsia="幼圆" w:hAnsi="幼圆" w:cs="幼圆" w:hint="eastAsia"/>
        </w:rPr>
        <w:t>研究意义</w:t>
      </w:r>
    </w:p>
    <w:p>
      <w:pPr>
        <w:ind w:firstLine="480"/>
        <w:rPr>
          <w:rFonts w:ascii="幼圆" w:eastAsia="幼圆" w:hAnsi="幼圆" w:cs="幼圆" w:hint="eastAsia"/>
        </w:rPr>
      </w:pPr>
      <w:r>
        <w:rPr>
          <w:rFonts w:ascii="幼圆" w:eastAsia="幼圆" w:hAnsi="幼圆" w:cs="幼圆" w:hint="eastAsia"/>
        </w:rPr>
        <w:t>理论意义：新生代农民工问题是我国推进城乡二元体制改革、促进社会和谐稳定的一个关键性问题，而职业培训则是新生代农民工提高自身职业素质的关键手段。目前我国对于新生代农民工职业培训意愿的研究虽然较多，但针对不同地域的研究相对不够全面，本文通过借助人力资本理论和终身学习理论视角，分析影响枣庄市</w:t>
      </w:r>
      <w:r>
        <w:rPr>
          <w:rFonts w:ascii="幼圆" w:eastAsia="幼圆" w:hAnsi="幼圆" w:cs="幼圆" w:hint="eastAsia"/>
          <w:lang w:eastAsia="zh-CN"/>
        </w:rPr>
        <w:t>S</w:t>
      </w:r>
      <w:r>
        <w:rPr>
          <w:rFonts w:ascii="幼圆" w:eastAsia="幼圆" w:hAnsi="幼圆" w:cs="幼圆" w:hint="eastAsia"/>
        </w:rPr>
        <w:t>区新生代农民工参与职业培训的影响因素，并对此提出针对性建议，可以丰富不同地域的新生代农民工职业培训意愿相关问题的研究，同时为解决这一特殊群体的一些职业素质提升问题进行相关理论佐证。</w:t>
      </w:r>
    </w:p>
    <w:p>
      <w:pPr>
        <w:ind w:firstLine="480"/>
        <w:rPr>
          <w:rFonts w:ascii="幼圆" w:eastAsia="幼圆" w:hAnsi="幼圆" w:cs="幼圆" w:hint="eastAsia"/>
        </w:rPr>
        <w:sectPr>
          <w:headerReference w:type="default" r:id="rId8"/>
          <w:footerReference w:type="default" r:id="rId9"/>
          <w:type w:val="nextPage"/>
          <w:pgSz w:w="11906" w:h="16838"/>
          <w:pgMar w:top="1038" w:right="782" w:bottom="1179" w:left="1202" w:header="851" w:footer="851" w:gutter="0"/>
          <w:pgNumType w:start="2"/>
          <w:cols w:num="1" w:space="425"/>
          <w:titlePg w:val="0"/>
          <w:docGrid w:linePitch="326" w:charSpace="0"/>
        </w:sectPr>
      </w:pPr>
    </w:p>
    <w:p>
      <w:pPr>
        <w:ind w:firstLine="480"/>
        <w:rPr>
          <w:rFonts w:ascii="幼圆" w:eastAsia="幼圆" w:hAnsi="幼圆" w:cs="幼圆" w:hint="eastAsia"/>
        </w:rPr>
      </w:pPr>
      <w:r>
        <w:rPr>
          <w:rFonts w:ascii="幼圆" w:eastAsia="幼圆" w:hAnsi="幼圆" w:cs="幼圆" w:hint="eastAsia"/>
        </w:rPr>
        <w:t>实践意义：目前我国的就业总体压力较大，专业技术型人才短缺，用工荒与就业难并存，结构性就业问题仍然突出，同时新冠肺炎疫情也给农民工就业及返岗带来较大冲击。近年来，政府采取多种形式、多种措施大力推进职业培训，但总体效果与预期有所差距。本文通过分析影响</w:t>
      </w:r>
      <w:r>
        <w:rPr>
          <w:rFonts w:ascii="幼圆" w:eastAsia="幼圆" w:hAnsi="幼圆" w:cs="幼圆" w:hint="eastAsia"/>
          <w:lang w:eastAsia="zh-CN"/>
        </w:rPr>
        <w:t>S</w:t>
      </w:r>
      <w:r>
        <w:rPr>
          <w:rFonts w:ascii="幼圆" w:eastAsia="幼圆" w:hAnsi="幼圆" w:cs="幼圆" w:hint="eastAsia"/>
        </w:rPr>
        <w:t>区新生代农民工职业培训意愿的相关因素，寻求解决路径，满足新生代农民工的培训需求，既可以为政府进行相关职业培训优化提出优化建议，也可以为其他地区提供借鉴经验。对于解决民工荒问题、构建和谐劳动关系、提高新生代农民工就业质量，培养更多高素质技术技能人才、能工巧匠、大国工匠，加快新型城镇化建设和国家创新驱动发展战略具有重要意义。</w:t>
      </w:r>
    </w:p>
    <w:p>
      <w:pPr>
        <w:pStyle w:val="Heading2"/>
        <w:spacing w:before="120" w:after="120"/>
        <w:rPr>
          <w:rFonts w:ascii="幼圆" w:eastAsia="幼圆" w:hAnsi="幼圆" w:cs="幼圆" w:hint="eastAsia"/>
        </w:rPr>
      </w:pPr>
      <w:bookmarkStart w:id="5" w:name="_Toc15633"/>
      <w:r>
        <w:rPr>
          <w:rFonts w:ascii="幼圆" w:eastAsia="幼圆" w:hAnsi="幼圆" w:cs="幼圆" w:hint="eastAsia"/>
        </w:rPr>
        <w:t>1.</w:t>
      </w:r>
      <w:r>
        <w:rPr>
          <w:rFonts w:ascii="幼圆" w:eastAsia="幼圆" w:hAnsi="幼圆" w:cs="幼圆" w:hint="eastAsia"/>
        </w:rPr>
        <w:t xml:space="preserve">2 </w:t>
      </w:r>
      <w:r>
        <w:rPr>
          <w:rFonts w:ascii="幼圆" w:eastAsia="幼圆" w:hAnsi="幼圆" w:cs="幼圆" w:hint="eastAsia"/>
        </w:rPr>
        <w:t>研究内容和研究方法</w:t>
      </w:r>
      <w:bookmarkEnd w:id="5"/>
    </w:p>
    <w:p>
      <w:pPr>
        <w:pStyle w:val="Heading3"/>
        <w:ind w:firstLine="480"/>
        <w:rPr>
          <w:rFonts w:ascii="幼圆" w:eastAsia="幼圆" w:hAnsi="幼圆" w:cs="幼圆" w:hint="eastAsia"/>
        </w:rPr>
      </w:pPr>
      <w:r>
        <w:rPr>
          <w:rFonts w:ascii="幼圆" w:eastAsia="幼圆" w:hAnsi="幼圆" w:cs="幼圆" w:hint="eastAsia"/>
        </w:rPr>
        <w:t>1.</w:t>
      </w:r>
      <w:r>
        <w:rPr>
          <w:rFonts w:ascii="幼圆" w:eastAsia="幼圆" w:hAnsi="幼圆" w:cs="幼圆" w:hint="eastAsia"/>
        </w:rPr>
        <w:t>2</w:t>
      </w:r>
      <w:r>
        <w:rPr>
          <w:rFonts w:ascii="幼圆" w:eastAsia="幼圆" w:hAnsi="幼圆" w:cs="幼圆" w:hint="eastAsia"/>
        </w:rPr>
        <w:t>.</w:t>
      </w:r>
      <w:r>
        <w:rPr>
          <w:rFonts w:ascii="幼圆" w:eastAsia="幼圆" w:hAnsi="幼圆" w:cs="幼圆" w:hint="eastAsia"/>
        </w:rPr>
        <w:t xml:space="preserve">1 </w:t>
      </w:r>
      <w:r>
        <w:rPr>
          <w:rFonts w:ascii="幼圆" w:eastAsia="幼圆" w:hAnsi="幼圆" w:cs="幼圆" w:hint="eastAsia"/>
        </w:rPr>
        <w:t>研究内容</w:t>
      </w:r>
    </w:p>
    <w:p>
      <w:pPr>
        <w:ind w:firstLine="480"/>
        <w:rPr>
          <w:rFonts w:ascii="幼圆" w:eastAsia="幼圆" w:hAnsi="幼圆" w:cs="幼圆" w:hint="eastAsia"/>
          <w:color w:val="0D0D0D" w:themeColor="text1" w:themeTint="F2"/>
          <w14:textFill>
            <w14:solidFill>
              <w14:schemeClr w14:val="tx1">
                <w14:lumMod w14:val="95000"/>
                <w14:lumOff w14:val="5000"/>
              </w14:schemeClr>
            </w14:solidFill>
          </w14:textFill>
        </w:rPr>
      </w:pPr>
      <w:r>
        <w:rPr>
          <w:rFonts w:ascii="幼圆" w:eastAsia="幼圆" w:hAnsi="幼圆" w:cs="幼圆" w:hint="eastAsia"/>
          <w:color w:val="0D0D0D" w:themeColor="text1" w:themeTint="F2"/>
          <w14:textFill>
            <w14:solidFill>
              <w14:schemeClr w14:val="tx1">
                <w14:lumMod w14:val="95000"/>
                <w14:lumOff w14:val="5000"/>
              </w14:schemeClr>
            </w14:solidFill>
          </w14:textFill>
        </w:rPr>
        <w:t>本文以枣庄市</w:t>
      </w:r>
      <w:r>
        <w:rPr>
          <w:rFonts w:ascii="幼圆" w:eastAsia="幼圆" w:hAnsi="幼圆" w:cs="幼圆" w:hint="eastAsia"/>
          <w:color w:val="0D0D0D" w:themeColor="text1" w:themeTint="F2"/>
          <w:lang w:eastAsia="zh-CN"/>
          <w14:textFill>
            <w14:solidFill>
              <w14:schemeClr w14:val="tx1">
                <w14:lumMod w14:val="95000"/>
                <w14:lumOff w14:val="5000"/>
              </w14:schemeClr>
            </w14:solidFill>
          </w14:textFill>
        </w:rPr>
        <w:t>S</w:t>
      </w:r>
      <w:r>
        <w:rPr>
          <w:rFonts w:ascii="幼圆" w:eastAsia="幼圆" w:hAnsi="幼圆" w:cs="幼圆" w:hint="eastAsia"/>
          <w:color w:val="0D0D0D" w:themeColor="text1" w:themeTint="F2"/>
          <w14:textFill>
            <w14:solidFill>
              <w14:schemeClr w14:val="tx1">
                <w14:lumMod w14:val="95000"/>
                <w14:lumOff w14:val="5000"/>
              </w14:schemeClr>
            </w14:solidFill>
          </w14:textFill>
        </w:rPr>
        <w:t>区新生代农民工为研究对象，进行以下几个方面的研究：（1）新生代农民工职业培训的概念界定及理论基础。通过对相关概念的界定以及人力资本论和终身学习理论的论述，为本文的研究奠定基础。（2）</w:t>
      </w:r>
      <w:r>
        <w:rPr>
          <w:rFonts w:ascii="幼圆" w:eastAsia="幼圆" w:hAnsi="幼圆" w:cs="幼圆" w:hint="eastAsia"/>
          <w:color w:val="0D0D0D" w:themeColor="text1" w:themeTint="F2"/>
          <w:lang w:eastAsia="zh-CN"/>
          <w14:textFill>
            <w14:solidFill>
              <w14:schemeClr w14:val="tx1">
                <w14:lumMod w14:val="95000"/>
                <w14:lumOff w14:val="5000"/>
              </w14:schemeClr>
            </w14:solidFill>
          </w14:textFill>
        </w:rPr>
        <w:t>S</w:t>
      </w:r>
      <w:r>
        <w:rPr>
          <w:rFonts w:ascii="幼圆" w:eastAsia="幼圆" w:hAnsi="幼圆" w:cs="幼圆" w:hint="eastAsia"/>
          <w:color w:val="0D0D0D" w:themeColor="text1" w:themeTint="F2"/>
          <w14:textFill>
            <w14:solidFill>
              <w14:schemeClr w14:val="tx1">
                <w14:lumMod w14:val="95000"/>
                <w14:lumOff w14:val="5000"/>
              </w14:schemeClr>
            </w14:solidFill>
          </w14:textFill>
        </w:rPr>
        <w:t>区新生代农民工基本情况分析。通过对样本个体特征、工作情况及职业培训情况的相关数据的描述性统计分析，为进行模型构建提供分析基础。（3）结合问卷调查的数据分析，构建二元logistic回归模型，从个人因素、培训成本、培训收益三个层面对影响</w:t>
      </w:r>
      <w:r>
        <w:rPr>
          <w:rFonts w:ascii="幼圆" w:eastAsia="幼圆" w:hAnsi="幼圆" w:cs="幼圆" w:hint="eastAsia"/>
          <w:color w:val="0D0D0D" w:themeColor="text1" w:themeTint="F2"/>
          <w:lang w:eastAsia="zh-CN"/>
          <w14:textFill>
            <w14:solidFill>
              <w14:schemeClr w14:val="tx1">
                <w14:lumMod w14:val="95000"/>
                <w14:lumOff w14:val="5000"/>
              </w14:schemeClr>
            </w14:solidFill>
          </w14:textFill>
        </w:rPr>
        <w:t>S</w:t>
      </w:r>
      <w:r>
        <w:rPr>
          <w:rFonts w:ascii="幼圆" w:eastAsia="幼圆" w:hAnsi="幼圆" w:cs="幼圆" w:hint="eastAsia"/>
          <w:color w:val="0D0D0D" w:themeColor="text1" w:themeTint="F2"/>
          <w14:textFill>
            <w14:solidFill>
              <w14:schemeClr w14:val="tx1">
                <w14:lumMod w14:val="95000"/>
                <w14:lumOff w14:val="5000"/>
              </w14:schemeClr>
            </w14:solidFill>
          </w14:textFill>
        </w:rPr>
        <w:t>区新生代农民工参加职业培训的因素进行实证分析，确定最终影响因素。（4）针对实证分析得出的</w:t>
      </w:r>
      <w:r>
        <w:rPr>
          <w:rFonts w:ascii="幼圆" w:eastAsia="幼圆" w:hAnsi="幼圆" w:cs="幼圆" w:hint="eastAsia"/>
          <w:color w:val="0D0D0D" w:themeColor="text1" w:themeTint="F2"/>
          <w:lang w:eastAsia="zh-CN"/>
          <w14:textFill>
            <w14:solidFill>
              <w14:schemeClr w14:val="tx1">
                <w14:lumMod w14:val="95000"/>
                <w14:lumOff w14:val="5000"/>
              </w14:schemeClr>
            </w14:solidFill>
          </w14:textFill>
        </w:rPr>
        <w:t>S</w:t>
      </w:r>
      <w:r>
        <w:rPr>
          <w:rFonts w:ascii="幼圆" w:eastAsia="幼圆" w:hAnsi="幼圆" w:cs="幼圆" w:hint="eastAsia"/>
          <w:color w:val="0D0D0D" w:themeColor="text1" w:themeTint="F2"/>
          <w14:textFill>
            <w14:solidFill>
              <w14:schemeClr w14:val="tx1">
                <w14:lumMod w14:val="95000"/>
                <w14:lumOff w14:val="5000"/>
              </w14:schemeClr>
            </w14:solidFill>
          </w14:textFill>
        </w:rPr>
        <w:t>区新生代农民工参加职业培训意愿的影响因素，提出相关解决路径。</w:t>
      </w:r>
    </w:p>
    <w:p>
      <w:pPr>
        <w:pStyle w:val="Heading3"/>
        <w:ind w:firstLine="480"/>
        <w:rPr>
          <w:rFonts w:ascii="幼圆" w:eastAsia="幼圆" w:hAnsi="幼圆" w:cs="幼圆" w:hint="eastAsia"/>
        </w:rPr>
      </w:pPr>
      <w:r>
        <w:rPr>
          <w:rFonts w:ascii="幼圆" w:eastAsia="幼圆" w:hAnsi="幼圆" w:cs="幼圆" w:hint="eastAsia"/>
        </w:rPr>
        <w:t>1.</w:t>
      </w:r>
      <w:r>
        <w:rPr>
          <w:rFonts w:ascii="幼圆" w:eastAsia="幼圆" w:hAnsi="幼圆" w:cs="幼圆" w:hint="eastAsia"/>
        </w:rPr>
        <w:t>2</w:t>
      </w:r>
      <w:r>
        <w:rPr>
          <w:rFonts w:ascii="幼圆" w:eastAsia="幼圆" w:hAnsi="幼圆" w:cs="幼圆" w:hint="eastAsia"/>
        </w:rPr>
        <w:t>.</w:t>
      </w:r>
      <w:r>
        <w:rPr>
          <w:rFonts w:ascii="幼圆" w:eastAsia="幼圆" w:hAnsi="幼圆" w:cs="幼圆" w:hint="eastAsia"/>
        </w:rPr>
        <w:t xml:space="preserve">2 </w:t>
      </w:r>
      <w:r>
        <w:rPr>
          <w:rFonts w:ascii="幼圆" w:eastAsia="幼圆" w:hAnsi="幼圆" w:cs="幼圆" w:hint="eastAsia"/>
        </w:rPr>
        <w:t>研究方法</w:t>
      </w:r>
    </w:p>
    <w:p>
      <w:pPr>
        <w:ind w:right="-36" w:firstLine="480" w:rightChars="-15"/>
        <w:textAlignment w:val="baseline"/>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一）文献研究法：通过查阅期刊、书籍、报纸以及官方网站，收集和整理有关新生代农民工职业培训的相关资料文献，了解国内外有关农民工职业培训的研究现状，对相关研究进行总体评述，并通过归纳总结借鉴相关研究经验，提出针对</w:t>
      </w:r>
      <w:r>
        <w:rPr>
          <w:rFonts w:ascii="幼圆" w:eastAsia="幼圆" w:hAnsi="幼圆" w:cs="幼圆" w:hint="eastAsia"/>
          <w:color w:val="000000" w:themeColor="text1"/>
          <w:lang w:eastAsia="zh-CN"/>
          <w14:textFill>
            <w14:solidFill>
              <w14:schemeClr w14:val="tx1"/>
            </w14:solidFill>
          </w14:textFill>
        </w:rPr>
        <w:t>S</w:t>
      </w:r>
      <w:r>
        <w:rPr>
          <w:rFonts w:ascii="幼圆" w:eastAsia="幼圆" w:hAnsi="幼圆" w:cs="幼圆" w:hint="eastAsia"/>
          <w:color w:val="000000" w:themeColor="text1"/>
          <w14:textFill>
            <w14:solidFill>
              <w14:schemeClr w14:val="tx1"/>
            </w14:solidFill>
          </w14:textFill>
        </w:rPr>
        <w:t>区新生代农民工提升职业培训意愿的解决路径。</w:t>
      </w:r>
    </w:p>
    <w:p>
      <w:pPr>
        <w:ind w:right="-36" w:firstLine="480" w:rightChars="-15"/>
        <w:textAlignment w:val="baseline"/>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（二）调查研究法：采用问卷调查、走访调查等形式了解</w:t>
      </w:r>
      <w:r>
        <w:rPr>
          <w:rFonts w:ascii="幼圆" w:eastAsia="幼圆" w:hAnsi="幼圆" w:cs="幼圆" w:hint="eastAsia"/>
          <w:color w:val="000000" w:themeColor="text1"/>
          <w:lang w:eastAsia="zh-CN"/>
          <w14:textFill>
            <w14:solidFill>
              <w14:schemeClr w14:val="tx1"/>
            </w14:solidFill>
          </w14:textFill>
        </w:rPr>
        <w:t>S</w:t>
      </w:r>
      <w:r>
        <w:rPr>
          <w:rFonts w:ascii="幼圆" w:eastAsia="幼圆" w:hAnsi="幼圆" w:cs="幼圆" w:hint="eastAsia"/>
          <w:color w:val="000000" w:themeColor="text1"/>
          <w14:textFill>
            <w14:solidFill>
              <w14:schemeClr w14:val="tx1"/>
            </w14:solidFill>
          </w14:textFill>
        </w:rPr>
        <w:t>区新生代农民工职业培训现状，归纳存在的影响因素，为此次论文提供分析依据，帮助研究的进展。</w:t>
      </w:r>
    </w:p>
    <w:p>
      <w:pPr>
        <w:ind w:right="-36" w:firstLine="480" w:rightChars="-15"/>
        <w:textAlignment w:val="baseline"/>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（三）统计分析法：以</w:t>
      </w:r>
      <w:r>
        <w:rPr>
          <w:rFonts w:ascii="幼圆" w:eastAsia="幼圆" w:hAnsi="幼圆" w:cs="幼圆" w:hint="eastAsia"/>
          <w:color w:val="000000" w:themeColor="text1"/>
          <w:lang w:eastAsia="zh-CN"/>
          <w14:textFill>
            <w14:solidFill>
              <w14:schemeClr w14:val="tx1"/>
            </w14:solidFill>
          </w14:textFill>
        </w:rPr>
        <w:t>S</w:t>
      </w:r>
      <w:r>
        <w:rPr>
          <w:rFonts w:ascii="幼圆" w:eastAsia="幼圆" w:hAnsi="幼圆" w:cs="幼圆" w:hint="eastAsia"/>
          <w:color w:val="000000" w:themeColor="text1"/>
          <w14:textFill>
            <w14:solidFill>
              <w14:schemeClr w14:val="tx1"/>
            </w14:solidFill>
          </w14:textFill>
        </w:rPr>
        <w:t>区新生代农民工的问卷调查数据为基础，通过</w:t>
      </w:r>
      <w:r>
        <w:rPr>
          <w:rFonts w:ascii="幼圆" w:eastAsia="幼圆" w:hAnsi="幼圆" w:cs="幼圆" w:hint="eastAsia"/>
          <w:color w:val="000000" w:themeColor="text1"/>
          <w14:textFill>
            <w14:solidFill>
              <w14:schemeClr w14:val="tx1"/>
            </w14:solidFill>
          </w14:textFill>
        </w:rPr>
        <w:t>SPSS</w:t>
      </w:r>
      <w:r>
        <w:rPr>
          <w:rFonts w:ascii="幼圆" w:eastAsia="幼圆" w:hAnsi="幼圆" w:cs="幼圆" w:hint="eastAsia"/>
          <w:color w:val="000000" w:themeColor="text1"/>
          <w14:textFill>
            <w14:solidFill>
              <w14:schemeClr w14:val="tx1"/>
            </w14:solidFill>
          </w14:textFill>
        </w:rPr>
        <w:t>（2</w:t>
      </w:r>
      <w:r>
        <w:rPr>
          <w:rFonts w:ascii="幼圆" w:eastAsia="幼圆" w:hAnsi="幼圆" w:cs="幼圆" w:hint="eastAsia"/>
          <w:color w:val="000000" w:themeColor="text1"/>
          <w14:textFill>
            <w14:solidFill>
              <w14:schemeClr w14:val="tx1"/>
            </w14:solidFill>
          </w14:textFill>
        </w:rPr>
        <w:t>1</w:t>
      </w:r>
      <w:r>
        <w:rPr>
          <w:rFonts w:ascii="幼圆" w:eastAsia="幼圆" w:hAnsi="幼圆" w:cs="幼圆" w:hint="eastAsia"/>
          <w:color w:val="000000" w:themeColor="text1"/>
          <w14:textFill>
            <w14:solidFill>
              <w14:schemeClr w14:val="tx1"/>
            </w14:solidFill>
          </w14:textFill>
        </w:rPr>
        <w:t>.</w:t>
      </w:r>
      <w:r>
        <w:rPr>
          <w:rFonts w:ascii="幼圆" w:eastAsia="幼圆" w:hAnsi="幼圆" w:cs="幼圆" w:hint="eastAsia"/>
          <w:color w:val="000000" w:themeColor="text1"/>
          <w14:textFill>
            <w14:solidFill>
              <w14:schemeClr w14:val="tx1"/>
            </w14:solidFill>
          </w14:textFill>
        </w:rPr>
        <w:t>0</w:t>
      </w:r>
      <w:r>
        <w:rPr>
          <w:rFonts w:ascii="幼圆" w:eastAsia="幼圆" w:hAnsi="幼圆" w:cs="幼圆" w:hint="eastAsia"/>
          <w:color w:val="000000" w:themeColor="text1"/>
          <w14:textFill>
            <w14:solidFill>
              <w14:schemeClr w14:val="tx1"/>
            </w14:solidFill>
          </w14:textFill>
        </w:rPr>
        <w:t>）软件，建立二元logistic回归分析模型进行分析，探究显著性影响因素。</w:t>
      </w:r>
    </w:p>
    <w:p>
      <w:pPr>
        <w:pStyle w:val="Heading2"/>
        <w:spacing w:before="120" w:after="120"/>
        <w:rPr>
          <w:rFonts w:ascii="幼圆" w:eastAsia="幼圆" w:hAnsi="幼圆" w:cs="幼圆" w:hint="eastAsia"/>
        </w:rPr>
      </w:pPr>
      <w:bookmarkStart w:id="6" w:name="_Toc25119"/>
      <w:r>
        <w:rPr>
          <w:rFonts w:ascii="幼圆" w:eastAsia="幼圆" w:hAnsi="幼圆" w:cs="幼圆" w:hint="eastAsia"/>
        </w:rPr>
        <w:t>1.</w:t>
      </w:r>
      <w:r>
        <w:rPr>
          <w:rFonts w:ascii="幼圆" w:eastAsia="幼圆" w:hAnsi="幼圆" w:cs="幼圆" w:hint="eastAsia"/>
        </w:rPr>
        <w:t xml:space="preserve">3 </w:t>
      </w:r>
      <w:r>
        <w:rPr>
          <w:rFonts w:ascii="幼圆" w:eastAsia="幼圆" w:hAnsi="幼圆" w:cs="幼圆" w:hint="eastAsia"/>
        </w:rPr>
        <w:t>新生代农民工职业培训的研究现状</w:t>
      </w:r>
      <w:bookmarkEnd w:id="6"/>
    </w:p>
    <w:p>
      <w:pPr>
        <w:pStyle w:val="Heading3"/>
        <w:ind w:firstLine="480"/>
        <w:rPr>
          <w:rFonts w:ascii="幼圆" w:eastAsia="幼圆" w:hAnsi="幼圆" w:cs="幼圆" w:hint="eastAsia"/>
        </w:rPr>
      </w:pPr>
      <w:r>
        <w:rPr>
          <w:rFonts w:ascii="幼圆" w:eastAsia="幼圆" w:hAnsi="幼圆" w:cs="幼圆" w:hint="eastAsia"/>
        </w:rPr>
        <w:t>1.</w:t>
      </w:r>
      <w:r>
        <w:rPr>
          <w:rFonts w:ascii="幼圆" w:eastAsia="幼圆" w:hAnsi="幼圆" w:cs="幼圆" w:hint="eastAsia"/>
        </w:rPr>
        <w:t>3</w:t>
      </w:r>
      <w:r>
        <w:rPr>
          <w:rFonts w:ascii="幼圆" w:eastAsia="幼圆" w:hAnsi="幼圆" w:cs="幼圆" w:hint="eastAsia"/>
        </w:rPr>
        <w:t>.</w:t>
      </w:r>
      <w:r>
        <w:rPr>
          <w:rFonts w:ascii="幼圆" w:eastAsia="幼圆" w:hAnsi="幼圆" w:cs="幼圆" w:hint="eastAsia"/>
        </w:rPr>
        <w:t xml:space="preserve">1 </w:t>
      </w:r>
      <w:r>
        <w:rPr>
          <w:rFonts w:ascii="幼圆" w:eastAsia="幼圆" w:hAnsi="幼圆" w:cs="幼圆" w:hint="eastAsia"/>
        </w:rPr>
        <w:t>国内研究现状</w:t>
      </w:r>
    </w:p>
    <w:p>
      <w:pPr>
        <w:ind w:firstLine="480"/>
        <w:rPr>
          <w:rFonts w:ascii="幼圆" w:eastAsia="幼圆" w:hAnsi="幼圆" w:cs="幼圆" w:hint="eastAsia"/>
        </w:rPr>
        <w:sectPr>
          <w:headerReference w:type="default" r:id="rId10"/>
          <w:footerReference w:type="default" r:id="rId11"/>
          <w:type w:val="nextPage"/>
          <w:pgSz w:w="11906" w:h="16838"/>
          <w:pgMar w:top="1038" w:right="782" w:bottom="1179" w:left="1202" w:header="851" w:footer="851" w:gutter="0"/>
          <w:pgNumType w:start="3"/>
          <w:cols w:num="1" w:space="425"/>
          <w:titlePg w:val="0"/>
          <w:docGrid w:linePitch="326" w:charSpace="0"/>
        </w:sectPr>
      </w:pPr>
      <w:r>
        <w:rPr>
          <w:rFonts w:ascii="幼圆" w:eastAsia="幼圆" w:hAnsi="幼圆" w:cs="幼圆" w:hint="eastAsia"/>
        </w:rPr>
        <w:t>关于进行职业培训必要性的研究。张毓龙和刘超杰（2</w:t>
      </w:r>
      <w:r>
        <w:rPr>
          <w:rFonts w:ascii="幼圆" w:eastAsia="幼圆" w:hAnsi="幼圆" w:cs="幼圆" w:hint="eastAsia"/>
        </w:rPr>
        <w:t>020</w:t>
      </w:r>
      <w:r>
        <w:rPr>
          <w:rFonts w:ascii="幼圆" w:eastAsia="幼圆" w:hAnsi="幼圆" w:cs="幼圆" w:hint="eastAsia"/>
        </w:rPr>
        <w:t>）认为，在城乡二元结构背景下，对农民工群体进行培训，有助于从根本上解决农民工的就业问题、推进形成体现社会公平的劳动力市场、实现农民工群体的教育公平。于云波和俞林（2</w:t>
      </w:r>
      <w:r>
        <w:rPr>
          <w:rFonts w:ascii="幼圆" w:eastAsia="幼圆" w:hAnsi="幼圆" w:cs="幼圆" w:hint="eastAsia"/>
        </w:rPr>
        <w:t>017</w:t>
      </w:r>
    </w:p>
    <w:p>
      <w:pPr>
        <w:ind w:firstLine="480"/>
        <w:rPr>
          <w:rFonts w:ascii="幼圆" w:eastAsia="幼圆" w:hAnsi="幼圆" w:cs="幼圆" w:hint="eastAsia"/>
        </w:rPr>
      </w:pPr>
      <w:r>
        <w:rPr>
          <w:rFonts w:ascii="幼圆" w:eastAsia="幼圆" w:hAnsi="幼圆" w:cs="幼圆" w:hint="eastAsia"/>
        </w:rPr>
        <w:t>）认为作为农民工群体中技能素质较高的群体，新生代农民工群体更期望融入城市、共享发展成果，而进行正规职业培训可以帮助其更好融入城市、更好的满足其生活观与就业观，同时可以解决产业转型升级对于劳动力的人才需求。</w:t>
      </w:r>
    </w:p>
    <w:p>
      <w:pPr>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rPr>
        <w:t>关于职业意愿影响因素的研究。在对农民工的职业意愿影响因素研究中，学者大都采用实证分析的方法。刘三林和明娟（2020）基于佛山市南海区的调查数据分析得出，企业类型、受教育程度以及工作岗位对农民工在职技能培训影响显著。齐小兵和候景娟（2</w:t>
      </w:r>
      <w:r>
        <w:rPr>
          <w:rFonts w:ascii="幼圆" w:eastAsia="幼圆" w:hAnsi="幼圆" w:cs="幼圆" w:hint="eastAsia"/>
        </w:rPr>
        <w:t>017</w:t>
      </w:r>
      <w:r>
        <w:rPr>
          <w:rFonts w:ascii="幼圆" w:eastAsia="幼圆" w:hAnsi="幼圆" w:cs="幼圆" w:hint="eastAsia"/>
        </w:rPr>
        <w:t>）在对江西省农民工调查研究后认为，年龄、性别、受教育程度、月收入水平、培训成本以及对职业培训学校的认知与评价等因素对农民工参与职业培训意愿影响较大。朱珠，闫佳祺和贾建锋（2</w:t>
      </w:r>
      <w:r>
        <w:rPr>
          <w:rFonts w:ascii="幼圆" w:eastAsia="幼圆" w:hAnsi="幼圆" w:cs="幼圆" w:hint="eastAsia"/>
        </w:rPr>
        <w:t>017</w:t>
      </w:r>
      <w:r>
        <w:rPr>
          <w:rFonts w:ascii="幼圆" w:eastAsia="幼圆" w:hAnsi="幼圆" w:cs="幼圆" w:hint="eastAsia"/>
        </w:rPr>
        <w:t>）根据辽宁省1</w:t>
      </w:r>
      <w:r>
        <w:rPr>
          <w:rFonts w:ascii="幼圆" w:eastAsia="幼圆" w:hAnsi="幼圆" w:cs="幼圆" w:hint="eastAsia"/>
        </w:rPr>
        <w:t>4</w:t>
      </w:r>
      <w:r>
        <w:rPr>
          <w:rFonts w:ascii="幼圆" w:eastAsia="幼圆" w:hAnsi="幼圆" w:cs="幼圆" w:hint="eastAsia"/>
        </w:rPr>
        <w:t>个市的新生代农民工的问卷调查数据，从个体特征、工作状况、行业类别三个方面进行实证分析指出，影响新生代农民工职业教育培训参与度的因素主要有:年龄、文化程度和婚姻状况；行业类型、工作收入和工作年限；社会的主观支持、客观支持和支持利用度。</w:t>
      </w:r>
      <w:r>
        <w:rPr>
          <w:rFonts w:ascii="幼圆" w:eastAsia="幼圆" w:hAnsi="幼圆" w:cs="幼圆" w:hint="eastAsia"/>
          <w:color w:val="000000" w:themeColor="text1"/>
          <w14:textFill>
            <w14:solidFill>
              <w14:schemeClr w14:val="tx1"/>
            </w14:solidFill>
          </w14:textFill>
        </w:rPr>
        <w:t>倪亦孙和郑安怡（2016）运用二元logistic模型对浙江省诸暨市、德清县等地的124份农民工职业培训问卷数据进行实证分析，发现农民工自身环境如年龄、年龄、性别、受教育程度和来源地与社会条件如换工作次数等对其参与培训意愿有着重要影响。</w:t>
      </w:r>
      <w:r>
        <w:rPr>
          <w:rFonts w:ascii="幼圆" w:eastAsia="幼圆" w:hAnsi="幼圆" w:cs="幼圆" w:hint="eastAsia"/>
        </w:rPr>
        <w:t>周小刚（2</w:t>
      </w:r>
      <w:r>
        <w:rPr>
          <w:rFonts w:ascii="幼圆" w:eastAsia="幼圆" w:hAnsi="幼圆" w:cs="幼圆" w:hint="eastAsia"/>
        </w:rPr>
        <w:t>014</w:t>
      </w:r>
      <w:r>
        <w:rPr>
          <w:rFonts w:ascii="幼圆" w:eastAsia="幼圆" w:hAnsi="幼圆" w:cs="幼圆" w:hint="eastAsia"/>
        </w:rPr>
        <w:t>）通过对职业培训质量的研究后指出，培训时间、培训费用、培训课程设置以及教师水平影响了新生代农民工参与职业培训。赵艺文、梁倩倩和李珊（2013）基于全国8个省市的调查数据，对涉及新生代农民工个人特征、工作特征、职业经历特征三个方面的八个影响因素实证分析后得出性别、受教育年限、职业、职位、外出务工的目的和打工年限对新生代农民工参与职业培训具有显著影响。</w:t>
      </w:r>
    </w:p>
    <w:p>
      <w:pPr>
        <w:ind w:firstLine="480"/>
        <w:rPr>
          <w:rFonts w:ascii="幼圆" w:eastAsia="幼圆" w:hAnsi="幼圆" w:cs="幼圆" w:hint="eastAsia"/>
        </w:rPr>
      </w:pPr>
      <w:r>
        <w:rPr>
          <w:rFonts w:ascii="幼圆" w:eastAsia="幼圆" w:hAnsi="幼圆" w:cs="幼圆" w:hint="eastAsia"/>
        </w:rPr>
        <w:t>关于提升职业培训意愿的对策研究。汪嵘明（2019）认为若想提升新生代农民工参与职业培训的积极性，一是要强化政府的主导地位，二是要优化培训机构的师资队伍。勒伟（2016）认为企业应认识到职业培训带来的积极作用，加大培训经费的投入，改善培训方式，完善农民工的终身学习体系。薛春霞和朱云龙（2015）根据新生代农民工的职业培训现状和需求分析认为，职业培训应以政府为主导，企业为主力军，加强与各类职业学校、培训机构的合作。孙金锋（2011）认为，为促使新生代农民工转变职业培训观念，政府应加强宣传教育，提升其参与培训的积极性。</w:t>
      </w:r>
    </w:p>
    <w:p>
      <w:pPr>
        <w:pStyle w:val="Heading3"/>
        <w:ind w:firstLine="480"/>
        <w:rPr>
          <w:rFonts w:ascii="幼圆" w:eastAsia="幼圆" w:hAnsi="幼圆" w:cs="幼圆" w:hint="eastAsia"/>
        </w:rPr>
      </w:pPr>
      <w:r>
        <w:rPr>
          <w:rFonts w:ascii="幼圆" w:eastAsia="幼圆" w:hAnsi="幼圆" w:cs="幼圆" w:hint="eastAsia"/>
        </w:rPr>
        <w:t>1.</w:t>
      </w:r>
      <w:r>
        <w:rPr>
          <w:rFonts w:ascii="幼圆" w:eastAsia="幼圆" w:hAnsi="幼圆" w:cs="幼圆" w:hint="eastAsia"/>
        </w:rPr>
        <w:t>3</w:t>
      </w:r>
      <w:r>
        <w:rPr>
          <w:rFonts w:ascii="幼圆" w:eastAsia="幼圆" w:hAnsi="幼圆" w:cs="幼圆" w:hint="eastAsia"/>
        </w:rPr>
        <w:t>.</w:t>
      </w:r>
      <w:r>
        <w:rPr>
          <w:rFonts w:ascii="幼圆" w:eastAsia="幼圆" w:hAnsi="幼圆" w:cs="幼圆" w:hint="eastAsia"/>
        </w:rPr>
        <w:t xml:space="preserve">2 </w:t>
      </w:r>
      <w:r>
        <w:rPr>
          <w:rFonts w:ascii="幼圆" w:eastAsia="幼圆" w:hAnsi="幼圆" w:cs="幼圆" w:hint="eastAsia"/>
        </w:rPr>
        <w:t>国外研究现状</w:t>
      </w:r>
    </w:p>
    <w:p>
      <w:pPr>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“农民工”是我国城乡二元体制下的特有产物，国外对此类研究相对较少，但国外关于农民职业培训相关内容的研究起步较早，较为全面，可供我们借鉴思考。</w:t>
      </w:r>
    </w:p>
    <w:p>
      <w:pPr>
        <w:ind w:firstLine="480"/>
        <w:rPr>
          <w:rFonts w:ascii="幼圆" w:eastAsia="幼圆" w:hAnsi="幼圆" w:cs="幼圆" w:hint="eastAsia"/>
          <w:color w:val="000000" w:themeColor="text1"/>
          <w14:textFill>
            <w14:solidFill>
              <w14:schemeClr w14:val="tx1"/>
            </w14:solidFill>
          </w14:textFill>
        </w:rPr>
        <w:sectPr>
          <w:headerReference w:type="default" r:id="rId12"/>
          <w:footerReference w:type="default" r:id="rId13"/>
          <w:type w:val="nextPage"/>
          <w:pgSz w:w="11906" w:h="16838"/>
          <w:pgMar w:top="1038" w:right="782" w:bottom="1179" w:left="1202" w:header="851" w:footer="851" w:gutter="0"/>
          <w:pgNumType w:start="4"/>
          <w:cols w:num="1" w:space="425"/>
          <w:titlePg w:val="0"/>
          <w:docGrid w:linePitch="326" w:charSpace="0"/>
        </w:sectPr>
      </w:pPr>
      <w:r>
        <w:rPr>
          <w:rFonts w:ascii="幼圆" w:eastAsia="幼圆" w:hAnsi="幼圆" w:cs="幼圆" w:hint="eastAsia"/>
          <w:color w:val="000000" w:themeColor="text1"/>
          <w14:textFill>
            <w14:solidFill>
              <w14:schemeClr w14:val="tx1"/>
            </w14:solidFill>
          </w14:textFill>
        </w:rPr>
        <w:t>关于农民职业培训收益的研究。</w:t>
      </w:r>
      <w:r>
        <w:rPr>
          <w:rFonts w:ascii="幼圆" w:eastAsia="幼圆" w:hAnsi="幼圆" w:cs="幼圆" w:hint="eastAsia"/>
          <w:color w:val="000000" w:themeColor="text1"/>
          <w14:textFill>
            <w14:solidFill>
              <w14:schemeClr w14:val="tx1"/>
            </w14:solidFill>
          </w14:textFill>
        </w:rPr>
        <w:t>H</w:t>
      </w:r>
      <w:r>
        <w:rPr>
          <w:rFonts w:ascii="幼圆" w:eastAsia="幼圆" w:hAnsi="幼圆" w:cs="幼圆" w:hint="eastAsia"/>
          <w:color w:val="000000" w:themeColor="text1"/>
          <w14:textFill>
            <w14:solidFill>
              <w14:schemeClr w14:val="tx1"/>
            </w14:solidFill>
          </w14:textFill>
        </w:rPr>
        <w:t>ansen（2</w:t>
      </w:r>
      <w:r>
        <w:rPr>
          <w:rFonts w:ascii="幼圆" w:eastAsia="幼圆" w:hAnsi="幼圆" w:cs="幼圆" w:hint="eastAsia"/>
          <w:color w:val="000000" w:themeColor="text1"/>
          <w14:textFill>
            <w14:solidFill>
              <w14:schemeClr w14:val="tx1"/>
            </w14:solidFill>
          </w14:textFill>
        </w:rPr>
        <w:t>015</w:t>
      </w:r>
      <w:r>
        <w:rPr>
          <w:rFonts w:ascii="幼圆" w:eastAsia="幼圆" w:hAnsi="幼圆" w:cs="幼圆" w:hint="eastAsia"/>
          <w:color w:val="000000" w:themeColor="text1"/>
          <w14:textFill>
            <w14:solidFill>
              <w14:schemeClr w14:val="tx1"/>
            </w14:solidFill>
          </w14:textFill>
        </w:rPr>
        <w:t>）等在运用访谈法和统计分析，对来自挪威5个奶牛养殖区的9</w:t>
      </w:r>
      <w:r>
        <w:rPr>
          <w:rFonts w:ascii="幼圆" w:eastAsia="幼圆" w:hAnsi="幼圆" w:cs="幼圆" w:hint="eastAsia"/>
          <w:color w:val="000000" w:themeColor="text1"/>
          <w14:textFill>
            <w14:solidFill>
              <w14:schemeClr w14:val="tx1"/>
            </w14:solidFill>
          </w14:textFill>
        </w:rPr>
        <w:t>0</w:t>
      </w:r>
      <w:r>
        <w:rPr>
          <w:rFonts w:ascii="幼圆" w:eastAsia="幼圆" w:hAnsi="幼圆" w:cs="幼圆" w:hint="eastAsia"/>
          <w:color w:val="000000" w:themeColor="text1"/>
          <w14:textFill>
            <w14:solidFill>
              <w14:schemeClr w14:val="tx1"/>
            </w14:solidFill>
          </w14:textFill>
        </w:rPr>
        <w:t>名农民进行研究发现，接受过农学教育培训的人比未参加过农学教育培训的人拥有更高的收入。Brinia（</w:t>
      </w:r>
      <w:r>
        <w:rPr>
          <w:rFonts w:ascii="幼圆" w:eastAsia="幼圆" w:hAnsi="幼圆" w:cs="幼圆" w:hint="eastAsia"/>
          <w:color w:val="000000" w:themeColor="text1"/>
          <w14:textFill>
            <w14:solidFill>
              <w14:schemeClr w14:val="tx1"/>
            </w14:solidFill>
          </w14:textFill>
        </w:rPr>
        <w:t>2015</w:t>
      </w:r>
      <w:r>
        <w:rPr>
          <w:rFonts w:ascii="幼圆" w:eastAsia="幼圆" w:hAnsi="幼圆" w:cs="幼圆" w:hint="eastAsia"/>
          <w:color w:val="000000" w:themeColor="text1"/>
          <w14:textFill>
            <w14:solidFill>
              <w14:schemeClr w14:val="tx1"/>
            </w14:solidFill>
          </w14:textFill>
        </w:rPr>
        <w:t>）在对希腊</w:t>
      </w:r>
      <w:r>
        <w:rPr>
          <w:rFonts w:ascii="幼圆" w:eastAsia="幼圆" w:hAnsi="幼圆" w:cs="幼圆" w:hint="eastAsia"/>
          <w:color w:val="000000" w:themeColor="text1"/>
          <w14:textFill>
            <w14:solidFill>
              <w14:schemeClr w14:val="tx1"/>
            </w14:solidFill>
          </w14:textFill>
        </w:rPr>
        <w:t>40</w:t>
      </w:r>
    </w:p>
    <w:p>
      <w:pPr>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岁以下的农民调研时发现当地年轻农民对农民职业培训的看法总体上呈积极态度。Gavin</w:t>
      </w:r>
      <w:r>
        <w:rPr>
          <w:rFonts w:ascii="幼圆" w:eastAsia="幼圆" w:hAnsi="幼圆" w:cs="幼圆" w:hint="eastAsia"/>
          <w:color w:val="000000" w:themeColor="text1"/>
          <w14:textFill>
            <w14:solidFill>
              <w14:schemeClr w14:val="tx1"/>
            </w14:solidFill>
          </w14:textFill>
        </w:rPr>
        <w:t xml:space="preserve"> Pereira等（2014）通过对澳大利亚的相关数据分析发现，加强对农民的职业教育可以增加他们在原料作物方面收入和工资性收入。</w:t>
      </w:r>
    </w:p>
    <w:p>
      <w:pPr>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关于农民职业培训问题解决路径的研究。Simon</w:t>
      </w:r>
      <w:r>
        <w:rPr>
          <w:rFonts w:ascii="幼圆" w:eastAsia="幼圆" w:hAnsi="幼圆" w:cs="幼圆" w:hint="eastAsia"/>
          <w:color w:val="000000" w:themeColor="text1"/>
          <w14:textFill>
            <w14:solidFill>
              <w14:schemeClr w14:val="tx1"/>
            </w14:solidFill>
          </w14:textFill>
        </w:rPr>
        <w:t xml:space="preserve"> </w:t>
      </w:r>
      <w:r>
        <w:rPr>
          <w:rFonts w:ascii="幼圆" w:eastAsia="幼圆" w:hAnsi="幼圆" w:cs="幼圆" w:hint="eastAsia"/>
          <w:color w:val="000000" w:themeColor="text1"/>
          <w14:textFill>
            <w14:solidFill>
              <w14:schemeClr w14:val="tx1"/>
            </w14:solidFill>
          </w14:textFill>
        </w:rPr>
        <w:t>J.</w:t>
      </w:r>
      <w:r>
        <w:rPr>
          <w:rFonts w:ascii="幼圆" w:eastAsia="幼圆" w:hAnsi="幼圆" w:cs="幼圆" w:hint="eastAsia"/>
          <w:color w:val="000000" w:themeColor="text1"/>
          <w14:textFill>
            <w14:solidFill>
              <w14:schemeClr w14:val="tx1"/>
            </w14:solidFill>
          </w14:textFill>
        </w:rPr>
        <w:t xml:space="preserve"> </w:t>
      </w:r>
      <w:r>
        <w:rPr>
          <w:rFonts w:ascii="幼圆" w:eastAsia="幼圆" w:hAnsi="幼圆" w:cs="幼圆" w:hint="eastAsia"/>
          <w:color w:val="000000" w:themeColor="text1"/>
          <w14:textFill>
            <w14:solidFill>
              <w14:schemeClr w14:val="tx1"/>
            </w14:solidFill>
          </w14:textFill>
        </w:rPr>
        <w:t>Fielke等（2014）在对澳大利亚职业农民培训体系的研究中认为正规教育对提高农民职业水平及自身竞争力具有重要作用，澳大利亚要高度加强职业农民培训，完善农民培训的机制或体系，稳定农民的持续收入，从而提高农民职业素质。Niewolny等（2016）通过对具体实例研究后指出现阶段农民教育模式发生了新的变化。针对农民的职业培训应该在原有基础上扩大范围和课程种类。Tomoya Kishioka （2017）在分析日本农村问题时认为，给予农民经济鼓励是提高农民培训参与度的关键，若想提高农民培训的质量，首先应做好对其培训的经济支持。</w:t>
      </w:r>
    </w:p>
    <w:p>
      <w:pPr>
        <w:pStyle w:val="Heading3"/>
        <w:ind w:firstLine="480"/>
        <w:rPr>
          <w:rFonts w:ascii="幼圆" w:eastAsia="幼圆" w:hAnsi="幼圆" w:cs="幼圆" w:hint="eastAsia"/>
        </w:rPr>
      </w:pPr>
      <w:r>
        <w:rPr>
          <w:rFonts w:ascii="幼圆" w:eastAsia="幼圆" w:hAnsi="幼圆" w:cs="幼圆" w:hint="eastAsia"/>
        </w:rPr>
        <w:t>1.</w:t>
      </w:r>
      <w:r>
        <w:rPr>
          <w:rFonts w:ascii="幼圆" w:eastAsia="幼圆" w:hAnsi="幼圆" w:cs="幼圆" w:hint="eastAsia"/>
        </w:rPr>
        <w:t>3</w:t>
      </w:r>
      <w:r>
        <w:rPr>
          <w:rFonts w:ascii="幼圆" w:eastAsia="幼圆" w:hAnsi="幼圆" w:cs="幼圆" w:hint="eastAsia"/>
        </w:rPr>
        <w:t>.</w:t>
      </w:r>
      <w:r>
        <w:rPr>
          <w:rFonts w:ascii="幼圆" w:eastAsia="幼圆" w:hAnsi="幼圆" w:cs="幼圆" w:hint="eastAsia"/>
        </w:rPr>
        <w:t xml:space="preserve">3 </w:t>
      </w:r>
      <w:r>
        <w:rPr>
          <w:rFonts w:ascii="幼圆" w:eastAsia="幼圆" w:hAnsi="幼圆" w:cs="幼圆" w:hint="eastAsia"/>
        </w:rPr>
        <w:t>总体评述</w:t>
      </w:r>
    </w:p>
    <w:p>
      <w:pPr>
        <w:ind w:right="-36" w:firstLine="480" w:rightChars="-15"/>
        <w:textAlignment w:val="baseline"/>
        <w:rPr>
          <w:rFonts w:ascii="幼圆" w:eastAsia="幼圆" w:hAnsi="幼圆" w:cs="幼圆" w:hint="eastAsia"/>
          <w:color w:val="000000" w:themeColor="text1"/>
          <w14:textFill>
            <w14:solidFill>
              <w14:schemeClr w14:val="tx1"/>
            </w14:solidFill>
          </w14:textFill>
        </w:rPr>
        <w:sectPr>
          <w:headerReference w:type="default" r:id="rId14"/>
          <w:footerReference w:type="default" r:id="rId15"/>
          <w:type w:val="nextPage"/>
          <w:pgSz w:w="11906" w:h="16838"/>
          <w:pgMar w:top="1038" w:right="782" w:bottom="1179" w:left="1202" w:header="851" w:footer="851" w:gutter="0"/>
          <w:pgNumType w:start="5"/>
          <w:cols w:num="1" w:space="425"/>
          <w:titlePg w:val="0"/>
          <w:docGrid w:linePitch="326" w:charSpace="0"/>
        </w:sectPr>
      </w:pPr>
      <w:r>
        <w:rPr>
          <w:rFonts w:ascii="幼圆" w:eastAsia="幼圆" w:hAnsi="幼圆" w:cs="幼圆" w:hint="eastAsia"/>
          <w:color w:val="000000" w:themeColor="text1"/>
          <w14:textFill>
            <w14:solidFill>
              <w14:schemeClr w14:val="tx1"/>
            </w14:solidFill>
          </w14:textFill>
        </w:rPr>
        <w:t>综上可以看出，国内外的学者们对职业培训积极性作用、职业培训参与度的影响因素和提升职业培训质量的对策等进行了多方面较为完善的研究。关于职业培训的积极性作用研究，无论是国内学者还是国外学者，都肯定了职业培训教育对于社会经济及个人发展的重要性和积极性</w:t>
      </w:r>
      <w:r>
        <w:rPr>
          <w:rFonts w:ascii="幼圆" w:eastAsia="幼圆" w:hAnsi="幼圆" w:cs="幼圆" w:hint="eastAsia"/>
        </w:rPr>
        <w:t>，针对农民工群体开展职业培训，既可以保证他们的就业质量，促进自身职业素质的提升，也可以填补高素质技能的人才缺口，促进社会经济发展</w:t>
      </w:r>
      <w:r>
        <w:rPr>
          <w:rFonts w:ascii="幼圆" w:eastAsia="幼圆" w:hAnsi="幼圆" w:cs="幼圆" w:hint="eastAsia"/>
          <w:color w:val="000000" w:themeColor="text1"/>
          <w14:textFill>
            <w14:solidFill>
              <w14:schemeClr w14:val="tx1"/>
            </w14:solidFill>
          </w14:textFill>
        </w:rPr>
        <w:t>。在关于新生代农民工参与职业培训意愿影响因素的研究中，国内学者大都采用实证分析的方法，影响因素大体都集中在农民工自身、工作环境以及培训课程的设置等方面，且新生代农民工职业培训意愿的影响因素存在地区差异，值得进一步探索研究。关于提升职业培训质量的对策研究中，国内外学者的研究主要围绕政府与企业，从职业培训观念、培训资金支持、完善培训体系和合理设置培训课程等方面进行了合理建议。基于以上文献，本文将结合枣庄市</w:t>
      </w:r>
      <w:r>
        <w:rPr>
          <w:rFonts w:ascii="幼圆" w:eastAsia="幼圆" w:hAnsi="幼圆" w:cs="幼圆" w:hint="eastAsia"/>
          <w:color w:val="000000" w:themeColor="text1"/>
          <w:lang w:eastAsia="zh-CN"/>
          <w14:textFill>
            <w14:solidFill>
              <w14:schemeClr w14:val="tx1"/>
            </w14:solidFill>
          </w14:textFill>
        </w:rPr>
        <w:t>S</w:t>
      </w:r>
      <w:r>
        <w:rPr>
          <w:rFonts w:ascii="幼圆" w:eastAsia="幼圆" w:hAnsi="幼圆" w:cs="幼圆" w:hint="eastAsia"/>
          <w:color w:val="000000" w:themeColor="text1"/>
          <w14:textFill>
            <w14:solidFill>
              <w14:schemeClr w14:val="tx1"/>
            </w14:solidFill>
          </w14:textFill>
        </w:rPr>
        <w:t>区的新生代农民工特征及职业培训现状，进行相关分析，找出影响其参与职业培训意愿的影响因素，并提出针对性建议。</w:t>
      </w:r>
    </w:p>
    <w:bookmarkEnd w:id="0"/>
    <w:p>
      <w:pPr>
        <w:pStyle w:val="Heading1"/>
        <w:spacing w:after="240"/>
        <w:rPr>
          <w:rFonts w:ascii="幼圆" w:eastAsia="幼圆" w:hAnsi="幼圆" w:cs="幼圆" w:hint="eastAsia"/>
        </w:rPr>
      </w:pPr>
      <w:bookmarkStart w:id="7" w:name="_Toc11086"/>
      <w:r>
        <w:rPr>
          <w:rFonts w:ascii="幼圆" w:eastAsia="幼圆" w:hAnsi="幼圆" w:cs="幼圆" w:hint="eastAsia"/>
        </w:rPr>
        <w:t>第二章 相关概念界定及理论基础</w:t>
      </w:r>
      <w:bookmarkEnd w:id="7"/>
    </w:p>
    <w:p>
      <w:pPr>
        <w:pStyle w:val="Heading2"/>
        <w:spacing w:before="120" w:after="120"/>
        <w:rPr>
          <w:rFonts w:ascii="幼圆" w:eastAsia="幼圆" w:hAnsi="幼圆" w:cs="幼圆" w:hint="eastAsia"/>
        </w:rPr>
      </w:pPr>
      <w:bookmarkStart w:id="8" w:name="_Toc5739"/>
      <w:r>
        <w:rPr>
          <w:rFonts w:ascii="幼圆" w:eastAsia="幼圆" w:hAnsi="幼圆" w:cs="幼圆" w:hint="eastAsia"/>
        </w:rPr>
        <w:t>2</w:t>
      </w:r>
      <w:r>
        <w:rPr>
          <w:rFonts w:ascii="幼圆" w:eastAsia="幼圆" w:hAnsi="幼圆" w:cs="幼圆" w:hint="eastAsia"/>
        </w:rPr>
        <w:t>.</w:t>
      </w:r>
      <w:r>
        <w:rPr>
          <w:rFonts w:ascii="幼圆" w:eastAsia="幼圆" w:hAnsi="幼圆" w:cs="幼圆" w:hint="eastAsia"/>
        </w:rPr>
        <w:t xml:space="preserve">1 </w:t>
      </w:r>
      <w:r>
        <w:rPr>
          <w:rFonts w:ascii="幼圆" w:eastAsia="幼圆" w:hAnsi="幼圆" w:cs="幼圆" w:hint="eastAsia"/>
        </w:rPr>
        <w:t>相关概念</w:t>
      </w:r>
      <w:bookmarkEnd w:id="8"/>
    </w:p>
    <w:p>
      <w:pPr>
        <w:pStyle w:val="Heading3"/>
        <w:ind w:firstLine="480"/>
        <w:rPr>
          <w:rFonts w:ascii="幼圆" w:eastAsia="幼圆" w:hAnsi="幼圆" w:cs="幼圆" w:hint="eastAsia"/>
        </w:rPr>
      </w:pPr>
      <w:r>
        <w:rPr>
          <w:rFonts w:ascii="幼圆" w:eastAsia="幼圆" w:hAnsi="幼圆" w:cs="幼圆" w:hint="eastAsia"/>
        </w:rPr>
        <w:t>2.</w:t>
      </w:r>
      <w:r>
        <w:rPr>
          <w:rFonts w:ascii="幼圆" w:eastAsia="幼圆" w:hAnsi="幼圆" w:cs="幼圆" w:hint="eastAsia"/>
        </w:rPr>
        <w:t>1</w:t>
      </w:r>
      <w:r>
        <w:rPr>
          <w:rFonts w:ascii="幼圆" w:eastAsia="幼圆" w:hAnsi="幼圆" w:cs="幼圆" w:hint="eastAsia"/>
        </w:rPr>
        <w:t>.</w:t>
      </w:r>
      <w:r>
        <w:rPr>
          <w:rFonts w:ascii="幼圆" w:eastAsia="幼圆" w:hAnsi="幼圆" w:cs="幼圆" w:hint="eastAsia"/>
        </w:rPr>
        <w:t xml:space="preserve">1 </w:t>
      </w:r>
      <w:r>
        <w:rPr>
          <w:rFonts w:ascii="幼圆" w:eastAsia="幼圆" w:hAnsi="幼圆" w:cs="幼圆" w:hint="eastAsia"/>
        </w:rPr>
        <w:t>新生代农民工</w:t>
      </w:r>
    </w:p>
    <w:p>
      <w:pPr>
        <w:ind w:firstLine="480"/>
        <w:rPr>
          <w:rFonts w:ascii="幼圆" w:eastAsia="幼圆" w:hAnsi="幼圆" w:cs="幼圆" w:hint="eastAsia"/>
        </w:rPr>
      </w:pPr>
      <w:r>
        <w:rPr>
          <w:rFonts w:ascii="幼圆" w:eastAsia="幼圆" w:hAnsi="幼圆" w:cs="幼圆" w:hint="eastAsia"/>
        </w:rPr>
        <w:t>王春光教授在2</w:t>
      </w:r>
      <w:r>
        <w:rPr>
          <w:rFonts w:ascii="幼圆" w:eastAsia="幼圆" w:hAnsi="幼圆" w:cs="幼圆" w:hint="eastAsia"/>
        </w:rPr>
        <w:t>001</w:t>
      </w:r>
      <w:r>
        <w:rPr>
          <w:rFonts w:ascii="幼圆" w:eastAsia="幼圆" w:hAnsi="幼圆" w:cs="幼圆" w:hint="eastAsia"/>
        </w:rPr>
        <w:t>年提出农村人员的流动出现代际转换的观点时，首次对新生代农民工这一概念进行界定。在此之前，新生代农民工群体又被称为新生代农村人口流动。此后，在2</w:t>
      </w:r>
      <w:r>
        <w:rPr>
          <w:rFonts w:ascii="幼圆" w:eastAsia="幼圆" w:hAnsi="幼圆" w:cs="幼圆" w:hint="eastAsia"/>
        </w:rPr>
        <w:t>010</w:t>
      </w:r>
      <w:r>
        <w:rPr>
          <w:rFonts w:ascii="幼圆" w:eastAsia="幼圆" w:hAnsi="幼圆" w:cs="幼圆" w:hint="eastAsia"/>
        </w:rPr>
        <w:t>年的中央一号中，首次使用了“新生代农民工”这一概念，并且要求采取针对性举措，着力解决新生代农民工相关问题，推动新生代农民工融入城市的进程。根据国家统计局2011年发布的《新生代农民工的数量、结构和特点》这一分析报告，新生代农民工指出生于2</w:t>
      </w:r>
      <w:r>
        <w:rPr>
          <w:rFonts w:ascii="幼圆" w:eastAsia="幼圆" w:hAnsi="幼圆" w:cs="幼圆" w:hint="eastAsia"/>
        </w:rPr>
        <w:t>0</w:t>
      </w:r>
      <w:r>
        <w:rPr>
          <w:rFonts w:ascii="幼圆" w:eastAsia="幼圆" w:hAnsi="幼圆" w:cs="幼圆" w:hint="eastAsia"/>
        </w:rPr>
        <w:t>世纪8</w:t>
      </w:r>
      <w:r>
        <w:rPr>
          <w:rFonts w:ascii="幼圆" w:eastAsia="幼圆" w:hAnsi="幼圆" w:cs="幼圆" w:hint="eastAsia"/>
        </w:rPr>
        <w:t>0</w:t>
      </w:r>
      <w:r>
        <w:rPr>
          <w:rFonts w:ascii="幼圆" w:eastAsia="幼圆" w:hAnsi="幼圆" w:cs="幼圆" w:hint="eastAsia"/>
        </w:rPr>
        <w:t>年代以后，</w:t>
      </w:r>
      <w:r>
        <w:rPr>
          <w:rFonts w:ascii="幼圆" w:eastAsia="幼圆" w:hAnsi="幼圆" w:cs="幼圆" w:hint="eastAsia"/>
          <w:kern w:val="0"/>
        </w:rPr>
        <w:t>在城市中从事非农生产</w:t>
      </w:r>
      <w:r>
        <w:rPr>
          <w:rFonts w:ascii="幼圆" w:eastAsia="幼圆" w:hAnsi="幼圆" w:cs="幼圆" w:hint="eastAsia"/>
          <w:szCs w:val="24"/>
        </w:rPr>
        <w:t>6</w:t>
      </w:r>
      <w:r>
        <w:rPr>
          <w:rFonts w:ascii="幼圆" w:eastAsia="幼圆" w:hAnsi="幼圆" w:cs="幼圆" w:hint="eastAsia"/>
          <w:kern w:val="0"/>
        </w:rPr>
        <w:t>个月及以上，户籍地在农村，常住地在城市的新一代农民工，他们是新时代的产业工人。与老一代农民工相比，他们受教育程度较高、接纳新事物能力强、对生活的期待较高、对城市的归属感较强。在本文中研究中，新生代农民工的概念延用了这一定义。</w:t>
      </w:r>
    </w:p>
    <w:p>
      <w:pPr>
        <w:pStyle w:val="Heading3"/>
        <w:ind w:firstLine="480"/>
        <w:rPr>
          <w:rFonts w:ascii="幼圆" w:eastAsia="幼圆" w:hAnsi="幼圆" w:cs="幼圆" w:hint="eastAsia"/>
        </w:rPr>
      </w:pPr>
      <w:r>
        <w:rPr>
          <w:rFonts w:ascii="幼圆" w:eastAsia="幼圆" w:hAnsi="幼圆" w:cs="幼圆" w:hint="eastAsia"/>
        </w:rPr>
        <w:t>2.</w:t>
      </w:r>
      <w:r>
        <w:rPr>
          <w:rFonts w:ascii="幼圆" w:eastAsia="幼圆" w:hAnsi="幼圆" w:cs="幼圆" w:hint="eastAsia"/>
        </w:rPr>
        <w:t>1</w:t>
      </w:r>
      <w:r>
        <w:rPr>
          <w:rFonts w:ascii="幼圆" w:eastAsia="幼圆" w:hAnsi="幼圆" w:cs="幼圆" w:hint="eastAsia"/>
        </w:rPr>
        <w:t>.2</w:t>
      </w:r>
      <w:r>
        <w:rPr>
          <w:rFonts w:ascii="幼圆" w:eastAsia="幼圆" w:hAnsi="幼圆" w:cs="幼圆" w:hint="eastAsia"/>
        </w:rPr>
        <w:t xml:space="preserve"> </w:t>
      </w:r>
      <w:r>
        <w:rPr>
          <w:rFonts w:ascii="幼圆" w:eastAsia="幼圆" w:hAnsi="幼圆" w:cs="幼圆" w:hint="eastAsia"/>
        </w:rPr>
        <w:t>职业培训及职业培训意愿</w:t>
      </w:r>
    </w:p>
    <w:p>
      <w:pPr>
        <w:ind w:firstLine="480"/>
        <w:rPr>
          <w:rFonts w:ascii="幼圆" w:eastAsia="幼圆" w:hAnsi="幼圆" w:cs="幼圆" w:hint="eastAsia"/>
        </w:rPr>
      </w:pPr>
      <w:r>
        <w:rPr>
          <w:rFonts w:ascii="幼圆" w:eastAsia="幼圆" w:hAnsi="幼圆" w:cs="幼圆" w:hint="eastAsia"/>
        </w:rPr>
        <w:t>对新生代农民工进行职业培训是开展职业教育的一种，主要是指利用各种社会资源，面向新生代农民工进行就业培训、技能培训、岗位培训以及通识知识培训等与职业需求有关的培训，提升其职业素质，以保证其就业质量，使其适应产业结构升级和社会发展的需要。而职业培训意愿则是指新生代农民工主观心理上对技能培训的态度，即其主观上是否愿意参加相关职业培训以及参加培训的愿意程度。本文中对于职业培训意愿的研究则主要以</w:t>
      </w:r>
      <w:r>
        <w:rPr>
          <w:rFonts w:ascii="幼圆" w:eastAsia="幼圆" w:hAnsi="幼圆" w:cs="幼圆" w:hint="eastAsia"/>
          <w:lang w:eastAsia="zh-CN"/>
        </w:rPr>
        <w:t>S</w:t>
      </w:r>
      <w:r>
        <w:rPr>
          <w:rFonts w:ascii="幼圆" w:eastAsia="幼圆" w:hAnsi="幼圆" w:cs="幼圆" w:hint="eastAsia"/>
        </w:rPr>
        <w:t>区新生代农民工主观上是否愿意参与职业培训作为衡量标准。影响职业培训意愿的因素是多样的，本文中将影响因素分为个人因素、培训成本及培训收益三个维度，并针对问卷所得相关数据进行实证分析。</w:t>
      </w:r>
    </w:p>
    <w:p>
      <w:pPr>
        <w:pStyle w:val="Heading2"/>
        <w:spacing w:before="120" w:after="120"/>
        <w:rPr>
          <w:rFonts w:ascii="幼圆" w:eastAsia="幼圆" w:hAnsi="幼圆" w:cs="幼圆" w:hint="eastAsia"/>
        </w:rPr>
      </w:pPr>
      <w:bookmarkStart w:id="9" w:name="_Toc29197"/>
      <w:r>
        <w:rPr>
          <w:rFonts w:ascii="幼圆" w:eastAsia="幼圆" w:hAnsi="幼圆" w:cs="幼圆" w:hint="eastAsia"/>
        </w:rPr>
        <w:t>2.</w:t>
      </w:r>
      <w:r>
        <w:rPr>
          <w:rFonts w:ascii="幼圆" w:eastAsia="幼圆" w:hAnsi="幼圆" w:cs="幼圆" w:hint="eastAsia"/>
        </w:rPr>
        <w:t xml:space="preserve">2 </w:t>
      </w:r>
      <w:r>
        <w:rPr>
          <w:rFonts w:ascii="幼圆" w:eastAsia="幼圆" w:hAnsi="幼圆" w:cs="幼圆" w:hint="eastAsia"/>
        </w:rPr>
        <w:t>理论基础</w:t>
      </w:r>
      <w:bookmarkEnd w:id="9"/>
    </w:p>
    <w:p>
      <w:pPr>
        <w:pStyle w:val="Heading3"/>
        <w:ind w:firstLine="480"/>
        <w:rPr>
          <w:rFonts w:ascii="幼圆" w:eastAsia="幼圆" w:hAnsi="幼圆" w:cs="幼圆" w:hint="eastAsia"/>
        </w:rPr>
      </w:pPr>
      <w:r>
        <w:rPr>
          <w:rFonts w:ascii="幼圆" w:eastAsia="幼圆" w:hAnsi="幼圆" w:cs="幼圆" w:hint="eastAsia"/>
        </w:rPr>
        <w:t>2.</w:t>
      </w:r>
      <w:r>
        <w:rPr>
          <w:rFonts w:ascii="幼圆" w:eastAsia="幼圆" w:hAnsi="幼圆" w:cs="幼圆" w:hint="eastAsia"/>
        </w:rPr>
        <w:t>2</w:t>
      </w:r>
      <w:r>
        <w:rPr>
          <w:rFonts w:ascii="幼圆" w:eastAsia="幼圆" w:hAnsi="幼圆" w:cs="幼圆" w:hint="eastAsia"/>
        </w:rPr>
        <w:t>.</w:t>
      </w:r>
      <w:r>
        <w:rPr>
          <w:rFonts w:ascii="幼圆" w:eastAsia="幼圆" w:hAnsi="幼圆" w:cs="幼圆" w:hint="eastAsia"/>
        </w:rPr>
        <w:t xml:space="preserve">1 </w:t>
      </w:r>
      <w:r>
        <w:rPr>
          <w:rFonts w:ascii="幼圆" w:eastAsia="幼圆" w:hAnsi="幼圆" w:cs="幼圆" w:hint="eastAsia"/>
        </w:rPr>
        <w:t>人力资本论</w:t>
      </w:r>
    </w:p>
    <w:p>
      <w:pPr>
        <w:ind w:firstLine="480"/>
        <w:rPr>
          <w:rFonts w:ascii="幼圆" w:eastAsia="幼圆" w:hAnsi="幼圆" w:cs="幼圆" w:hint="eastAsia"/>
        </w:rPr>
      </w:pP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https://d.book118.com/705301223314011112</w:t>
        </w:r>
      </w:hyperlink>
    </w:p>
    <w:p>
      <w:pPr>
        <w:ind w:firstLine="480"/>
        <w:rPr>
          <w:rFonts w:ascii="幼圆" w:eastAsia="幼圆" w:hAnsi="幼圆" w:cs="幼圆" w:hint="eastAsia"/>
        </w:rPr>
      </w:pPr>
    </w:p>
    <w:sectPr>
      <w:headerReference w:type="default" r:id="rId17"/>
      <w:footerReference w:type="default" r:id="rId18"/>
      <w:type w:val="nextPage"/>
      <w:pgSz w:w="11906" w:h="16838"/>
      <w:pgMar w:top="1038" w:right="782" w:bottom="1179" w:left="1202" w:header="851" w:footer="851" w:gutter="0"/>
      <w:pgNumType w:start="6"/>
      <w:cols w:num="1" w:space="425"/>
      <w:titlePg w:val="0"/>
      <w:docGrid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9731482"/>
      <w:richText/>
    </w:sdtPr>
    <w:sdtContent>
      <w:p>
        <w:pPr>
          <w:pStyle w:val="Footer"/>
          <w:ind w:firstLine="360"/>
          <w:jc w:val="center"/>
        </w:pPr>
        <w:r>
          <w:fldChar w:fldCharType="begin"/>
        </w:r>
        <w:r>
          <w:instrText>PAGE   \* MERGEFORMAT</w:instrText>
        </w:r>
        <w:r>
          <w:fldChar w:fldCharType="separate"/>
        </w:r>
        <w:r>
          <w:rPr>
            <w:lang w:val="zh-CN"/>
          </w:rPr>
          <w:t>1</w:t>
        </w:r>
        <w:r>
          <w:fldChar w:fldCharType="end"/>
        </w:r>
      </w:p>
    </w:sdtContent>
  </w:sdt>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63346343"/>
      <w:richText/>
    </w:sdtPr>
    <w:sdtContent>
      <w:p>
        <w:pPr>
          <w:pStyle w:val="Footer"/>
          <w:ind w:firstLine="360"/>
          <w:jc w:val="center"/>
        </w:pPr>
        <w:r>
          <w:fldChar w:fldCharType="begin"/>
        </w:r>
        <w:r>
          <w:instrText>PAGE   \* MERGEFORMAT</w:instrText>
        </w:r>
        <w:r>
          <w:fldChar w:fldCharType="separate"/>
        </w:r>
        <w:r>
          <w:rPr>
            <w:lang w:val="zh-CN"/>
          </w:rPr>
          <w:t>2</w:t>
        </w:r>
        <w:r>
          <w:fldChar w:fldCharType="end"/>
        </w:r>
      </w:p>
    </w:sdtContent>
  </w:sdt>
  <w:p>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84489428"/>
      <w:richText/>
    </w:sdtPr>
    <w:sdtContent>
      <w:p>
        <w:pPr>
          <w:pStyle w:val="Footer"/>
          <w:ind w:firstLine="360"/>
          <w:jc w:val="center"/>
        </w:pPr>
        <w:r>
          <w:fldChar w:fldCharType="begin"/>
        </w:r>
        <w:r>
          <w:instrText>PAGE   \* MERGEFORMAT</w:instrText>
        </w:r>
        <w:r>
          <w:fldChar w:fldCharType="separate"/>
        </w:r>
        <w:r>
          <w:rPr>
            <w:lang w:val="zh-CN"/>
          </w:rPr>
          <w:t>4</w:t>
        </w:r>
        <w:r>
          <w:fldChar w:fldCharType="end"/>
        </w:r>
      </w:p>
    </w:sdtContent>
  </w:sdt>
  <w:p>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32216018"/>
      <w:richText/>
    </w:sdtPr>
    <w:sdtContent>
      <w:p>
        <w:pPr>
          <w:pStyle w:val="Footer"/>
          <w:ind w:firstLine="360"/>
          <w:jc w:val="center"/>
        </w:pPr>
        <w:r>
          <w:fldChar w:fldCharType="begin"/>
        </w:r>
        <w:r>
          <w:instrText>PAGE   \* MERGEFORMAT</w:instrText>
        </w:r>
        <w:r>
          <w:fldChar w:fldCharType="separate"/>
        </w:r>
        <w:r>
          <w:rPr>
            <w:lang w:val="zh-CN"/>
          </w:rPr>
          <w:t>5</w:t>
        </w:r>
        <w:r>
          <w:fldChar w:fldCharType="end"/>
        </w:r>
      </w:p>
    </w:sdtContent>
  </w:sdt>
  <w:p>
    <w:pPr>
      <w:pStyle w:val="Footer"/>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47721831"/>
      <w:richText/>
    </w:sdtPr>
    <w:sdtContent>
      <w:p>
        <w:pPr>
          <w:pStyle w:val="Footer"/>
          <w:ind w:firstLine="360"/>
          <w:jc w:val="center"/>
        </w:pPr>
        <w:r>
          <w:fldChar w:fldCharType="begin"/>
        </w:r>
        <w:r>
          <w:instrText>PAGE   \* MERGEFORMAT</w:instrText>
        </w:r>
        <w:r>
          <w:fldChar w:fldCharType="separate"/>
        </w:r>
        <w:r>
          <w:rPr>
            <w:lang w:val="zh-CN"/>
          </w:rPr>
          <w:t>5</w:t>
        </w:r>
        <w:r>
          <w:fldChar w:fldCharType="end"/>
        </w:r>
      </w:p>
    </w:sdtContent>
  </w:sdt>
  <w:p>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57778090"/>
      <w:richText/>
    </w:sdtPr>
    <w:sdtContent>
      <w:p>
        <w:pPr>
          <w:pStyle w:val="Footer"/>
          <w:ind w:firstLine="360"/>
          <w:jc w:val="center"/>
        </w:pPr>
        <w:r>
          <w:fldChar w:fldCharType="begin"/>
        </w:r>
        <w:r>
          <w:instrText>PAGE   \* MERGEFORMAT</w:instrText>
        </w:r>
        <w:r>
          <w:fldChar w:fldCharType="separate"/>
        </w:r>
        <w:r>
          <w:rPr>
            <w:lang w:val="zh-CN"/>
          </w:rPr>
          <w:t>6</w:t>
        </w:r>
        <w:r>
          <w:fldChar w:fldCharType="end"/>
        </w:r>
      </w:p>
    </w:sdtContent>
  </w:sdt>
  <w:p>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577"/>
    <w:rsid w:val="00007577"/>
    <w:rsid w:val="0004486C"/>
    <w:rsid w:val="0008270B"/>
    <w:rsid w:val="000F3266"/>
    <w:rsid w:val="0010740A"/>
    <w:rsid w:val="001D26DC"/>
    <w:rsid w:val="00240EFF"/>
    <w:rsid w:val="002E0D18"/>
    <w:rsid w:val="00320FC9"/>
    <w:rsid w:val="0036433B"/>
    <w:rsid w:val="00367601"/>
    <w:rsid w:val="00381919"/>
    <w:rsid w:val="003A2BA6"/>
    <w:rsid w:val="004308F9"/>
    <w:rsid w:val="004515DA"/>
    <w:rsid w:val="004C7D5F"/>
    <w:rsid w:val="005104F0"/>
    <w:rsid w:val="00521A24"/>
    <w:rsid w:val="00554D80"/>
    <w:rsid w:val="005579F1"/>
    <w:rsid w:val="0057603F"/>
    <w:rsid w:val="005F6D91"/>
    <w:rsid w:val="0067031D"/>
    <w:rsid w:val="00676650"/>
    <w:rsid w:val="006927C4"/>
    <w:rsid w:val="006B43AC"/>
    <w:rsid w:val="006E1ED4"/>
    <w:rsid w:val="0072184E"/>
    <w:rsid w:val="00767EC0"/>
    <w:rsid w:val="00776558"/>
    <w:rsid w:val="007B535A"/>
    <w:rsid w:val="007D5FD3"/>
    <w:rsid w:val="007D7D5E"/>
    <w:rsid w:val="007F1911"/>
    <w:rsid w:val="008574B9"/>
    <w:rsid w:val="00867AEE"/>
    <w:rsid w:val="008749C0"/>
    <w:rsid w:val="00893F1E"/>
    <w:rsid w:val="008B1DE7"/>
    <w:rsid w:val="00902C1A"/>
    <w:rsid w:val="00923F7B"/>
    <w:rsid w:val="009B1773"/>
    <w:rsid w:val="009B6CF0"/>
    <w:rsid w:val="009C77E1"/>
    <w:rsid w:val="009F51AD"/>
    <w:rsid w:val="00A25741"/>
    <w:rsid w:val="00A52CF4"/>
    <w:rsid w:val="00AB0B70"/>
    <w:rsid w:val="00AB2BCE"/>
    <w:rsid w:val="00AE4A17"/>
    <w:rsid w:val="00B44D99"/>
    <w:rsid w:val="00BA08AE"/>
    <w:rsid w:val="00BC2B5D"/>
    <w:rsid w:val="00C31261"/>
    <w:rsid w:val="00C7673A"/>
    <w:rsid w:val="00C835E3"/>
    <w:rsid w:val="00CB4E5B"/>
    <w:rsid w:val="00D86772"/>
    <w:rsid w:val="00D873B2"/>
    <w:rsid w:val="00DC1009"/>
    <w:rsid w:val="00DD5EA9"/>
    <w:rsid w:val="00DE2CE3"/>
    <w:rsid w:val="00E26834"/>
    <w:rsid w:val="00E909F9"/>
    <w:rsid w:val="00F8244B"/>
    <w:rsid w:val="00FA25EC"/>
    <w:rsid w:val="00FD0022"/>
    <w:rsid w:val="00FD7179"/>
    <w:rsid w:val="76FF2F61"/>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semiHidden="0" w:uiPriority="0" w:unhideWhenUsed="0" w:qFormat="1"/>
    <w:lsdException w:name="endnote reference" w:qFormat="1"/>
    <w:lsdException w:name="endnote text"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semiHidden="0" w:qFormat="1"/>
    <w:lsdException w:name="HTML Sample"/>
    <w:lsdException w:name="HTML Typewriter"/>
    <w:lsdException w:name="HTML Variable"/>
    <w:lsdException w:name="Normal Table"/>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60" w:lineRule="auto"/>
      <w:ind w:firstLine="20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
    <w:uiPriority w:val="9"/>
    <w:qFormat/>
    <w:pPr>
      <w:keepNext/>
      <w:keepLines/>
      <w:spacing w:after="100" w:afterLines="100"/>
      <w:ind w:firstLine="0" w:firstLineChars="0"/>
      <w:jc w:val="center"/>
      <w:outlineLvl w:val="0"/>
    </w:pPr>
    <w:rPr>
      <w:rFonts w:eastAsia="黑体"/>
      <w:bCs/>
      <w:kern w:val="44"/>
      <w:sz w:val="30"/>
      <w:szCs w:val="44"/>
    </w:rPr>
  </w:style>
  <w:style w:type="paragraph" w:styleId="Heading2">
    <w:name w:val="heading 2"/>
    <w:basedOn w:val="Normal"/>
    <w:next w:val="Normal"/>
    <w:link w:val="2"/>
    <w:autoRedefine/>
    <w:uiPriority w:val="9"/>
    <w:unhideWhenUsed/>
    <w:qFormat/>
    <w:pPr>
      <w:keepNext/>
      <w:keepLines/>
      <w:spacing w:before="50" w:beforeLines="50" w:after="50" w:afterLines="50"/>
      <w:ind w:firstLine="0" w:firstLineChars="0"/>
      <w:outlineLvl w:val="1"/>
    </w:pPr>
    <w:rPr>
      <w:rFonts w:eastAsia="黑体" w:cstheme="majorBidi"/>
      <w:bCs/>
      <w:szCs w:val="32"/>
    </w:rPr>
  </w:style>
  <w:style w:type="paragraph" w:styleId="Heading3">
    <w:name w:val="heading 3"/>
    <w:basedOn w:val="Normal"/>
    <w:next w:val="Normal"/>
    <w:link w:val="3"/>
    <w:uiPriority w:val="9"/>
    <w:unhideWhenUsed/>
    <w:qFormat/>
    <w:pPr>
      <w:keepNext/>
      <w:keepLines/>
      <w:outlineLvl w:val="2"/>
    </w:pPr>
    <w:rPr>
      <w:bCs/>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a1"/>
    <w:autoRedefine/>
    <w:uiPriority w:val="99"/>
    <w:semiHidden/>
    <w:unhideWhenUsed/>
    <w:qFormat/>
    <w:pPr>
      <w:jc w:val="left"/>
    </w:pPr>
  </w:style>
  <w:style w:type="paragraph" w:styleId="BodyText">
    <w:name w:val="Body Text"/>
    <w:basedOn w:val="Normal"/>
    <w:link w:val="a2"/>
    <w:autoRedefine/>
    <w:uiPriority w:val="1"/>
    <w:qFormat/>
    <w:pPr>
      <w:spacing w:line="240" w:lineRule="auto"/>
      <w:ind w:firstLine="0" w:firstLineChars="0"/>
    </w:pPr>
    <w:rPr>
      <w:rFonts w:ascii="宋体" w:hAnsi="宋体" w:cs="宋体"/>
      <w:szCs w:val="24"/>
      <w:lang w:val="zh-CN" w:bidi="zh-CN"/>
    </w:rPr>
  </w:style>
  <w:style w:type="paragraph" w:styleId="TOC3">
    <w:name w:val="toc 3"/>
    <w:basedOn w:val="Normal"/>
    <w:next w:val="Normal"/>
    <w:autoRedefine/>
    <w:uiPriority w:val="39"/>
    <w:unhideWhenUsed/>
    <w:qFormat/>
    <w:pPr>
      <w:widowControl/>
      <w:spacing w:after="100" w:line="259" w:lineRule="auto"/>
      <w:ind w:left="442"/>
      <w:jc w:val="left"/>
    </w:pPr>
    <w:rPr>
      <w:rFonts w:cs="Times New Roman"/>
      <w:kern w:val="0"/>
    </w:rPr>
  </w:style>
  <w:style w:type="paragraph" w:styleId="EndnoteText">
    <w:name w:val="endnote text"/>
    <w:basedOn w:val="Normal"/>
    <w:link w:val="a3"/>
    <w:autoRedefine/>
    <w:uiPriority w:val="99"/>
    <w:semiHidden/>
    <w:unhideWhenUsed/>
    <w:qFormat/>
    <w:pPr>
      <w:snapToGrid w:val="0"/>
      <w:jc w:val="left"/>
    </w:p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tabs>
        <w:tab w:val="right" w:leader="dot" w:pos="9920"/>
      </w:tabs>
      <w:spacing w:after="100" w:line="240" w:lineRule="auto"/>
      <w:ind w:firstLine="0" w:firstLineChars="0"/>
      <w:jc w:val="left"/>
    </w:pPr>
    <w:rPr>
      <w:rFonts w:ascii="黑体" w:eastAsia="黑体" w:hAnsi="黑体" w:cs="Times New Roman"/>
      <w:bCs/>
      <w:kern w:val="0"/>
      <w:szCs w:val="24"/>
    </w:rPr>
  </w:style>
  <w:style w:type="paragraph" w:styleId="TOC2">
    <w:name w:val="toc 2"/>
    <w:basedOn w:val="Normal"/>
    <w:next w:val="Normal"/>
    <w:autoRedefine/>
    <w:uiPriority w:val="39"/>
    <w:unhideWhenUsed/>
    <w:qFormat/>
    <w:pPr>
      <w:widowControl/>
      <w:tabs>
        <w:tab w:val="right" w:leader="dot" w:pos="9920"/>
      </w:tabs>
      <w:spacing w:after="100" w:line="240" w:lineRule="auto"/>
      <w:ind w:left="221" w:firstLine="100" w:firstLineChars="100"/>
      <w:jc w:val="left"/>
    </w:pPr>
    <w:rPr>
      <w:rFonts w:cs="Times New Roman"/>
      <w:kern w:val="0"/>
      <w:szCs w:val="24"/>
    </w:rPr>
  </w:style>
  <w:style w:type="paragraph" w:styleId="HTMLPreformatted">
    <w:name w:val="HTML Preformatted"/>
    <w:basedOn w:val="Normal"/>
    <w:link w:val="HTML"/>
    <w:autoRedefine/>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cs="宋体"/>
      <w:kern w:val="0"/>
      <w:szCs w:val="24"/>
    </w:rPr>
  </w:style>
  <w:style w:type="paragraph" w:styleId="CommentSubject">
    <w:name w:val="annotation subject"/>
    <w:basedOn w:val="CommentText"/>
    <w:next w:val="CommentText"/>
    <w:link w:val="a4"/>
    <w:autoRedefine/>
    <w:uiPriority w:val="99"/>
    <w:semiHidden/>
    <w:unhideWhenUsed/>
    <w:qFormat/>
    <w:rPr>
      <w:b/>
      <w:bCs/>
    </w:rPr>
  </w:style>
  <w:style w:type="table" w:styleId="TableGrid">
    <w:name w:val="Table Grid"/>
    <w:basedOn w:val="TableNormal"/>
    <w:autoRedefine/>
    <w:uiPriority w:val="59"/>
    <w:qFormat/>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autoRedefine/>
    <w:uiPriority w:val="99"/>
    <w:semiHidden/>
    <w:unhideWhenUsed/>
    <w:qFormat/>
    <w:rPr>
      <w:vertAlign w:val="superscript"/>
    </w:rPr>
  </w:style>
  <w:style w:type="character" w:styleId="PageNumber">
    <w:name w:val="page number"/>
    <w:basedOn w:val="DefaultParagraphFont"/>
    <w:autoRedefine/>
    <w:qFormat/>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1">
    <w:name w:val="标题 1 字符"/>
    <w:basedOn w:val="DefaultParagraphFont"/>
    <w:link w:val="Heading1"/>
    <w:autoRedefine/>
    <w:uiPriority w:val="9"/>
    <w:qFormat/>
    <w:rPr>
      <w:rFonts w:ascii="Times New Roman" w:eastAsia="黑体" w:hAnsi="Times New Roman"/>
      <w:bCs/>
      <w:kern w:val="44"/>
      <w:sz w:val="30"/>
      <w:szCs w:val="44"/>
    </w:rPr>
  </w:style>
  <w:style w:type="character" w:customStyle="1" w:styleId="2">
    <w:name w:val="标题 2 字符"/>
    <w:basedOn w:val="DefaultParagraphFont"/>
    <w:link w:val="Heading2"/>
    <w:uiPriority w:val="9"/>
    <w:qFormat/>
    <w:rPr>
      <w:rFonts w:ascii="Times New Roman" w:eastAsia="黑体" w:hAnsi="Times New Roman" w:cstheme="majorBidi"/>
      <w:bCs/>
      <w:sz w:val="24"/>
      <w:szCs w:val="32"/>
    </w:rPr>
  </w:style>
  <w:style w:type="character" w:customStyle="1" w:styleId="3">
    <w:name w:val="标题 3 字符"/>
    <w:basedOn w:val="DefaultParagraphFont"/>
    <w:link w:val="Heading3"/>
    <w:autoRedefine/>
    <w:uiPriority w:val="9"/>
    <w:qFormat/>
    <w:rPr>
      <w:rFonts w:ascii="Times New Roman" w:eastAsia="宋体" w:hAnsi="Times New Roman"/>
      <w:bCs/>
      <w:sz w:val="24"/>
      <w:szCs w:val="32"/>
    </w:rPr>
  </w:style>
  <w:style w:type="character" w:customStyle="1" w:styleId="a1">
    <w:name w:val="批注文字 字符"/>
    <w:basedOn w:val="DefaultParagraphFont"/>
    <w:link w:val="CommentText"/>
    <w:autoRedefine/>
    <w:uiPriority w:val="99"/>
    <w:semiHidden/>
    <w:qFormat/>
    <w:rPr>
      <w:rFonts w:ascii="Times New Roman" w:eastAsia="宋体" w:hAnsi="Times New Roman"/>
      <w:sz w:val="24"/>
    </w:rPr>
  </w:style>
  <w:style w:type="character" w:customStyle="1" w:styleId="a2">
    <w:name w:val="正文文本 字符"/>
    <w:basedOn w:val="DefaultParagraphFont"/>
    <w:link w:val="BodyText"/>
    <w:autoRedefine/>
    <w:uiPriority w:val="1"/>
    <w:qFormat/>
    <w:rPr>
      <w:rFonts w:ascii="宋体" w:eastAsia="宋体" w:hAnsi="宋体" w:cs="宋体"/>
      <w:sz w:val="24"/>
      <w:szCs w:val="24"/>
      <w:lang w:val="zh-CN" w:bidi="zh-CN"/>
    </w:rPr>
  </w:style>
  <w:style w:type="character" w:customStyle="1" w:styleId="a3">
    <w:name w:val="尾注文本 字符"/>
    <w:basedOn w:val="DefaultParagraphFont"/>
    <w:link w:val="EndnoteText"/>
    <w:autoRedefine/>
    <w:uiPriority w:val="99"/>
    <w:semiHidden/>
    <w:qFormat/>
    <w:rPr>
      <w:rFonts w:ascii="Times New Roman" w:eastAsia="宋体" w:hAnsi="Times New Roman"/>
      <w:sz w:val="24"/>
    </w:rPr>
  </w:style>
  <w:style w:type="character" w:customStyle="1" w:styleId="HTML">
    <w:name w:val="HTML 预设格式 字符"/>
    <w:basedOn w:val="DefaultParagraphFont"/>
    <w:link w:val="HTMLPreformatted"/>
    <w:autoRedefine/>
    <w:uiPriority w:val="99"/>
    <w:qFormat/>
    <w:rPr>
      <w:rFonts w:ascii="宋体" w:eastAsia="宋体" w:hAnsi="宋体" w:cs="宋体"/>
      <w:kern w:val="0"/>
      <w:sz w:val="24"/>
      <w:szCs w:val="24"/>
    </w:rPr>
  </w:style>
  <w:style w:type="character" w:customStyle="1" w:styleId="a4">
    <w:name w:val="批注主题 字符"/>
    <w:basedOn w:val="a1"/>
    <w:link w:val="CommentSubject"/>
    <w:autoRedefine/>
    <w:uiPriority w:val="99"/>
    <w:semiHidden/>
    <w:qFormat/>
    <w:rPr>
      <w:rFonts w:ascii="Times New Roman" w:eastAsia="宋体" w:hAnsi="Times New Roman"/>
      <w:b/>
      <w:bCs/>
      <w:sz w:val="24"/>
    </w:rPr>
  </w:style>
  <w:style w:type="paragraph" w:customStyle="1" w:styleId="TableParagraph">
    <w:name w:val="Table Paragraph"/>
    <w:basedOn w:val="Normal"/>
    <w:autoRedefine/>
    <w:uiPriority w:val="1"/>
    <w:qFormat/>
    <w:pPr>
      <w:spacing w:before="34" w:line="240" w:lineRule="auto"/>
      <w:ind w:left="670" w:right="954" w:firstLine="0" w:firstLineChars="0"/>
      <w:jc w:val="center"/>
    </w:pPr>
    <w:rPr>
      <w:rFonts w:eastAsia="Times New Roman" w:cs="Times New Roman"/>
      <w:sz w:val="21"/>
      <w:szCs w:val="24"/>
      <w:lang w:val="zh-CN" w:bidi="zh-CN"/>
    </w:rPr>
  </w:style>
  <w:style w:type="paragraph" w:styleId="ListParagraph">
    <w:name w:val="List Paragraph"/>
    <w:basedOn w:val="Normal"/>
    <w:autoRedefine/>
    <w:uiPriority w:val="34"/>
    <w:unhideWhenUsed/>
    <w:qFormat/>
    <w:pPr>
      <w:spacing w:line="240" w:lineRule="auto"/>
      <w:ind w:firstLine="420"/>
    </w:pPr>
    <w:rPr>
      <w:rFonts w:cs="Times New Roman"/>
      <w:sz w:val="21"/>
      <w:szCs w:val="24"/>
    </w:rPr>
  </w:style>
  <w:style w:type="paragraph" w:customStyle="1" w:styleId="TOC10">
    <w:name w:val="TOC 标题1"/>
    <w:basedOn w:val="Heading1"/>
    <w:next w:val="Normal"/>
    <w:autoRedefine/>
    <w:uiPriority w:val="39"/>
    <w:unhideWhenUsed/>
    <w:qFormat/>
    <w:pPr>
      <w:widowControl/>
      <w:spacing w:before="240" w:after="0" w:afterLines="0" w:line="259" w:lineRule="auto"/>
      <w:jc w:val="left"/>
      <w:outlineLvl w:val="9"/>
    </w:pPr>
    <w:rPr>
      <w:rFonts w:asciiTheme="majorHAnsi" w:eastAsiaTheme="majorEastAsia" w:hAnsiTheme="majorHAnsi" w:cstheme="majorBidi"/>
      <w:bCs w:val="0"/>
      <w:color w:val="376092" w:themeColor="accent1" w:themeShade="BF"/>
      <w:kern w:val="0"/>
      <w:sz w:val="32"/>
      <w:szCs w:val="32"/>
    </w:rPr>
  </w:style>
  <w:style w:type="paragraph" w:customStyle="1" w:styleId="TOC20">
    <w:name w:val="TOC 标题2"/>
    <w:basedOn w:val="Heading1"/>
    <w:next w:val="Normal"/>
    <w:autoRedefine/>
    <w:uiPriority w:val="39"/>
    <w:unhideWhenUsed/>
    <w:qFormat/>
    <w:pPr>
      <w:widowControl/>
      <w:spacing w:before="240" w:after="0" w:afterLines="0" w:line="259" w:lineRule="auto"/>
      <w:jc w:val="left"/>
      <w:outlineLvl w:val="9"/>
    </w:pPr>
    <w:rPr>
      <w:rFonts w:asciiTheme="majorHAnsi" w:eastAsiaTheme="majorEastAsia" w:hAnsiTheme="majorHAnsi" w:cstheme="majorBidi"/>
      <w:bCs w:val="0"/>
      <w:color w:val="376092" w:themeColor="accent1" w:themeShade="BF"/>
      <w:kern w:val="0"/>
      <w:sz w:val="32"/>
      <w:szCs w:val="32"/>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yperlink" Target="https://d.book118.com/705301223314011112" TargetMode="Externa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theme" Target="theme/theme1.xml" /><Relationship Id="rId2" Type="http://schemas.openxmlformats.org/officeDocument/2006/relationships/endnotes" Target="endnotes.xml" /><Relationship Id="rId20"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4</TotalTime>
  <Pages>8</Pages>
  <Words>3272</Words>
  <Characters>18652</Characters>
  <Application>Microsoft Office Word</Application>
  <DocSecurity>0</DocSecurity>
  <Lines>155</Lines>
  <Paragraphs>43</Paragraphs>
  <ScaleCrop>false</ScaleCrop>
  <Company/>
  <LinksUpToDate>false</LinksUpToDate>
  <CharactersWithSpaces>21881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雨洁</dc:creator>
  <cp:lastModifiedBy>ABEEL</cp:lastModifiedBy>
  <cp:revision>4</cp:revision>
  <dcterms:created xsi:type="dcterms:W3CDTF">2021-05-09T07:52:00Z</dcterms:created>
  <dcterms:modified xsi:type="dcterms:W3CDTF">2024-02-26T13:28:02Z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F5C388D464D347ABBE5E9B89BD2CD12F_13</vt:lpwstr>
  </property>
  <property fmtid="{D5CDD505-2E9C-101B-9397-08002B2CF9AE}" pid="3" name="KSOProductBuildVer">
    <vt:lpwstr>2052-12.1.0.16388</vt:lpwstr>
  </property>
</Properties>
</file>