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4320"/>
        </w:tabs>
        <w:spacing w:before="0" w:line="832" w:lineRule="exact"/>
        <w:ind w:left="0" w:right="88" w:firstLine="0"/>
        <w:jc w:val="center"/>
        <w:rPr>
          <w:b/>
          <w:sz w:val="48"/>
        </w:rPr>
      </w:pPr>
      <w:r>
        <w:rPr>
          <w:b/>
          <w:sz w:val="29"/>
        </w:rPr>
        <w:t>对、邻氯甲苯工程</w:t>
        <w:tab/>
      </w:r>
      <w:r>
        <w:rPr>
          <w:b/>
          <w:w w:val="95"/>
          <w:position w:val="-5"/>
          <w:sz w:val="48"/>
        </w:rPr>
        <w:t>可研报告</w:t>
      </w:r>
    </w:p>
    <w:p>
      <w:pPr>
        <w:pStyle w:val="BodyText"/>
        <w:spacing w:before="14"/>
        <w:ind w:left="0"/>
        <w:rPr>
          <w:b/>
          <w:sz w:val="58"/>
        </w:rPr>
      </w:pPr>
    </w:p>
    <w:p>
      <w:pPr>
        <w:pStyle w:val="Heading1"/>
      </w:pPr>
      <w:r>
        <w:t>一、工程提出的背景</w:t>
      </w:r>
    </w:p>
    <w:p>
      <w:pPr>
        <w:pStyle w:val="Heading2"/>
        <w:spacing w:before="166"/>
      </w:pPr>
      <w:r>
        <w:t>1、企业进展的需要</w:t>
      </w:r>
    </w:p>
    <w:p>
      <w:pPr>
        <w:pStyle w:val="BodyText"/>
        <w:spacing w:before="162" w:line="290" w:lineRule="auto"/>
        <w:ind w:right="344" w:firstLine="838"/>
        <w:jc w:val="both"/>
      </w:pPr>
      <w:r>
        <w:t>江苏大和氯碱化工〔以下简称江苏大和〕成立于 2023</w:t>
      </w:r>
      <w:r>
        <w:rPr>
          <w:spacing w:val="-122"/>
        </w:rPr>
        <w:t xml:space="preserve"> </w:t>
      </w:r>
      <w:r>
        <w:t>年，位于江苏省盐城市陈家港化工集中区内，陈家港化工集中区位于东部沿海开放前沿和长江三角洲与淮海经济区的结合部，地处盐城、淮安、连云港三市交汇处。该园区东邻黄海，水运以国家二类开放口</w:t>
      </w:r>
      <w:r>
        <w:rPr>
          <w:spacing w:val="3"/>
        </w:rPr>
        <w:t xml:space="preserve">岸陈家港为依托，水路距连云港 </w:t>
      </w:r>
      <w:r>
        <w:t>27 海里，并以苏北唯一没有建闸的入海河道、有苏北黄浦江之称的灌河与通榆水道相连，陆路紧邻沿海</w:t>
      </w:r>
      <w:r>
        <w:rPr>
          <w:spacing w:val="10"/>
        </w:rPr>
        <w:t>高速大路，距</w:t>
      </w:r>
      <w:r>
        <w:t>204</w:t>
      </w:r>
      <w:r>
        <w:rPr>
          <w:spacing w:val="-7"/>
        </w:rPr>
        <w:t xml:space="preserve"> 国道仅 </w:t>
      </w:r>
      <w:r>
        <w:t>20</w:t>
      </w:r>
      <w:r>
        <w:rPr>
          <w:spacing w:val="6"/>
        </w:rPr>
        <w:t xml:space="preserve"> 公里，并与</w:t>
      </w:r>
      <w:r>
        <w:t>306</w:t>
      </w:r>
      <w:r>
        <w:rPr>
          <w:spacing w:val="-3"/>
        </w:rPr>
        <w:t xml:space="preserve"> 国道和宁连高速大路相</w:t>
      </w:r>
      <w:r>
        <w:t>通，水陆交通格外便利。</w:t>
      </w:r>
    </w:p>
    <w:p>
      <w:pPr>
        <w:pStyle w:val="BodyText"/>
        <w:spacing w:line="290" w:lineRule="auto"/>
        <w:ind w:right="108" w:firstLine="838"/>
        <w:jc w:val="both"/>
      </w:pPr>
      <w:r>
        <w:rPr>
          <w:spacing w:val="-12"/>
        </w:rPr>
        <w:t>江苏大和主要产品有液碱、液氯、高纯盐酸、次氯酸钠、氯乙酸、</w:t>
      </w:r>
      <w:r>
        <w:rPr>
          <w:spacing w:val="1"/>
        </w:rPr>
        <w:t xml:space="preserve">漂白粉、苯胺等产品。其中离子膜烧碱年生产力量 </w:t>
      </w:r>
      <w:r>
        <w:t>20</w:t>
      </w:r>
      <w:r>
        <w:rPr>
          <w:spacing w:val="6"/>
        </w:rPr>
        <w:t xml:space="preserve"> 万吨，液氯年</w:t>
      </w:r>
    </w:p>
    <w:p>
      <w:pPr>
        <w:pStyle w:val="BodyText"/>
        <w:spacing w:line="290" w:lineRule="auto"/>
        <w:ind w:right="361"/>
        <w:jc w:val="both"/>
      </w:pPr>
      <w:r>
        <w:rPr>
          <w:spacing w:val="6"/>
        </w:rPr>
        <w:t xml:space="preserve">生产力量 </w:t>
      </w:r>
      <w:r>
        <w:t>18</w:t>
      </w:r>
      <w:r>
        <w:rPr>
          <w:spacing w:val="1"/>
        </w:rPr>
        <w:t xml:space="preserve"> 万吨；氯乙酸年生产力量 </w:t>
      </w:r>
      <w:r>
        <w:t>5000 吨；合成高纯盐酸年生</w:t>
      </w:r>
      <w:r>
        <w:rPr>
          <w:spacing w:val="-5"/>
        </w:rPr>
        <w:t xml:space="preserve">产力量 </w:t>
      </w:r>
      <w:r>
        <w:t>5</w:t>
      </w:r>
      <w:r>
        <w:rPr>
          <w:spacing w:val="-7"/>
        </w:rPr>
        <w:t xml:space="preserve"> 万吨；漂白粉生产力量 </w:t>
      </w:r>
      <w:r>
        <w:t>5000</w:t>
      </w:r>
      <w:r>
        <w:rPr>
          <w:spacing w:val="-8"/>
        </w:rPr>
        <w:t xml:space="preserve"> 吨，苯胺生产力量 </w:t>
      </w:r>
      <w:r>
        <w:t>3</w:t>
      </w:r>
      <w:r>
        <w:rPr>
          <w:spacing w:val="-5"/>
        </w:rPr>
        <w:t xml:space="preserve"> 万吨。</w:t>
      </w:r>
    </w:p>
    <w:p>
      <w:pPr>
        <w:pStyle w:val="BodyText"/>
        <w:spacing w:line="290" w:lineRule="auto"/>
        <w:ind w:right="373" w:firstLine="838"/>
        <w:jc w:val="both"/>
      </w:pPr>
      <w:r>
        <w:t>在建工程有 4 万吨氯化石蜡、4 万吨氯化聚乙烯、3 万吨苯胺工程</w:t>
      </w:r>
      <w:r>
        <w:rPr>
          <w:spacing w:val="-8"/>
        </w:rPr>
        <w:t xml:space="preserve">及 </w:t>
      </w:r>
      <w:r>
        <w:t>5000</w:t>
      </w:r>
      <w:r>
        <w:rPr>
          <w:spacing w:val="-5"/>
        </w:rPr>
        <w:t xml:space="preserve"> 吨码头工程。</w:t>
      </w:r>
    </w:p>
    <w:p>
      <w:pPr>
        <w:pStyle w:val="BodyText"/>
        <w:spacing w:line="290" w:lineRule="auto"/>
        <w:ind w:right="344" w:firstLine="838"/>
        <w:jc w:val="both"/>
      </w:pPr>
      <w:r>
        <w:t>江苏大和的进展战略是：以氯碱为根底，合理配置资源，以循环经济为主线；进展高附加值的下游产品，适时进展材料化工；把公司建成高技术含量、绿色环保、具有产业特色的现代化化工企业。对、</w:t>
      </w:r>
    </w:p>
    <w:p>
      <w:pPr>
        <w:spacing w:after="0" w:line="290" w:lineRule="auto"/>
        <w:jc w:val="both"/>
        <w:sectPr>
          <w:footerReference w:type="default" r:id="rId4"/>
          <w:type w:val="continuous"/>
          <w:pgSz w:w="17860" w:h="25260"/>
          <w:pgMar w:top="2300" w:right="2180" w:bottom="2040" w:left="2400" w:header="708" w:footer="1843"/>
          <w:pgNumType w:start="1"/>
          <w:cols w:space="708"/>
        </w:sectPr>
      </w:pPr>
    </w:p>
    <w:p>
      <w:pPr>
        <w:pStyle w:val="BodyText"/>
        <w:spacing w:line="754" w:lineRule="exact"/>
      </w:pPr>
      <w:r>
        <w:t>邻氯甲苯工程作为氯气的下游产品，符合公司进展战略。</w:t>
      </w:r>
    </w:p>
    <w:p>
      <w:pPr>
        <w:pStyle w:val="Heading2"/>
        <w:spacing w:before="244"/>
      </w:pPr>
      <w:r>
        <w:t>2、市场的需要</w:t>
      </w:r>
    </w:p>
    <w:p>
      <w:pPr>
        <w:pStyle w:val="BodyText"/>
        <w:spacing w:before="126" w:line="278" w:lineRule="auto"/>
        <w:ind w:right="156" w:firstLine="806"/>
      </w:pPr>
      <w:r>
        <w:rPr>
          <w:spacing w:val="-4"/>
        </w:rPr>
        <w:t xml:space="preserve">我公司现有 </w:t>
      </w:r>
      <w:r>
        <w:t>20</w:t>
      </w:r>
      <w:r>
        <w:rPr>
          <w:spacing w:val="-4"/>
        </w:rPr>
        <w:t xml:space="preserve"> 万吨氯碱装置，氯气除用于氯化聚乙烯、氯化石</w:t>
      </w:r>
      <w:r>
        <w:t>蜡、氯乙酸的生产外，其余直接外售，产品附加值低，3</w:t>
      </w:r>
      <w:r>
        <w:rPr>
          <w:spacing w:val="8"/>
        </w:rPr>
        <w:t xml:space="preserve"> 万吨对、邻</w:t>
      </w:r>
      <w:r>
        <w:t>氯甲苯工程可充分利用我公司的氯气延长产品链</w:t>
      </w:r>
      <w:r>
        <w:rPr>
          <w:spacing w:val="-26"/>
        </w:rPr>
        <w:t>，提升产品的附加值。</w:t>
      </w:r>
      <w:r>
        <w:t>3 万吨对、邻氯甲苯工程的建设即缓解了液氯的市场销售压力，又充分利用了氯碱装置的液氯，同时随着国内农药、医药、染料行业的进展，对、邻氯甲苯的市场需求量大大增加。园区内江苏联化科技</w:t>
      </w:r>
      <w:r>
        <w:rPr>
          <w:spacing w:val="1"/>
        </w:rPr>
        <w:t xml:space="preserve">年需对、邻氯甲苯 </w:t>
      </w:r>
      <w:r>
        <w:t>2</w:t>
      </w:r>
      <w:r>
        <w:rPr>
          <w:spacing w:val="1"/>
        </w:rPr>
        <w:t xml:space="preserve"> 万吨，因此我公司上一套 </w:t>
      </w:r>
      <w:r>
        <w:t>3</w:t>
      </w:r>
      <w:r>
        <w:rPr>
          <w:spacing w:val="9"/>
        </w:rPr>
        <w:t xml:space="preserve"> 万吨</w:t>
      </w:r>
      <w:r>
        <w:t>/年对、邻氯甲苯工程是可行的。</w:t>
      </w:r>
    </w:p>
    <w:p>
      <w:pPr>
        <w:pStyle w:val="Heading2"/>
        <w:spacing w:line="708" w:lineRule="exact"/>
      </w:pPr>
      <w:r>
        <w:t>3、公司内氯气平衡需要</w:t>
      </w:r>
    </w:p>
    <w:p>
      <w:pPr>
        <w:pStyle w:val="BodyText"/>
        <w:spacing w:before="245" w:line="278" w:lineRule="auto"/>
        <w:ind w:right="361" w:firstLine="842"/>
        <w:jc w:val="both"/>
      </w:pPr>
      <w:r>
        <w:rPr>
          <w:w w:val="100"/>
        </w:rPr>
        <w:t>江苏大和烧碱生产力量已达</w:t>
      </w:r>
      <w:r>
        <w:rPr>
          <w:spacing w:val="-48"/>
        </w:rPr>
        <w:t xml:space="preserve"> </w:t>
      </w:r>
      <w:r>
        <w:rPr>
          <w:spacing w:val="-1"/>
          <w:w w:val="100"/>
        </w:rPr>
        <w:t>2</w:t>
      </w:r>
      <w:r>
        <w:rPr>
          <w:w w:val="100"/>
        </w:rPr>
        <w:t>0</w:t>
      </w:r>
      <w:r>
        <w:rPr>
          <w:spacing w:val="-32"/>
        </w:rPr>
        <w:t xml:space="preserve"> </w:t>
      </w:r>
      <w:r>
        <w:rPr>
          <w:spacing w:val="-2"/>
          <w:w w:val="100"/>
        </w:rPr>
        <w:t>万吨</w:t>
      </w:r>
      <w:r>
        <w:rPr>
          <w:w w:val="100"/>
        </w:rPr>
        <w:t>/</w:t>
      </w:r>
      <w:r>
        <w:rPr>
          <w:spacing w:val="-37"/>
          <w:w w:val="100"/>
        </w:rPr>
        <w:t>年，年产液氯</w:t>
      </w:r>
      <w:r>
        <w:rPr>
          <w:spacing w:val="-38"/>
        </w:rPr>
        <w:t xml:space="preserve"> </w:t>
      </w:r>
      <w:r>
        <w:rPr>
          <w:spacing w:val="-1"/>
          <w:w w:val="100"/>
        </w:rPr>
        <w:t>1</w:t>
      </w:r>
      <w:r>
        <w:rPr>
          <w:w w:val="100"/>
        </w:rPr>
        <w:t>8</w:t>
      </w:r>
      <w:r>
        <w:rPr>
          <w:spacing w:val="-31"/>
        </w:rPr>
        <w:t xml:space="preserve"> </w:t>
      </w:r>
      <w:r>
        <w:rPr>
          <w:spacing w:val="-71"/>
          <w:w w:val="100"/>
        </w:rPr>
        <w:t>万吨，</w:t>
      </w:r>
      <w:r>
        <w:rPr>
          <w:spacing w:val="-1"/>
          <w:w w:val="100"/>
        </w:rPr>
        <w:t>5000</w:t>
      </w:r>
      <w:r>
        <w:rPr>
          <w:spacing w:val="-3"/>
        </w:rPr>
        <w:t xml:space="preserve">吨氯乙酸消耗液氯 </w:t>
      </w:r>
      <w:r>
        <w:t>0.4</w:t>
      </w:r>
      <w:r>
        <w:rPr>
          <w:spacing w:val="-7"/>
        </w:rPr>
        <w:t xml:space="preserve"> 万吨。在建工程 </w:t>
      </w:r>
      <w:r>
        <w:t>4</w:t>
      </w:r>
      <w:r>
        <w:rPr>
          <w:spacing w:val="-4"/>
        </w:rPr>
        <w:t xml:space="preserve"> 万吨氯化聚乙烯工程每年消</w:t>
      </w:r>
      <w:r>
        <w:rPr>
          <w:spacing w:val="-5"/>
        </w:rPr>
        <w:t xml:space="preserve">耗液氯 </w:t>
      </w:r>
      <w:r>
        <w:t>3.5</w:t>
      </w:r>
      <w:r>
        <w:rPr>
          <w:spacing w:val="-5"/>
        </w:rPr>
        <w:t xml:space="preserve"> 万吨，</w:t>
      </w:r>
      <w:r>
        <w:t>4</w:t>
      </w:r>
      <w:r>
        <w:rPr>
          <w:spacing w:val="-7"/>
        </w:rPr>
        <w:t xml:space="preserve"> 万吨氯化石蜡工程每年消耗液氯 </w:t>
      </w:r>
      <w:r>
        <w:t>4.4</w:t>
      </w:r>
      <w:r>
        <w:rPr>
          <w:spacing w:val="-5"/>
        </w:rPr>
        <w:t xml:space="preserve"> 万吨。近期实施的 </w:t>
      </w:r>
      <w:r>
        <w:t>3</w:t>
      </w:r>
      <w:r>
        <w:rPr>
          <w:spacing w:val="-6"/>
        </w:rPr>
        <w:t xml:space="preserve"> 万吨高纯氯乙酸工程每年消耗液氯 </w:t>
      </w:r>
      <w:r>
        <w:t>2.2</w:t>
      </w:r>
      <w:r>
        <w:rPr>
          <w:spacing w:val="-5"/>
        </w:rPr>
        <w:t xml:space="preserve"> 万吨，</w:t>
      </w:r>
      <w:r>
        <w:t>5</w:t>
      </w:r>
      <w:r>
        <w:rPr>
          <w:spacing w:val="-5"/>
        </w:rPr>
        <w:t xml:space="preserve"> 万吨甲烷氯</w:t>
      </w:r>
      <w:r>
        <w:rPr>
          <w:spacing w:val="-2"/>
        </w:rPr>
        <w:t xml:space="preserve">化物工程每年消耗液氯 </w:t>
      </w:r>
      <w:r>
        <w:t>5.5</w:t>
      </w:r>
      <w:r>
        <w:rPr>
          <w:spacing w:val="-4"/>
        </w:rPr>
        <w:t xml:space="preserve"> 万吨，合计 </w:t>
      </w:r>
      <w:r>
        <w:t>16</w:t>
      </w:r>
      <w:r>
        <w:rPr>
          <w:spacing w:val="-2"/>
        </w:rPr>
        <w:t xml:space="preserve"> 万吨。</w:t>
      </w:r>
      <w:r>
        <w:t>3</w:t>
      </w:r>
      <w:r>
        <w:rPr>
          <w:spacing w:val="-1"/>
        </w:rPr>
        <w:t xml:space="preserve"> 万吨</w:t>
      </w:r>
      <w:r>
        <w:t>/年对、邻氯</w:t>
      </w:r>
    </w:p>
    <w:p>
      <w:pPr>
        <w:pStyle w:val="BodyText"/>
        <w:spacing w:before="10" w:line="278" w:lineRule="auto"/>
        <w:ind w:right="350"/>
        <w:jc w:val="both"/>
      </w:pPr>
      <w:r>
        <w:rPr>
          <w:spacing w:val="-1"/>
        </w:rPr>
        <w:t xml:space="preserve">甲苯工程消耗液氯 </w:t>
      </w:r>
      <w:r>
        <w:t>1.8 万吨。从公司氯气平衡的角度讲，本工程上下游关联度强，充分表达循环经济。</w:t>
      </w:r>
    </w:p>
    <w:p>
      <w:pPr>
        <w:pStyle w:val="BodyText"/>
        <w:ind w:left="0"/>
        <w:rPr>
          <w:sz w:val="56"/>
        </w:rPr>
      </w:pPr>
    </w:p>
    <w:p>
      <w:pPr>
        <w:pStyle w:val="BodyText"/>
        <w:ind w:left="0"/>
        <w:rPr>
          <w:sz w:val="56"/>
        </w:rPr>
      </w:pPr>
    </w:p>
    <w:p>
      <w:pPr>
        <w:pStyle w:val="BodyText"/>
        <w:spacing w:before="16"/>
        <w:ind w:left="0"/>
        <w:rPr>
          <w:sz w:val="75"/>
        </w:rPr>
      </w:pPr>
    </w:p>
    <w:p>
      <w:pPr>
        <w:spacing w:before="0"/>
        <w:ind w:left="297" w:right="0" w:firstLine="0"/>
        <w:jc w:val="left"/>
        <w:rPr>
          <w:b/>
          <w:sz w:val="45"/>
        </w:rPr>
      </w:pPr>
      <w:r>
        <w:rPr>
          <w:b/>
          <w:position w:val="3"/>
          <w:sz w:val="45"/>
        </w:rPr>
        <w:t>二、</w:t>
      </w:r>
      <w:r>
        <w:rPr>
          <w:b/>
          <w:sz w:val="42"/>
        </w:rPr>
        <w:t>对、邻氯甲苯工程</w:t>
      </w:r>
      <w:r>
        <w:rPr>
          <w:b/>
          <w:position w:val="3"/>
          <w:sz w:val="45"/>
        </w:rPr>
        <w:t>市场推测</w:t>
      </w:r>
    </w:p>
    <w:p>
      <w:pPr>
        <w:spacing w:after="0"/>
        <w:jc w:val="left"/>
        <w:rPr>
          <w:sz w:val="45"/>
        </w:rPr>
      </w:pPr>
      <w:r>
        <w:rPr>
          <w:sz w:val="45"/>
        </w:rPr>
        <w:br/>
      </w:r>
      <w:r>
        <w:rPr>
          <w:sz w:val="4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https://d.book118.com/705312111332011034</w:t>
        </w:r>
      </w:hyperlink>
    </w:p>
    <w:p>
      <w:pPr>
        <w:spacing w:after="0"/>
        <w:jc w:val="left"/>
        <w:rPr>
          <w:sz w:val="45"/>
        </w:rPr>
      </w:pPr>
    </w:p>
    <w:sectPr>
      <w:footerReference w:type="default" r:id="rId6"/>
      <w:pgSz w:w="17860" w:h="25260"/>
      <w:pgMar w:top="1800" w:right="2180" w:bottom="2040" w:left="2400" w:header="0" w:footer="1843"/>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2.75pt;height:15.5pt;margin-top:1159.71pt;margin-left:443.83pt;mso-position-horizontal-relative:page;mso-position-vertical-relative:page;position:absolute;z-index:-251658240" filled="f" stroked="f">
          <v:textbox inset="0,0,0,0">
            <w:txbxContent>
              <w:p>
                <w:pPr>
                  <w:spacing w:before="37" w:line="273" w:lineRule="exact"/>
                  <w:ind w:left="60" w:right="0" w:firstLine="0"/>
                  <w:jc w:val="left"/>
                  <w:rPr>
                    <w:rFonts w:ascii="Arial Narrow"/>
                    <w:sz w:val="27"/>
                  </w:rPr>
                </w:pPr>
                <w:r>
                  <w:fldChar w:fldCharType="begin"/>
                </w:r>
                <w:r>
                  <w:rPr>
                    <w:rFonts w:ascii="Arial Narrow"/>
                    <w:w w:val="109"/>
                    <w:sz w:val="27"/>
                  </w:rPr>
                  <w:instrText xml:space="preserve">  </w:instrText>
                </w:r>
                <w:r>
                  <w:fldChar w:fldCharType="separate"/>
                </w:r>
                <w: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2.75pt;height:15.5pt;margin-top:1159.71pt;margin-left:443.83pt;mso-position-horizontal-relative:page;mso-position-vertical-relative:page;position:absolute;z-index:-251657216" filled="f" stroked="f">
          <v:textbox inset="0,0,0,0">
            <w:txbxContent>
              <w:p>
                <w:pPr>
                  <w:spacing w:before="37" w:line="273" w:lineRule="exact"/>
                  <w:ind w:left="60" w:right="0" w:firstLine="0"/>
                  <w:jc w:val="left"/>
                  <w:rPr>
                    <w:rFonts w:ascii="Arial Narrow"/>
                    <w:sz w:val="27"/>
                  </w:rPr>
                </w:pPr>
                <w:r>
                  <w:fldChar w:fldCharType="begin"/>
                </w:r>
                <w:r>
                  <w:rPr>
                    <w:rFonts w:ascii="Arial Narrow"/>
                    <w:w w:val="109"/>
                    <w:sz w:val="27"/>
                  </w:rPr>
                  <w:instrText xml:space="preserve">  </w:instrText>
                </w:r>
                <w:r>
                  <w:fldChar w:fldCharType="separate"/>
                </w:r>
                <w:r>
                  <w:t>1</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B35737"/>
    <w:multiLevelType w:val="hybridMultilevel"/>
    <w:tmpl w:val="00000000"/>
    <w:lvl w:ilvl="0">
      <w:start w:val="1"/>
      <w:numFmt w:val="decimal"/>
      <w:lvlText w:val="（%1）"/>
      <w:lvlJc w:val="left"/>
      <w:pPr>
        <w:ind w:left="1399" w:hanging="1103"/>
        <w:jc w:val="left"/>
      </w:pPr>
      <w:rPr>
        <w:rFonts w:ascii="微软雅黑" w:eastAsia="微软雅黑" w:hAnsi="微软雅黑" w:cs="微软雅黑" w:hint="default"/>
        <w:b/>
        <w:bCs/>
        <w:spacing w:val="-209"/>
        <w:w w:val="100"/>
        <w:sz w:val="40"/>
        <w:szCs w:val="40"/>
      </w:rPr>
    </w:lvl>
    <w:lvl w:ilvl="1">
      <w:start w:val="0"/>
      <w:numFmt w:val="bullet"/>
      <w:lvlText w:val="•"/>
      <w:lvlJc w:val="left"/>
      <w:pPr>
        <w:ind w:left="2587" w:hanging="1103"/>
      </w:pPr>
      <w:rPr>
        <w:rFonts w:hint="default"/>
      </w:rPr>
    </w:lvl>
    <w:lvl w:ilvl="2">
      <w:start w:val="0"/>
      <w:numFmt w:val="bullet"/>
      <w:lvlText w:val="•"/>
      <w:lvlJc w:val="left"/>
      <w:pPr>
        <w:ind w:left="3775" w:hanging="1103"/>
      </w:pPr>
      <w:rPr>
        <w:rFonts w:hint="default"/>
      </w:rPr>
    </w:lvl>
    <w:lvl w:ilvl="3">
      <w:start w:val="0"/>
      <w:numFmt w:val="bullet"/>
      <w:lvlText w:val="•"/>
      <w:lvlJc w:val="left"/>
      <w:pPr>
        <w:ind w:left="4963" w:hanging="1103"/>
      </w:pPr>
      <w:rPr>
        <w:rFonts w:hint="default"/>
      </w:rPr>
    </w:lvl>
    <w:lvl w:ilvl="4">
      <w:start w:val="0"/>
      <w:numFmt w:val="bullet"/>
      <w:lvlText w:val="•"/>
      <w:lvlJc w:val="left"/>
      <w:pPr>
        <w:ind w:left="6151" w:hanging="1103"/>
      </w:pPr>
      <w:rPr>
        <w:rFonts w:hint="default"/>
      </w:rPr>
    </w:lvl>
    <w:lvl w:ilvl="5">
      <w:start w:val="0"/>
      <w:numFmt w:val="bullet"/>
      <w:lvlText w:val="•"/>
      <w:lvlJc w:val="left"/>
      <w:pPr>
        <w:ind w:left="7339" w:hanging="1103"/>
      </w:pPr>
      <w:rPr>
        <w:rFonts w:hint="default"/>
      </w:rPr>
    </w:lvl>
    <w:lvl w:ilvl="6">
      <w:start w:val="0"/>
      <w:numFmt w:val="bullet"/>
      <w:lvlText w:val="•"/>
      <w:lvlJc w:val="left"/>
      <w:pPr>
        <w:ind w:left="8527" w:hanging="1103"/>
      </w:pPr>
      <w:rPr>
        <w:rFonts w:hint="default"/>
      </w:rPr>
    </w:lvl>
    <w:lvl w:ilvl="7">
      <w:start w:val="0"/>
      <w:numFmt w:val="bullet"/>
      <w:lvlText w:val="•"/>
      <w:lvlJc w:val="left"/>
      <w:pPr>
        <w:ind w:left="9715" w:hanging="1103"/>
      </w:pPr>
      <w:rPr>
        <w:rFonts w:hint="default"/>
      </w:rPr>
    </w:lvl>
    <w:lvl w:ilvl="8">
      <w:start w:val="0"/>
      <w:numFmt w:val="bullet"/>
      <w:lvlText w:val="•"/>
      <w:lvlJc w:val="left"/>
      <w:pPr>
        <w:ind w:left="10903" w:hanging="1103"/>
      </w:pPr>
      <w:rPr>
        <w:rFonts w:hint="default"/>
      </w:rPr>
    </w:lvl>
  </w:abstractNum>
  <w:abstractNum w:abstractNumId="1">
    <w:nsid w:val="26F246C2"/>
    <w:multiLevelType w:val="hybridMultilevel"/>
    <w:tmpl w:val="00000000"/>
    <w:lvl w:ilvl="0">
      <w:start w:val="2"/>
      <w:numFmt w:val="decimal"/>
      <w:lvlText w:val="%1"/>
      <w:lvlJc w:val="left"/>
      <w:pPr>
        <w:ind w:left="1359" w:hanging="1062"/>
        <w:jc w:val="left"/>
      </w:pPr>
      <w:rPr>
        <w:rFonts w:hint="default"/>
      </w:rPr>
    </w:lvl>
    <w:lvl w:ilvl="1">
      <w:start w:val="1"/>
      <w:numFmt w:val="decimal"/>
      <w:lvlText w:val="%1.%2"/>
      <w:lvlJc w:val="left"/>
      <w:pPr>
        <w:ind w:left="1359" w:hanging="1062"/>
        <w:jc w:val="left"/>
      </w:pPr>
      <w:rPr>
        <w:rFonts w:ascii="微软雅黑" w:eastAsia="微软雅黑" w:hAnsi="微软雅黑" w:cs="微软雅黑" w:hint="default"/>
        <w:b/>
        <w:bCs/>
        <w:spacing w:val="-1"/>
        <w:w w:val="100"/>
        <w:sz w:val="42"/>
        <w:szCs w:val="42"/>
      </w:rPr>
    </w:lvl>
    <w:lvl w:ilvl="2">
      <w:start w:val="1"/>
      <w:numFmt w:val="decimal"/>
      <w:lvlText w:val="%3)"/>
      <w:lvlJc w:val="left"/>
      <w:pPr>
        <w:ind w:left="297" w:hanging="389"/>
        <w:jc w:val="left"/>
      </w:pPr>
      <w:rPr>
        <w:rFonts w:ascii="微软雅黑" w:eastAsia="微软雅黑" w:hAnsi="微软雅黑" w:cs="微软雅黑" w:hint="default"/>
        <w:spacing w:val="-1"/>
        <w:w w:val="100"/>
        <w:sz w:val="40"/>
        <w:szCs w:val="40"/>
      </w:rPr>
    </w:lvl>
    <w:lvl w:ilvl="3">
      <w:start w:val="0"/>
      <w:numFmt w:val="bullet"/>
      <w:lvlText w:val="•"/>
      <w:lvlJc w:val="left"/>
      <w:pPr>
        <w:ind w:left="4008" w:hanging="389"/>
      </w:pPr>
      <w:rPr>
        <w:rFonts w:hint="default"/>
      </w:rPr>
    </w:lvl>
    <w:lvl w:ilvl="4">
      <w:start w:val="0"/>
      <w:numFmt w:val="bullet"/>
      <w:lvlText w:val="•"/>
      <w:lvlJc w:val="left"/>
      <w:pPr>
        <w:ind w:left="5333" w:hanging="389"/>
      </w:pPr>
      <w:rPr>
        <w:rFonts w:hint="default"/>
      </w:rPr>
    </w:lvl>
    <w:lvl w:ilvl="5">
      <w:start w:val="0"/>
      <w:numFmt w:val="bullet"/>
      <w:lvlText w:val="•"/>
      <w:lvlJc w:val="left"/>
      <w:pPr>
        <w:ind w:left="6657" w:hanging="389"/>
      </w:pPr>
      <w:rPr>
        <w:rFonts w:hint="default"/>
      </w:rPr>
    </w:lvl>
    <w:lvl w:ilvl="6">
      <w:start w:val="0"/>
      <w:numFmt w:val="bullet"/>
      <w:lvlText w:val="•"/>
      <w:lvlJc w:val="left"/>
      <w:pPr>
        <w:ind w:left="7982" w:hanging="389"/>
      </w:pPr>
      <w:rPr>
        <w:rFonts w:hint="default"/>
      </w:rPr>
    </w:lvl>
    <w:lvl w:ilvl="7">
      <w:start w:val="0"/>
      <w:numFmt w:val="bullet"/>
      <w:lvlText w:val="•"/>
      <w:lvlJc w:val="left"/>
      <w:pPr>
        <w:ind w:left="9306" w:hanging="389"/>
      </w:pPr>
      <w:rPr>
        <w:rFonts w:hint="default"/>
      </w:rPr>
    </w:lvl>
    <w:lvl w:ilvl="8">
      <w:start w:val="0"/>
      <w:numFmt w:val="bullet"/>
      <w:lvlText w:val="•"/>
      <w:lvlJc w:val="left"/>
      <w:pPr>
        <w:ind w:left="10630" w:hanging="389"/>
      </w:pPr>
      <w:rPr>
        <w:rFonts w:hint="default"/>
      </w:rPr>
    </w:lvl>
  </w:abstractNum>
  <w:abstractNum w:abstractNumId="2">
    <w:nsid w:val="59405A34"/>
    <w:multiLevelType w:val="hybridMultilevel"/>
    <w:tmpl w:val="00000000"/>
    <w:lvl w:ilvl="0">
      <w:start w:val="3"/>
      <w:numFmt w:val="decimal"/>
      <w:lvlText w:val="%1"/>
      <w:lvlJc w:val="left"/>
      <w:pPr>
        <w:ind w:left="894" w:hanging="598"/>
        <w:jc w:val="left"/>
      </w:pPr>
      <w:rPr>
        <w:rFonts w:hint="default"/>
      </w:rPr>
    </w:lvl>
    <w:lvl w:ilvl="1">
      <w:start w:val="1"/>
      <w:numFmt w:val="decimal"/>
      <w:lvlText w:val="%1.%2"/>
      <w:lvlJc w:val="left"/>
      <w:pPr>
        <w:ind w:left="894" w:hanging="598"/>
        <w:jc w:val="left"/>
      </w:pPr>
      <w:rPr>
        <w:rFonts w:ascii="微软雅黑" w:eastAsia="微软雅黑" w:hAnsi="微软雅黑" w:cs="微软雅黑" w:hint="default"/>
        <w:spacing w:val="-1"/>
        <w:w w:val="100"/>
        <w:sz w:val="40"/>
        <w:szCs w:val="40"/>
      </w:rPr>
    </w:lvl>
    <w:lvl w:ilvl="2">
      <w:start w:val="1"/>
      <w:numFmt w:val="decimal"/>
      <w:lvlText w:val="（%3）"/>
      <w:lvlJc w:val="left"/>
      <w:pPr>
        <w:ind w:left="1594" w:hanging="1092"/>
        <w:jc w:val="left"/>
      </w:pPr>
      <w:rPr>
        <w:rFonts w:ascii="微软雅黑" w:eastAsia="微软雅黑" w:hAnsi="微软雅黑" w:cs="微软雅黑" w:hint="default"/>
        <w:spacing w:val="-1"/>
        <w:w w:val="100"/>
        <w:sz w:val="40"/>
        <w:szCs w:val="40"/>
      </w:rPr>
    </w:lvl>
    <w:lvl w:ilvl="3">
      <w:start w:val="0"/>
      <w:numFmt w:val="bullet"/>
      <w:lvlText w:val="•"/>
      <w:lvlJc w:val="left"/>
      <w:pPr>
        <w:ind w:left="4195" w:hanging="1092"/>
      </w:pPr>
      <w:rPr>
        <w:rFonts w:hint="default"/>
      </w:rPr>
    </w:lvl>
    <w:lvl w:ilvl="4">
      <w:start w:val="0"/>
      <w:numFmt w:val="bullet"/>
      <w:lvlText w:val="•"/>
      <w:lvlJc w:val="left"/>
      <w:pPr>
        <w:ind w:left="5493" w:hanging="1092"/>
      </w:pPr>
      <w:rPr>
        <w:rFonts w:hint="default"/>
      </w:rPr>
    </w:lvl>
    <w:lvl w:ilvl="5">
      <w:start w:val="0"/>
      <w:numFmt w:val="bullet"/>
      <w:lvlText w:val="•"/>
      <w:lvlJc w:val="left"/>
      <w:pPr>
        <w:ind w:left="6790" w:hanging="1092"/>
      </w:pPr>
      <w:rPr>
        <w:rFonts w:hint="default"/>
      </w:rPr>
    </w:lvl>
    <w:lvl w:ilvl="6">
      <w:start w:val="0"/>
      <w:numFmt w:val="bullet"/>
      <w:lvlText w:val="•"/>
      <w:lvlJc w:val="left"/>
      <w:pPr>
        <w:ind w:left="8088" w:hanging="1092"/>
      </w:pPr>
      <w:rPr>
        <w:rFonts w:hint="default"/>
      </w:rPr>
    </w:lvl>
    <w:lvl w:ilvl="7">
      <w:start w:val="0"/>
      <w:numFmt w:val="bullet"/>
      <w:lvlText w:val="•"/>
      <w:lvlJc w:val="left"/>
      <w:pPr>
        <w:ind w:left="9386" w:hanging="1092"/>
      </w:pPr>
      <w:rPr>
        <w:rFonts w:hint="default"/>
      </w:rPr>
    </w:lvl>
    <w:lvl w:ilvl="8">
      <w:start w:val="0"/>
      <w:numFmt w:val="bullet"/>
      <w:lvlText w:val="•"/>
      <w:lvlJc w:val="left"/>
      <w:pPr>
        <w:ind w:left="10684" w:hanging="1092"/>
      </w:pPr>
      <w:rPr>
        <w:rFonts w:hint="default"/>
      </w:rPr>
    </w:lvl>
  </w:abstractNum>
  <w:abstractNum w:abstractNumId="3">
    <w:nsid w:val="69688887"/>
    <w:multiLevelType w:val="hybridMultilevel"/>
    <w:tmpl w:val="00000000"/>
    <w:lvl w:ilvl="0">
      <w:start w:val="1"/>
      <w:numFmt w:val="decimal"/>
      <w:lvlText w:val="（%1）"/>
      <w:lvlJc w:val="left"/>
      <w:pPr>
        <w:ind w:left="1399" w:hanging="1103"/>
        <w:jc w:val="left"/>
      </w:pPr>
      <w:rPr>
        <w:rFonts w:ascii="微软雅黑" w:eastAsia="微软雅黑" w:hAnsi="微软雅黑" w:cs="微软雅黑" w:hint="default"/>
        <w:b/>
        <w:bCs/>
        <w:spacing w:val="-209"/>
        <w:w w:val="100"/>
        <w:sz w:val="40"/>
        <w:szCs w:val="40"/>
      </w:rPr>
    </w:lvl>
    <w:lvl w:ilvl="1">
      <w:start w:val="0"/>
      <w:numFmt w:val="bullet"/>
      <w:lvlText w:val="•"/>
      <w:lvlJc w:val="left"/>
      <w:pPr>
        <w:ind w:left="2587" w:hanging="1103"/>
      </w:pPr>
      <w:rPr>
        <w:rFonts w:hint="default"/>
      </w:rPr>
    </w:lvl>
    <w:lvl w:ilvl="2">
      <w:start w:val="0"/>
      <w:numFmt w:val="bullet"/>
      <w:lvlText w:val="•"/>
      <w:lvlJc w:val="left"/>
      <w:pPr>
        <w:ind w:left="3775" w:hanging="1103"/>
      </w:pPr>
      <w:rPr>
        <w:rFonts w:hint="default"/>
      </w:rPr>
    </w:lvl>
    <w:lvl w:ilvl="3">
      <w:start w:val="0"/>
      <w:numFmt w:val="bullet"/>
      <w:lvlText w:val="•"/>
      <w:lvlJc w:val="left"/>
      <w:pPr>
        <w:ind w:left="4963" w:hanging="1103"/>
      </w:pPr>
      <w:rPr>
        <w:rFonts w:hint="default"/>
      </w:rPr>
    </w:lvl>
    <w:lvl w:ilvl="4">
      <w:start w:val="0"/>
      <w:numFmt w:val="bullet"/>
      <w:lvlText w:val="•"/>
      <w:lvlJc w:val="left"/>
      <w:pPr>
        <w:ind w:left="6151" w:hanging="1103"/>
      </w:pPr>
      <w:rPr>
        <w:rFonts w:hint="default"/>
      </w:rPr>
    </w:lvl>
    <w:lvl w:ilvl="5">
      <w:start w:val="0"/>
      <w:numFmt w:val="bullet"/>
      <w:lvlText w:val="•"/>
      <w:lvlJc w:val="left"/>
      <w:pPr>
        <w:ind w:left="7339" w:hanging="1103"/>
      </w:pPr>
      <w:rPr>
        <w:rFonts w:hint="default"/>
      </w:rPr>
    </w:lvl>
    <w:lvl w:ilvl="6">
      <w:start w:val="0"/>
      <w:numFmt w:val="bullet"/>
      <w:lvlText w:val="•"/>
      <w:lvlJc w:val="left"/>
      <w:pPr>
        <w:ind w:left="8527" w:hanging="1103"/>
      </w:pPr>
      <w:rPr>
        <w:rFonts w:hint="default"/>
      </w:rPr>
    </w:lvl>
    <w:lvl w:ilvl="7">
      <w:start w:val="0"/>
      <w:numFmt w:val="bullet"/>
      <w:lvlText w:val="•"/>
      <w:lvlJc w:val="left"/>
      <w:pPr>
        <w:ind w:left="9715" w:hanging="1103"/>
      </w:pPr>
      <w:rPr>
        <w:rFonts w:hint="default"/>
      </w:rPr>
    </w:lvl>
    <w:lvl w:ilvl="8">
      <w:start w:val="0"/>
      <w:numFmt w:val="bullet"/>
      <w:lvlText w:val="•"/>
      <w:lvlJc w:val="left"/>
      <w:pPr>
        <w:ind w:left="10903" w:hanging="1103"/>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297"/>
    </w:pPr>
    <w:rPr>
      <w:rFonts w:ascii="微软雅黑" w:eastAsia="微软雅黑" w:hAnsi="微软雅黑" w:cs="微软雅黑"/>
      <w:sz w:val="42"/>
      <w:szCs w:val="42"/>
    </w:rPr>
  </w:style>
  <w:style w:type="paragraph" w:customStyle="1" w:styleId="Heading1">
    <w:name w:val="Heading 1"/>
    <w:basedOn w:val="Normal"/>
    <w:uiPriority w:val="1"/>
    <w:qFormat/>
    <w:pPr>
      <w:ind w:left="297"/>
      <w:outlineLvl w:val="1"/>
    </w:pPr>
    <w:rPr>
      <w:rFonts w:ascii="微软雅黑" w:eastAsia="微软雅黑" w:hAnsi="微软雅黑" w:cs="微软雅黑"/>
      <w:b/>
      <w:bCs/>
      <w:sz w:val="45"/>
      <w:szCs w:val="45"/>
    </w:rPr>
  </w:style>
  <w:style w:type="paragraph" w:customStyle="1" w:styleId="Heading2">
    <w:name w:val="Heading 2"/>
    <w:basedOn w:val="Normal"/>
    <w:uiPriority w:val="1"/>
    <w:qFormat/>
    <w:pPr>
      <w:ind w:left="297"/>
      <w:outlineLvl w:val="2"/>
    </w:pPr>
    <w:rPr>
      <w:rFonts w:ascii="微软雅黑" w:eastAsia="微软雅黑" w:hAnsi="微软雅黑" w:cs="微软雅黑"/>
      <w:b/>
      <w:bCs/>
      <w:sz w:val="42"/>
      <w:szCs w:val="42"/>
    </w:rPr>
  </w:style>
  <w:style w:type="paragraph" w:styleId="ListParagraph">
    <w:name w:val="List Paragraph"/>
    <w:basedOn w:val="Normal"/>
    <w:uiPriority w:val="1"/>
    <w:qFormat/>
    <w:pPr>
      <w:ind w:left="1399" w:hanging="1103"/>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705312111332011034"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2023-10-17T11:47:39Z</dcterms:created>
  <dcterms:modified xsi:type="dcterms:W3CDTF">2023-10-17T11:47:39Z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2023-04-01T00:00:00Z</vt:filetime>
  </property>
  <property fmtid="{D5CDD505-2E9C-101B-9397-08002B2CF9AE}" pid="3" name="LastSaved">
    <vt:filetime>2023-10-17T00:00:00Z</vt:filetime>
  </property>
</Properties>
</file>