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营林及木竹采伐机械相关行业公司成立报告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_Toc32431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(七)、营林及木竹采伐机械项目建设必要性分析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四、营林及木竹采伐机械筹建公司基本信息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_Toc30819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五、营林及木竹采伐机械项目概况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(二)、营林及木竹采伐机械项目提出的理由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(三)、营林及木竹采伐机械项目选址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_Toc15520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(六)、营林及木竹采伐机械项目投资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0" w:history="1">
        <w:r>
          <w:rPr>
            <w:rFonts w:ascii="仿宋" w:eastAsia="仿宋" w:hAnsi="仿宋" w:cs="仿宋" w:hint="eastAsia"/>
            <w:lang w:eastAsia="zh-CN"/>
          </w:rPr>
          <w:t>(七)、营林及木竹采伐机械项目进度规划</w:t>
        </w:r>
        <w:r>
          <w:tab/>
        </w:r>
        <w:r>
          <w:fldChar w:fldCharType="begin"/>
        </w:r>
        <w:r>
          <w:instrText xml:space="preserve"> PAGEREF _Toc9320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(九)、营林及木竹采伐机械项目综合评价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六、营林及木竹采伐机械项目经济效益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(三)、营林及木竹采伐机械项目盈利能力分析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eastAsia="zh-CN"/>
          </w:rPr>
          <w:t>(一)、营林及木竹采伐机械项目进度安排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8" w:history="1">
        <w:r>
          <w:rPr>
            <w:rFonts w:ascii="仿宋" w:eastAsia="仿宋" w:hAnsi="仿宋" w:cs="仿宋" w:hint="eastAsia"/>
            <w:lang w:eastAsia="zh-CN"/>
          </w:rPr>
          <w:t>(二)、营林及木竹采伐机械项目实施保障措施</w:t>
        </w:r>
        <w:r>
          <w:tab/>
        </w:r>
        <w:r>
          <w:fldChar w:fldCharType="begin"/>
        </w:r>
        <w:r>
          <w:instrText xml:space="preserve"> PAGEREF _Toc3778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_Toc21293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_Toc12615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(五)、营林及木竹采伐机械项目总投资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1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8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5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https://d.book118.com/706002204241010041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营林及木竹采伐机械相关行业公司成立报告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营林及木竹采伐机械相关行业公司成立报告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营林及木竹采伐机械相关行业公司成立报告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营林及木竹采伐机械相关行业公司成立报告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营林及木竹采伐机械相关行业公司成立报告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002204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2024-01-20T12:41:00Z</dcterms:created>
  <dcterms:modified xsi:type="dcterms:W3CDTF">2024-01-20T12:41:35Z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326AFDB8B2744EB5BB0FCB4B1EA245C3_11</vt:lpwstr>
  </property>
  <property fmtid="{D5CDD505-2E9C-101B-9397-08002B2CF9AE}" pid="3" name="KSOProductBuildVer">
    <vt:lpwstr>2052-12.1.0.16120</vt:lpwstr>
  </property>
</Properties>
</file>