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rPr>
          <w:sz w:val="28"/>
          <w:szCs w:val="28"/>
        </w:rPr>
      </w:pPr>
      <w:r>
        <w:tab/>
      </w:r>
      <w:r>
        <w:tab/>
      </w:r>
      <w:bookmarkStart w:id="0" w:name="_Toc11308806"/>
      <w:bookmarkStart w:id="1" w:name="_Toc10459715"/>
      <w:bookmarkStart w:id="2" w:name="_Toc10469623"/>
      <w:bookmarkStart w:id="3" w:name="_Toc10571217"/>
      <w:r>
        <w:rPr>
          <w:rFonts w:hint="eastAsia"/>
        </w:rPr>
        <w:t>摘要</w:t>
      </w:r>
      <w:bookmarkEnd w:id="0"/>
      <w:bookmarkEnd w:id="1"/>
      <w:bookmarkEnd w:id="2"/>
      <w:bookmarkEnd w:id="3"/>
    </w:p>
    <w:p>
      <w:pPr>
        <w:widowControl/>
        <w:ind w:firstLine="480" w:firstLineChars="200"/>
        <w:rPr>
          <w:szCs w:val="24"/>
        </w:rPr>
      </w:pPr>
      <w:bookmarkStart w:id="4" w:name="_Hlk11180276"/>
      <w:r>
        <w:rPr>
          <w:rFonts w:hint="eastAsia"/>
          <w:szCs w:val="24"/>
        </w:rPr>
        <w:t>基因改变引起的细胞不受控地增殖而引起的疾病即为肿瘤</w:t>
      </w:r>
      <w:bookmarkEnd w:id="4"/>
      <w:r>
        <w:rPr>
          <w:rFonts w:hint="eastAsia"/>
          <w:szCs w:val="24"/>
        </w:rPr>
        <w:t>，治疗肿瘤的传统手段因较多的临床问题发展受限，而免疫治疗副作用小且快速高效，正在成为新的治疗手段。I</w:t>
      </w:r>
      <w:r>
        <w:rPr>
          <w:szCs w:val="24"/>
        </w:rPr>
        <w:t xml:space="preserve">FN-γ </w:t>
      </w:r>
      <w:r>
        <w:rPr>
          <w:rFonts w:hint="eastAsia"/>
          <w:szCs w:val="24"/>
        </w:rPr>
        <w:t>是一种能通过调节免疫反应，诱导细胞凋亡，抑制肿瘤血管生成等方式抗肿瘤的有效细胞因子。如果能将</w:t>
      </w:r>
      <w:bookmarkStart w:id="5" w:name="_Hlk11087779"/>
      <w:r>
        <w:rPr>
          <w:szCs w:val="24"/>
        </w:rPr>
        <w:t>IFN-γ</w:t>
      </w:r>
      <w:bookmarkEnd w:id="5"/>
      <w:r>
        <w:rPr>
          <w:rFonts w:hint="eastAsia"/>
          <w:szCs w:val="24"/>
        </w:rPr>
        <w:t>与免疫治疗联系起来，或能在治疗肿瘤方面取得较好的疗效。</w:t>
      </w:r>
    </w:p>
    <w:p>
      <w:pPr>
        <w:widowControl/>
        <w:ind w:left="240" w:firstLine="240" w:leftChars="100" w:firstLineChars="100"/>
        <w:rPr>
          <w:szCs w:val="24"/>
        </w:rPr>
      </w:pPr>
      <w:r>
        <w:rPr>
          <w:rFonts w:hint="eastAsia"/>
          <w:szCs w:val="24"/>
        </w:rPr>
        <w:t>本实验中采用T</w:t>
      </w:r>
      <w:r>
        <w:rPr>
          <w:szCs w:val="24"/>
        </w:rPr>
        <w:t>rizol</w:t>
      </w:r>
      <w:r>
        <w:rPr>
          <w:rFonts w:hint="eastAsia"/>
          <w:szCs w:val="24"/>
        </w:rPr>
        <w:t>法，先提取的</w:t>
      </w:r>
      <w:bookmarkStart w:id="6" w:name="_Hlk10841121"/>
      <w:r>
        <w:rPr>
          <w:szCs w:val="24"/>
        </w:rPr>
        <w:t>NIH3T3</w:t>
      </w:r>
      <w:bookmarkEnd w:id="6"/>
      <w:r>
        <w:rPr>
          <w:rFonts w:hint="eastAsia"/>
          <w:szCs w:val="24"/>
        </w:rPr>
        <w:t>细胞基因组，用作反转录c</w:t>
      </w:r>
      <w:r>
        <w:rPr>
          <w:szCs w:val="24"/>
        </w:rPr>
        <w:t>DNA</w:t>
      </w:r>
      <w:r>
        <w:rPr>
          <w:rFonts w:hint="eastAsia"/>
          <w:szCs w:val="24"/>
        </w:rPr>
        <w:t>的模板。之后根据</w:t>
      </w:r>
      <w:r>
        <w:rPr>
          <w:szCs w:val="24"/>
        </w:rPr>
        <w:t>IFN-γ</w:t>
      </w:r>
      <w:r>
        <w:rPr>
          <w:rFonts w:hint="eastAsia"/>
          <w:szCs w:val="24"/>
        </w:rPr>
        <w:t>基因设计了一对只适用于基因的引物，利用P</w:t>
      </w:r>
      <w:r>
        <w:rPr>
          <w:szCs w:val="24"/>
        </w:rPr>
        <w:t>CR</w:t>
      </w:r>
      <w:r>
        <w:rPr>
          <w:rFonts w:hint="eastAsia"/>
          <w:szCs w:val="24"/>
        </w:rPr>
        <w:t>方法克隆该基因，构建重组真核</w:t>
      </w:r>
      <w:bookmarkStart w:id="7" w:name="_Hlk10796362"/>
      <w:r>
        <w:rPr>
          <w:rFonts w:hint="eastAsia"/>
          <w:szCs w:val="24"/>
        </w:rPr>
        <w:t>表达载体</w:t>
      </w:r>
      <w:bookmarkStart w:id="8" w:name="_Hlk11087864"/>
      <w:r>
        <w:rPr>
          <w:rFonts w:hint="eastAsia"/>
          <w:szCs w:val="24"/>
        </w:rPr>
        <w:t>pcDNA3</w:t>
      </w:r>
      <w:r>
        <w:rPr>
          <w:szCs w:val="24"/>
        </w:rPr>
        <w:t>.</w:t>
      </w:r>
      <w:r>
        <w:rPr>
          <w:rFonts w:hint="eastAsia"/>
          <w:szCs w:val="24"/>
        </w:rPr>
        <w:t>1-IFN-</w:t>
      </w:r>
      <w:r>
        <w:rPr>
          <w:szCs w:val="24"/>
        </w:rPr>
        <w:t>γ</w:t>
      </w:r>
      <w:bookmarkEnd w:id="7"/>
      <w:bookmarkEnd w:id="8"/>
      <w:r>
        <w:rPr>
          <w:rFonts w:hint="eastAsia"/>
          <w:szCs w:val="24"/>
        </w:rPr>
        <w:t>。鉴定完成后转染小鼠黑色素瘤B16细胞，用SDS-PAGE检测IFN-</w:t>
      </w:r>
      <w:r>
        <w:rPr>
          <w:szCs w:val="24"/>
        </w:rPr>
        <w:t>γ</w:t>
      </w:r>
      <w:r>
        <w:rPr>
          <w:rFonts w:hint="eastAsia"/>
          <w:szCs w:val="24"/>
        </w:rPr>
        <w:t>是否表达，用MTT检测细胞生长情况。</w:t>
      </w:r>
    </w:p>
    <w:p>
      <w:pPr>
        <w:widowControl/>
        <w:ind w:firstLine="480" w:firstLineChars="200"/>
        <w:rPr>
          <w:szCs w:val="24"/>
        </w:rPr>
      </w:pPr>
      <w:r>
        <w:rPr>
          <w:rFonts w:hint="eastAsia"/>
          <w:szCs w:val="24"/>
        </w:rPr>
        <w:t>将重组表达载体 pcDNA3</w:t>
      </w:r>
      <w:r>
        <w:rPr>
          <w:szCs w:val="24"/>
        </w:rPr>
        <w:t>.</w:t>
      </w:r>
      <w:r>
        <w:rPr>
          <w:rFonts w:hint="eastAsia"/>
          <w:szCs w:val="24"/>
        </w:rPr>
        <w:t>1-IFN-</w:t>
      </w:r>
      <w:r>
        <w:rPr>
          <w:szCs w:val="24"/>
        </w:rPr>
        <w:t>γ</w:t>
      </w:r>
      <w:r>
        <w:rPr>
          <w:rFonts w:hint="eastAsia"/>
          <w:szCs w:val="24"/>
        </w:rPr>
        <w:t>进行酶切鉴定，电泳结果显示有一条大小为1</w:t>
      </w:r>
      <w:r>
        <w:rPr>
          <w:szCs w:val="24"/>
        </w:rPr>
        <w:t>264 bp</w:t>
      </w:r>
      <w:r>
        <w:rPr>
          <w:rFonts w:hint="eastAsia"/>
          <w:szCs w:val="24"/>
        </w:rPr>
        <w:t>的特异性条带，说明表达载体构建成功。转染B16细胞，SDS-PAGE结果显示实验组有一条大小为1</w:t>
      </w:r>
      <w:r>
        <w:rPr>
          <w:szCs w:val="24"/>
        </w:rPr>
        <w:t>7 KDa</w:t>
      </w:r>
      <w:r>
        <w:rPr>
          <w:rFonts w:hint="eastAsia"/>
          <w:szCs w:val="24"/>
        </w:rPr>
        <w:t>的蛋白条带，而对照组没有，说明表达载体成功转入 B16细胞中且表达量多于对照组。 MTT结果显示转染表达载体 pcDNA3.1-IFN-γ的B16细胞培养4</w:t>
      </w:r>
      <w:r>
        <w:rPr>
          <w:szCs w:val="24"/>
        </w:rPr>
        <w:t>8 h</w:t>
      </w:r>
      <w:r>
        <w:rPr>
          <w:rFonts w:hint="eastAsia"/>
          <w:szCs w:val="24"/>
        </w:rPr>
        <w:t>后测得的O</w:t>
      </w:r>
      <w:r>
        <w:rPr>
          <w:szCs w:val="24"/>
        </w:rPr>
        <w:t>D</w:t>
      </w:r>
      <w:r>
        <w:rPr>
          <w:rFonts w:hint="eastAsia"/>
          <w:szCs w:val="24"/>
        </w:rPr>
        <w:t>值明显小于对照组，表明</w:t>
      </w:r>
      <w:r>
        <w:rPr>
          <w:szCs w:val="24"/>
        </w:rPr>
        <w:t>IFN-γ</w:t>
      </w:r>
      <w:r>
        <w:rPr>
          <w:rFonts w:hint="eastAsia"/>
          <w:szCs w:val="24"/>
        </w:rPr>
        <w:t>基因修饰的 B16细胞能够表达 IF</w:t>
      </w:r>
      <w:r>
        <w:rPr>
          <w:szCs w:val="24"/>
        </w:rPr>
        <w:t>N-γ</w:t>
      </w:r>
      <w:r>
        <w:rPr>
          <w:rFonts w:hint="eastAsia"/>
          <w:szCs w:val="24"/>
        </w:rPr>
        <w:t>，且对肿瘤细胞的异常增殖产生了抑制作用。本实验的研究证明了 IFN</w:t>
      </w:r>
      <w:r>
        <w:rPr>
          <w:szCs w:val="24"/>
        </w:rPr>
        <w:t xml:space="preserve">-γ </w:t>
      </w:r>
      <w:r>
        <w:rPr>
          <w:rFonts w:hint="eastAsia"/>
          <w:szCs w:val="24"/>
        </w:rPr>
        <w:t>对肿瘤细胞的抑制作用，为临床应用提供了理论基础。</w:t>
      </w:r>
    </w:p>
    <w:p>
      <w:pPr>
        <w:widowControl/>
        <w:rPr>
          <w:szCs w:val="24"/>
        </w:rPr>
      </w:pPr>
    </w:p>
    <w:p>
      <w:pPr>
        <w:widowControl/>
        <w:rPr>
          <w:szCs w:val="24"/>
        </w:rPr>
      </w:pPr>
    </w:p>
    <w:p>
      <w:pPr>
        <w:widowControl/>
        <w:spacing w:before="156" w:beforeLines="50"/>
        <w:rPr>
          <w:szCs w:val="24"/>
        </w:rPr>
      </w:pPr>
      <w:r>
        <w:rPr>
          <w:rFonts w:ascii="黑体" w:eastAsia="黑体" w:hAnsi="黑体"/>
          <w:szCs w:val="24"/>
        </w:rPr>
        <w:t xml:space="preserve">关键词  </w:t>
      </w:r>
      <w:bookmarkStart w:id="9" w:name="_Hlk10801341"/>
      <w:r>
        <w:rPr>
          <w:szCs w:val="24"/>
        </w:rPr>
        <w:t>IFN-γ</w:t>
      </w:r>
      <w:bookmarkEnd w:id="9"/>
      <w:r>
        <w:rPr>
          <w:rFonts w:hint="eastAsia"/>
          <w:szCs w:val="24"/>
        </w:rPr>
        <w:t xml:space="preserve"> </w:t>
      </w:r>
      <w:r>
        <w:rPr>
          <w:szCs w:val="24"/>
        </w:rPr>
        <w:t xml:space="preserve"> PCR  </w:t>
      </w:r>
      <w:r>
        <w:rPr>
          <w:rFonts w:hint="eastAsia"/>
          <w:szCs w:val="24"/>
        </w:rPr>
        <w:t xml:space="preserve">载体构建 </w:t>
      </w:r>
      <w:r>
        <w:rPr>
          <w:szCs w:val="24"/>
        </w:rPr>
        <w:t xml:space="preserve"> </w:t>
      </w:r>
      <w:r>
        <w:rPr>
          <w:rFonts w:hint="eastAsia"/>
          <w:szCs w:val="24"/>
        </w:rPr>
        <w:t>克隆</w:t>
      </w:r>
    </w:p>
    <w:p>
      <w:pPr>
        <w:widowControl/>
        <w:spacing w:before="156" w:beforeLines="50"/>
        <w:rPr>
          <w:szCs w:val="24"/>
        </w:rPr>
      </w:pPr>
    </w:p>
    <w:p>
      <w:pPr>
        <w:widowControl/>
        <w:spacing w:before="156" w:beforeLines="50"/>
        <w:rPr>
          <w:szCs w:val="24"/>
        </w:rPr>
      </w:pPr>
    </w:p>
    <w:p>
      <w:pPr>
        <w:widowControl/>
        <w:spacing w:before="156" w:beforeLines="50"/>
        <w:rPr>
          <w:szCs w:val="24"/>
        </w:rPr>
      </w:pPr>
    </w:p>
    <w:p>
      <w:pPr>
        <w:widowControl/>
        <w:spacing w:before="156" w:beforeLines="50"/>
        <w:rPr>
          <w:szCs w:val="24"/>
        </w:rPr>
      </w:pPr>
    </w:p>
    <w:p>
      <w:pPr>
        <w:widowControl/>
        <w:spacing w:before="156" w:beforeLines="50"/>
        <w:rPr>
          <w:szCs w:val="24"/>
        </w:rPr>
        <w:sectPr>
          <w:footerReference w:type="default" r:id="rId6"/>
          <w:pgSz w:w="11906" w:h="16838"/>
          <w:pgMar w:top="1440" w:right="1800" w:bottom="1440" w:left="1800" w:header="851" w:footer="992" w:gutter="0"/>
          <w:pgNumType w:start="1"/>
          <w:cols w:num="1" w:space="425"/>
          <w:docGrid w:type="lines" w:linePitch="312" w:charSpace="0"/>
        </w:sectPr>
      </w:pPr>
    </w:p>
    <w:p>
      <w:pPr>
        <w:widowControl/>
        <w:spacing w:line="240" w:lineRule="auto"/>
        <w:jc w:val="center"/>
        <w:rPr>
          <w:b/>
          <w:bCs/>
          <w:sz w:val="30"/>
          <w:szCs w:val="30"/>
        </w:rPr>
      </w:pPr>
      <w:bookmarkStart w:id="10" w:name="_GoBack"/>
      <w:r>
        <w:rPr>
          <w:b/>
          <w:bCs/>
          <w:sz w:val="30"/>
          <w:szCs w:val="30"/>
        </w:rPr>
        <w:t xml:space="preserve">Inhibition of </w:t>
      </w:r>
      <w:bookmarkStart w:id="11" w:name="_Hlk10801378"/>
      <w:r>
        <w:rPr>
          <w:b/>
          <w:bCs/>
          <w:sz w:val="30"/>
          <w:szCs w:val="30"/>
        </w:rPr>
        <w:t>tumor cells</w:t>
      </w:r>
      <w:bookmarkEnd w:id="11"/>
      <w:r>
        <w:rPr>
          <w:b/>
          <w:bCs/>
          <w:sz w:val="30"/>
          <w:szCs w:val="30"/>
        </w:rPr>
        <w:t xml:space="preserve"> by expression of IFN-γ gene</w:t>
      </w:r>
    </w:p>
    <w:bookmarkEnd w:id="10"/>
    <w:p>
      <w:pPr>
        <w:widowControl/>
        <w:spacing w:line="240" w:lineRule="auto"/>
        <w:jc w:val="center"/>
        <w:rPr>
          <w:szCs w:val="24"/>
        </w:rPr>
      </w:pPr>
    </w:p>
    <w:p>
      <w:pPr>
        <w:pStyle w:val="Heading1"/>
        <w:jc w:val="both"/>
      </w:pPr>
      <w:bookmarkStart w:id="12" w:name="_Toc11308807"/>
      <w:r>
        <w:rPr>
          <w:rFonts w:hint="eastAsia"/>
        </w:rPr>
        <w:t>A</w:t>
      </w:r>
      <w:r>
        <w:t>bstract</w:t>
      </w:r>
      <w:bookmarkEnd w:id="12"/>
    </w:p>
    <w:p>
      <w:pPr>
        <w:widowControl/>
        <w:ind w:firstLine="480" w:firstLineChars="200"/>
        <w:jc w:val="left"/>
        <w:rPr>
          <w:szCs w:val="24"/>
        </w:rPr>
      </w:pPr>
      <w:r>
        <w:rPr>
          <w:szCs w:val="24"/>
        </w:rPr>
        <w:t>Tumors are malignant diseases in which genetic material changes cells and eventually leads to the death of the body.  The traditional methods of treating tumors are limited by many clinical problems, while immunotherapy is becoming a new treatment with few side effects, rapid and effective. The immune factor IFN-γ has broad-spectrum antiviral, anti-tumor, regulates cell growth and other physiological functions, and can achieve anti-tumor effects by inhibiting cell number growth, inducing apoptosis, and inhibiting tumor tissue angiogenesis. Using IFN-γ to kill tumor cells by immunotherapy can achieve better therapeutic effects.</w:t>
      </w:r>
    </w:p>
    <w:p>
      <w:pPr>
        <w:widowControl/>
        <w:ind w:firstLine="480" w:firstLineChars="200"/>
        <w:jc w:val="left"/>
        <w:rPr>
          <w:szCs w:val="24"/>
        </w:rPr>
      </w:pPr>
      <w:r>
        <w:rPr>
          <w:szCs w:val="24"/>
        </w:rPr>
        <w:t>In this experiment</w:t>
      </w:r>
      <w:r>
        <w:rPr>
          <w:rFonts w:hint="eastAsia"/>
          <w:szCs w:val="24"/>
        </w:rPr>
        <w:t>,</w:t>
      </w:r>
      <w:r>
        <w:rPr>
          <w:szCs w:val="24"/>
        </w:rPr>
        <w:t>the first extracted NIH3T3 cellgenime was used as a template for reverse transcription</w:t>
      </w:r>
      <w:r>
        <w:rPr>
          <w:rFonts w:hint="eastAsia"/>
          <w:szCs w:val="24"/>
        </w:rPr>
        <w:t>c</w:t>
      </w:r>
      <w:r>
        <w:rPr>
          <w:szCs w:val="24"/>
        </w:rPr>
        <w:t xml:space="preserve">DNA using the Trizolmethod.Then, a pair of specific primers suitable for the gene were designed according to the IFN-γ gene,and the gene was cloned by PCR to construct recombinant eukaryotic expression vector pcDNA3.1-IFN-γ </w:t>
      </w:r>
      <w:r>
        <w:rPr>
          <w:rFonts w:hint="eastAsia"/>
          <w:szCs w:val="24"/>
        </w:rPr>
        <w:t>.</w:t>
      </w:r>
      <w:r>
        <w:rPr>
          <w:szCs w:val="24"/>
        </w:rPr>
        <w:t xml:space="preserve"> After the identification, the mouse melanoma B16 cells were transfected, the cell growth was detected by MTT, and the expression of IFN-γ was detected by SDS-PAGE.</w:t>
      </w:r>
    </w:p>
    <w:p>
      <w:pPr>
        <w:widowControl/>
        <w:ind w:firstLine="480" w:firstLineChars="200"/>
        <w:jc w:val="left"/>
        <w:rPr>
          <w:szCs w:val="24"/>
        </w:rPr>
      </w:pPr>
      <w:r>
        <w:rPr>
          <w:szCs w:val="24"/>
        </w:rPr>
        <w:t>The recombinant expression vector pcDNA3.1-IFN-γ was identified by enzyme digestion. The electrophoresis results showed that there was a specific band of 1264 bp, indicating that the expression vector was successfully constructed. SDS-PAGE results showed that the experimental group had a protein band of 17 KDa, but the control group did not, indicating that the expression vector was successfully transferred into B16 cells and expressed more than the control group. The results of  MTT indicated that the OD value of B16 cells transfected with expression vector pcDNA3.1-IFN-γ was significantly lower than that of the control group, showed that IFN-γ gene-modified B16 cells can express</w:t>
      </w:r>
      <w:bookmarkStart w:id="13" w:name="_Hlk10814750"/>
      <w:r>
        <w:rPr>
          <w:szCs w:val="24"/>
        </w:rPr>
        <w:t xml:space="preserve"> IFN-γ </w:t>
      </w:r>
      <w:bookmarkEnd w:id="13"/>
      <w:r>
        <w:rPr>
          <w:szCs w:val="24"/>
        </w:rPr>
        <w:t>on tumor cells, and IFN-γ can inhibit abnormal proliferation of tumor cells. The experimental study demonstrates the inhibitory effect of IFN-γ on tumor cells and provides a theoretical basis for clinical application.</w:t>
      </w:r>
    </w:p>
    <w:p>
      <w:pPr>
        <w:widowControl/>
        <w:spacing w:line="240" w:lineRule="auto"/>
        <w:jc w:val="left"/>
        <w:rPr>
          <w:szCs w:val="24"/>
        </w:rPr>
      </w:pPr>
    </w:p>
    <w:p>
      <w:pPr>
        <w:widowControl/>
        <w:spacing w:line="240" w:lineRule="auto"/>
        <w:jc w:val="left"/>
        <w:rPr>
          <w:szCs w:val="24"/>
        </w:rPr>
      </w:pPr>
    </w:p>
    <w:p>
      <w:pPr>
        <w:spacing w:line="240" w:lineRule="auto"/>
        <w:rPr>
          <w:sz w:val="21"/>
        </w:rPr>
      </w:pPr>
      <w:r>
        <w:rPr>
          <w:b/>
          <w:bCs/>
          <w:szCs w:val="24"/>
        </w:rPr>
        <w:t>Key words</w:t>
      </w:r>
      <w:r>
        <w:rPr>
          <w:szCs w:val="24"/>
        </w:rPr>
        <w:t>: IFN-γ  PCR  Vector construction  Clone</w:t>
      </w:r>
      <w:r>
        <w:rPr>
          <w:sz w:val="21"/>
        </w:rPr>
        <w:br/>
      </w:r>
      <w:r>
        <w:rPr>
          <w:sz w:val="21"/>
        </w:rPr>
        <w:br/>
      </w:r>
    </w:p>
    <w:p>
      <w:pPr>
        <w:widowControl/>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https://d.book118.com/706044154241010052</w:t>
        </w:r>
      </w:hyperlink>
    </w:p>
    <w:p>
      <w:pPr>
        <w:spacing w:line="240" w:lineRule="auto"/>
        <w:rPr>
          <w:sz w:val="21"/>
        </w:rPr>
      </w:pPr>
    </w:p>
    <w:sectPr>
      <w:footerReference w:type="default" r:id="rId8"/>
      <w:type w:val="nextPage"/>
      <w:pgSz w:w="11906" w:h="16838"/>
      <w:pgMar w:top="1440" w:right="1800" w:bottom="1440" w:left="1800" w:header="851" w:footer="992" w:gutter="0"/>
      <w:pgNumType w:start="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147460213"/>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37145146"/>
      <w:docPartObj>
        <w:docPartGallery w:val="autotext"/>
      </w:docPartObj>
    </w:sdtPr>
    <w:sdtContent>
      <w:p>
        <w:pPr>
          <w:pStyle w:val="Footer"/>
          <w:jc w:val="center"/>
        </w:pPr>
        <w:r>
          <w:fldChar w:fldCharType="begin"/>
        </w:r>
        <w:r>
          <w:instrText>PAGE   \* MERGEFORMAT</w:instrText>
        </w:r>
        <w:r>
          <w:fldChar w:fldCharType="separate"/>
        </w:r>
        <w:r>
          <w:rPr>
            <w:lang w:val="zh-CN"/>
          </w:rPr>
          <w:t>2</w:t>
        </w:r>
        <w: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2CF0"/>
    <w:rsid w:val="0001220D"/>
    <w:rsid w:val="00016E27"/>
    <w:rsid w:val="00024A31"/>
    <w:rsid w:val="000275D7"/>
    <w:rsid w:val="000278D2"/>
    <w:rsid w:val="000304FF"/>
    <w:rsid w:val="00045F91"/>
    <w:rsid w:val="00053D00"/>
    <w:rsid w:val="00087096"/>
    <w:rsid w:val="00092284"/>
    <w:rsid w:val="000A1E40"/>
    <w:rsid w:val="000A2902"/>
    <w:rsid w:val="000C5953"/>
    <w:rsid w:val="000D044F"/>
    <w:rsid w:val="000E1E8F"/>
    <w:rsid w:val="000E20DF"/>
    <w:rsid w:val="000E22F5"/>
    <w:rsid w:val="000E2CD1"/>
    <w:rsid w:val="000E3732"/>
    <w:rsid w:val="000E3CAB"/>
    <w:rsid w:val="000E4DE0"/>
    <w:rsid w:val="000F02AA"/>
    <w:rsid w:val="000F2956"/>
    <w:rsid w:val="000F3690"/>
    <w:rsid w:val="000F4E9B"/>
    <w:rsid w:val="00104C04"/>
    <w:rsid w:val="00107383"/>
    <w:rsid w:val="00121F90"/>
    <w:rsid w:val="001277C7"/>
    <w:rsid w:val="00131B24"/>
    <w:rsid w:val="00136B86"/>
    <w:rsid w:val="00137488"/>
    <w:rsid w:val="00137CBC"/>
    <w:rsid w:val="001425FF"/>
    <w:rsid w:val="001443D7"/>
    <w:rsid w:val="00151891"/>
    <w:rsid w:val="00153FDB"/>
    <w:rsid w:val="00161D19"/>
    <w:rsid w:val="00164193"/>
    <w:rsid w:val="001870B1"/>
    <w:rsid w:val="00194BC3"/>
    <w:rsid w:val="00196B98"/>
    <w:rsid w:val="001A380D"/>
    <w:rsid w:val="001A56A6"/>
    <w:rsid w:val="001B1DB7"/>
    <w:rsid w:val="001B217C"/>
    <w:rsid w:val="001B4032"/>
    <w:rsid w:val="001D03D8"/>
    <w:rsid w:val="001D11B3"/>
    <w:rsid w:val="001D7186"/>
    <w:rsid w:val="001E7C2E"/>
    <w:rsid w:val="001F3FEB"/>
    <w:rsid w:val="00203024"/>
    <w:rsid w:val="00215B68"/>
    <w:rsid w:val="00223EA8"/>
    <w:rsid w:val="0022570D"/>
    <w:rsid w:val="00226218"/>
    <w:rsid w:val="00231CDB"/>
    <w:rsid w:val="00234AAE"/>
    <w:rsid w:val="00236AD1"/>
    <w:rsid w:val="00240914"/>
    <w:rsid w:val="00250B42"/>
    <w:rsid w:val="00253858"/>
    <w:rsid w:val="00253ADB"/>
    <w:rsid w:val="0026419A"/>
    <w:rsid w:val="00274093"/>
    <w:rsid w:val="002754C0"/>
    <w:rsid w:val="0028049A"/>
    <w:rsid w:val="00283EB0"/>
    <w:rsid w:val="002867FB"/>
    <w:rsid w:val="002A042F"/>
    <w:rsid w:val="002A2E50"/>
    <w:rsid w:val="002A74F5"/>
    <w:rsid w:val="002C4436"/>
    <w:rsid w:val="002C77EE"/>
    <w:rsid w:val="002D0A8E"/>
    <w:rsid w:val="002D4402"/>
    <w:rsid w:val="002D533F"/>
    <w:rsid w:val="002D5AD6"/>
    <w:rsid w:val="002E7929"/>
    <w:rsid w:val="002F427F"/>
    <w:rsid w:val="00307438"/>
    <w:rsid w:val="00317481"/>
    <w:rsid w:val="00322CC0"/>
    <w:rsid w:val="00327C61"/>
    <w:rsid w:val="00331E03"/>
    <w:rsid w:val="00332CD0"/>
    <w:rsid w:val="003378DB"/>
    <w:rsid w:val="00340BE6"/>
    <w:rsid w:val="0034558D"/>
    <w:rsid w:val="0034710F"/>
    <w:rsid w:val="003524BB"/>
    <w:rsid w:val="00352EB6"/>
    <w:rsid w:val="00356048"/>
    <w:rsid w:val="00362258"/>
    <w:rsid w:val="003708A0"/>
    <w:rsid w:val="00376AB4"/>
    <w:rsid w:val="00394317"/>
    <w:rsid w:val="00396A11"/>
    <w:rsid w:val="003A3476"/>
    <w:rsid w:val="003B6293"/>
    <w:rsid w:val="003C24C8"/>
    <w:rsid w:val="003C3011"/>
    <w:rsid w:val="003C6B43"/>
    <w:rsid w:val="003D4F05"/>
    <w:rsid w:val="003D4F55"/>
    <w:rsid w:val="003E3CBA"/>
    <w:rsid w:val="003E4D4D"/>
    <w:rsid w:val="003E6D13"/>
    <w:rsid w:val="00401E2A"/>
    <w:rsid w:val="0040360B"/>
    <w:rsid w:val="004103BA"/>
    <w:rsid w:val="004135C4"/>
    <w:rsid w:val="00427934"/>
    <w:rsid w:val="004334FC"/>
    <w:rsid w:val="00463973"/>
    <w:rsid w:val="00465783"/>
    <w:rsid w:val="004664F8"/>
    <w:rsid w:val="00472560"/>
    <w:rsid w:val="00472C0B"/>
    <w:rsid w:val="00477B1E"/>
    <w:rsid w:val="00482A4B"/>
    <w:rsid w:val="004A3A6F"/>
    <w:rsid w:val="004A4A50"/>
    <w:rsid w:val="004C0AE6"/>
    <w:rsid w:val="004D0D00"/>
    <w:rsid w:val="004D192A"/>
    <w:rsid w:val="004D3251"/>
    <w:rsid w:val="004F1ADB"/>
    <w:rsid w:val="00512612"/>
    <w:rsid w:val="00513E39"/>
    <w:rsid w:val="0052107C"/>
    <w:rsid w:val="00522FD1"/>
    <w:rsid w:val="005232B1"/>
    <w:rsid w:val="005245B9"/>
    <w:rsid w:val="0053590D"/>
    <w:rsid w:val="00543A2B"/>
    <w:rsid w:val="005461A2"/>
    <w:rsid w:val="00560C8A"/>
    <w:rsid w:val="0056444A"/>
    <w:rsid w:val="00572D5C"/>
    <w:rsid w:val="0058256E"/>
    <w:rsid w:val="00586C15"/>
    <w:rsid w:val="00587ABE"/>
    <w:rsid w:val="00594A0D"/>
    <w:rsid w:val="00595C50"/>
    <w:rsid w:val="005A07CA"/>
    <w:rsid w:val="005A7720"/>
    <w:rsid w:val="005B309E"/>
    <w:rsid w:val="005B5951"/>
    <w:rsid w:val="005B7515"/>
    <w:rsid w:val="005C4ECE"/>
    <w:rsid w:val="005D5387"/>
    <w:rsid w:val="005E113E"/>
    <w:rsid w:val="005E29A1"/>
    <w:rsid w:val="005F1B0A"/>
    <w:rsid w:val="005F1D14"/>
    <w:rsid w:val="005F4288"/>
    <w:rsid w:val="00606AC8"/>
    <w:rsid w:val="00607BEF"/>
    <w:rsid w:val="006223AB"/>
    <w:rsid w:val="006244EA"/>
    <w:rsid w:val="00632F2B"/>
    <w:rsid w:val="006427AA"/>
    <w:rsid w:val="00647830"/>
    <w:rsid w:val="00652803"/>
    <w:rsid w:val="00665A0D"/>
    <w:rsid w:val="006670E1"/>
    <w:rsid w:val="00670E3C"/>
    <w:rsid w:val="00677D08"/>
    <w:rsid w:val="00681665"/>
    <w:rsid w:val="00681B89"/>
    <w:rsid w:val="0068360A"/>
    <w:rsid w:val="00686AE8"/>
    <w:rsid w:val="00691FE4"/>
    <w:rsid w:val="00693C48"/>
    <w:rsid w:val="00694E87"/>
    <w:rsid w:val="006A2AEE"/>
    <w:rsid w:val="006A6078"/>
    <w:rsid w:val="006B2BD3"/>
    <w:rsid w:val="006B58DA"/>
    <w:rsid w:val="006C42EA"/>
    <w:rsid w:val="006D000D"/>
    <w:rsid w:val="006D0128"/>
    <w:rsid w:val="006D0D9A"/>
    <w:rsid w:val="006D7306"/>
    <w:rsid w:val="006D7F9F"/>
    <w:rsid w:val="006E31AF"/>
    <w:rsid w:val="006F2305"/>
    <w:rsid w:val="006F5678"/>
    <w:rsid w:val="006F7072"/>
    <w:rsid w:val="00700E99"/>
    <w:rsid w:val="00702C6D"/>
    <w:rsid w:val="00703109"/>
    <w:rsid w:val="007049E9"/>
    <w:rsid w:val="00704EDD"/>
    <w:rsid w:val="007079DD"/>
    <w:rsid w:val="0071495E"/>
    <w:rsid w:val="007261E5"/>
    <w:rsid w:val="00740C21"/>
    <w:rsid w:val="0074443E"/>
    <w:rsid w:val="00754127"/>
    <w:rsid w:val="007713A4"/>
    <w:rsid w:val="007756E2"/>
    <w:rsid w:val="00775FA5"/>
    <w:rsid w:val="007801C7"/>
    <w:rsid w:val="0078113E"/>
    <w:rsid w:val="00783259"/>
    <w:rsid w:val="007832D8"/>
    <w:rsid w:val="00783736"/>
    <w:rsid w:val="007850BE"/>
    <w:rsid w:val="00787139"/>
    <w:rsid w:val="0079006D"/>
    <w:rsid w:val="00796B44"/>
    <w:rsid w:val="007A01D8"/>
    <w:rsid w:val="007A032C"/>
    <w:rsid w:val="007A083F"/>
    <w:rsid w:val="007A1121"/>
    <w:rsid w:val="007A1378"/>
    <w:rsid w:val="007A22BF"/>
    <w:rsid w:val="007A308E"/>
    <w:rsid w:val="007B150D"/>
    <w:rsid w:val="007B3D93"/>
    <w:rsid w:val="007B65AF"/>
    <w:rsid w:val="007D12F8"/>
    <w:rsid w:val="007E4BB0"/>
    <w:rsid w:val="007F1597"/>
    <w:rsid w:val="007F2233"/>
    <w:rsid w:val="007F2B97"/>
    <w:rsid w:val="007F7DA7"/>
    <w:rsid w:val="008021E8"/>
    <w:rsid w:val="008032F8"/>
    <w:rsid w:val="008077D3"/>
    <w:rsid w:val="00813560"/>
    <w:rsid w:val="008177E2"/>
    <w:rsid w:val="00824DE7"/>
    <w:rsid w:val="00840DE3"/>
    <w:rsid w:val="00843E8E"/>
    <w:rsid w:val="008507C0"/>
    <w:rsid w:val="00851106"/>
    <w:rsid w:val="00851525"/>
    <w:rsid w:val="00865333"/>
    <w:rsid w:val="0086544D"/>
    <w:rsid w:val="00866669"/>
    <w:rsid w:val="0087284F"/>
    <w:rsid w:val="008766F4"/>
    <w:rsid w:val="00877304"/>
    <w:rsid w:val="008809F2"/>
    <w:rsid w:val="008811A9"/>
    <w:rsid w:val="00885E2C"/>
    <w:rsid w:val="00887FBE"/>
    <w:rsid w:val="00887FE9"/>
    <w:rsid w:val="00891D9B"/>
    <w:rsid w:val="00892C70"/>
    <w:rsid w:val="00894186"/>
    <w:rsid w:val="0089565A"/>
    <w:rsid w:val="00896B0B"/>
    <w:rsid w:val="008B24C0"/>
    <w:rsid w:val="008D3A1B"/>
    <w:rsid w:val="008D58A7"/>
    <w:rsid w:val="008D6E40"/>
    <w:rsid w:val="008E0C30"/>
    <w:rsid w:val="008E33E1"/>
    <w:rsid w:val="008E3777"/>
    <w:rsid w:val="008E6FAB"/>
    <w:rsid w:val="008E7989"/>
    <w:rsid w:val="008F74AB"/>
    <w:rsid w:val="00905684"/>
    <w:rsid w:val="00906074"/>
    <w:rsid w:val="009177F2"/>
    <w:rsid w:val="009245BA"/>
    <w:rsid w:val="00924D8E"/>
    <w:rsid w:val="00943829"/>
    <w:rsid w:val="00945247"/>
    <w:rsid w:val="00947CAE"/>
    <w:rsid w:val="00950FA6"/>
    <w:rsid w:val="00951C61"/>
    <w:rsid w:val="00954C43"/>
    <w:rsid w:val="009555EA"/>
    <w:rsid w:val="0095609B"/>
    <w:rsid w:val="00964604"/>
    <w:rsid w:val="009652A7"/>
    <w:rsid w:val="00974EAC"/>
    <w:rsid w:val="00997473"/>
    <w:rsid w:val="009A3EEE"/>
    <w:rsid w:val="009A449E"/>
    <w:rsid w:val="009A6E7E"/>
    <w:rsid w:val="009B1BC2"/>
    <w:rsid w:val="009B77F1"/>
    <w:rsid w:val="009C10C2"/>
    <w:rsid w:val="009C2DA5"/>
    <w:rsid w:val="009C2F7B"/>
    <w:rsid w:val="009C32D8"/>
    <w:rsid w:val="009D708B"/>
    <w:rsid w:val="009E06D8"/>
    <w:rsid w:val="009E2D31"/>
    <w:rsid w:val="009E395B"/>
    <w:rsid w:val="009E49A5"/>
    <w:rsid w:val="009E5CAB"/>
    <w:rsid w:val="009E7628"/>
    <w:rsid w:val="009F3AE4"/>
    <w:rsid w:val="009F7CE8"/>
    <w:rsid w:val="00A01D28"/>
    <w:rsid w:val="00A02580"/>
    <w:rsid w:val="00A06E53"/>
    <w:rsid w:val="00A2001F"/>
    <w:rsid w:val="00A2214C"/>
    <w:rsid w:val="00A309BC"/>
    <w:rsid w:val="00A45417"/>
    <w:rsid w:val="00A543CF"/>
    <w:rsid w:val="00A60AEE"/>
    <w:rsid w:val="00A65F89"/>
    <w:rsid w:val="00A724F1"/>
    <w:rsid w:val="00A76B8B"/>
    <w:rsid w:val="00AA33C5"/>
    <w:rsid w:val="00AA3DB0"/>
    <w:rsid w:val="00AA6E9E"/>
    <w:rsid w:val="00AC1E72"/>
    <w:rsid w:val="00AD039F"/>
    <w:rsid w:val="00AE3AF7"/>
    <w:rsid w:val="00B02FB3"/>
    <w:rsid w:val="00B104C7"/>
    <w:rsid w:val="00B2014E"/>
    <w:rsid w:val="00B21DDD"/>
    <w:rsid w:val="00B223D2"/>
    <w:rsid w:val="00B2648A"/>
    <w:rsid w:val="00B311C7"/>
    <w:rsid w:val="00B3631F"/>
    <w:rsid w:val="00B36DBC"/>
    <w:rsid w:val="00B41E34"/>
    <w:rsid w:val="00B466E8"/>
    <w:rsid w:val="00B50EAF"/>
    <w:rsid w:val="00B5165C"/>
    <w:rsid w:val="00B52C01"/>
    <w:rsid w:val="00B62020"/>
    <w:rsid w:val="00B62FFE"/>
    <w:rsid w:val="00B73AD5"/>
    <w:rsid w:val="00B83297"/>
    <w:rsid w:val="00B83E42"/>
    <w:rsid w:val="00BA253A"/>
    <w:rsid w:val="00BD4323"/>
    <w:rsid w:val="00BD6CB0"/>
    <w:rsid w:val="00BE0061"/>
    <w:rsid w:val="00BE0885"/>
    <w:rsid w:val="00BE2988"/>
    <w:rsid w:val="00BE454A"/>
    <w:rsid w:val="00BE477C"/>
    <w:rsid w:val="00BE6274"/>
    <w:rsid w:val="00BE6299"/>
    <w:rsid w:val="00BF2415"/>
    <w:rsid w:val="00BF290F"/>
    <w:rsid w:val="00BF472B"/>
    <w:rsid w:val="00BF676E"/>
    <w:rsid w:val="00BF7D55"/>
    <w:rsid w:val="00C05F1F"/>
    <w:rsid w:val="00C1024E"/>
    <w:rsid w:val="00C20510"/>
    <w:rsid w:val="00C2134C"/>
    <w:rsid w:val="00C23F66"/>
    <w:rsid w:val="00C352FD"/>
    <w:rsid w:val="00C359E4"/>
    <w:rsid w:val="00C35A67"/>
    <w:rsid w:val="00C44B51"/>
    <w:rsid w:val="00C51081"/>
    <w:rsid w:val="00C55FA0"/>
    <w:rsid w:val="00C6549F"/>
    <w:rsid w:val="00C70B41"/>
    <w:rsid w:val="00C813A1"/>
    <w:rsid w:val="00C92695"/>
    <w:rsid w:val="00C94ACA"/>
    <w:rsid w:val="00CA0D72"/>
    <w:rsid w:val="00CA2330"/>
    <w:rsid w:val="00CB6516"/>
    <w:rsid w:val="00CC248B"/>
    <w:rsid w:val="00CD577B"/>
    <w:rsid w:val="00CD62CA"/>
    <w:rsid w:val="00CE1762"/>
    <w:rsid w:val="00CE1C9A"/>
    <w:rsid w:val="00CE1E0F"/>
    <w:rsid w:val="00CE2B66"/>
    <w:rsid w:val="00CE2CF0"/>
    <w:rsid w:val="00CF093B"/>
    <w:rsid w:val="00D01004"/>
    <w:rsid w:val="00D02703"/>
    <w:rsid w:val="00D029F7"/>
    <w:rsid w:val="00D033F3"/>
    <w:rsid w:val="00D06B08"/>
    <w:rsid w:val="00D11856"/>
    <w:rsid w:val="00D1544F"/>
    <w:rsid w:val="00D300A3"/>
    <w:rsid w:val="00D309BC"/>
    <w:rsid w:val="00D476EB"/>
    <w:rsid w:val="00D50221"/>
    <w:rsid w:val="00D6166C"/>
    <w:rsid w:val="00D65481"/>
    <w:rsid w:val="00D74A25"/>
    <w:rsid w:val="00D75264"/>
    <w:rsid w:val="00D8426E"/>
    <w:rsid w:val="00D965DB"/>
    <w:rsid w:val="00D97BE2"/>
    <w:rsid w:val="00DA2C14"/>
    <w:rsid w:val="00DA47DB"/>
    <w:rsid w:val="00DA7DB8"/>
    <w:rsid w:val="00DB2AEB"/>
    <w:rsid w:val="00DB4748"/>
    <w:rsid w:val="00DC7728"/>
    <w:rsid w:val="00DC7D29"/>
    <w:rsid w:val="00DE0F20"/>
    <w:rsid w:val="00DE2624"/>
    <w:rsid w:val="00DF35E0"/>
    <w:rsid w:val="00DF5428"/>
    <w:rsid w:val="00E0654B"/>
    <w:rsid w:val="00E11FD5"/>
    <w:rsid w:val="00E16AE1"/>
    <w:rsid w:val="00E17A0F"/>
    <w:rsid w:val="00E219C0"/>
    <w:rsid w:val="00E27867"/>
    <w:rsid w:val="00E325B9"/>
    <w:rsid w:val="00E43806"/>
    <w:rsid w:val="00E5538F"/>
    <w:rsid w:val="00E56082"/>
    <w:rsid w:val="00E75756"/>
    <w:rsid w:val="00E81238"/>
    <w:rsid w:val="00E83C2C"/>
    <w:rsid w:val="00E844E1"/>
    <w:rsid w:val="00E87494"/>
    <w:rsid w:val="00E9364C"/>
    <w:rsid w:val="00E94406"/>
    <w:rsid w:val="00E94431"/>
    <w:rsid w:val="00EA03EF"/>
    <w:rsid w:val="00EB094F"/>
    <w:rsid w:val="00EB18F6"/>
    <w:rsid w:val="00EB2118"/>
    <w:rsid w:val="00EB223C"/>
    <w:rsid w:val="00EB6206"/>
    <w:rsid w:val="00EC0B4D"/>
    <w:rsid w:val="00EC2714"/>
    <w:rsid w:val="00ED1F18"/>
    <w:rsid w:val="00ED64B7"/>
    <w:rsid w:val="00EE7625"/>
    <w:rsid w:val="00EF4140"/>
    <w:rsid w:val="00EF520E"/>
    <w:rsid w:val="00F05387"/>
    <w:rsid w:val="00F07EAA"/>
    <w:rsid w:val="00F1166C"/>
    <w:rsid w:val="00F17535"/>
    <w:rsid w:val="00F23EE9"/>
    <w:rsid w:val="00F243AB"/>
    <w:rsid w:val="00F24833"/>
    <w:rsid w:val="00F30F9D"/>
    <w:rsid w:val="00F40D45"/>
    <w:rsid w:val="00F4223B"/>
    <w:rsid w:val="00F50F08"/>
    <w:rsid w:val="00F529AC"/>
    <w:rsid w:val="00F5343C"/>
    <w:rsid w:val="00F53CBA"/>
    <w:rsid w:val="00F56542"/>
    <w:rsid w:val="00F66E0B"/>
    <w:rsid w:val="00F67C4A"/>
    <w:rsid w:val="00F701A6"/>
    <w:rsid w:val="00F71D8D"/>
    <w:rsid w:val="00F74501"/>
    <w:rsid w:val="00F75991"/>
    <w:rsid w:val="00F8086B"/>
    <w:rsid w:val="00F8109F"/>
    <w:rsid w:val="00F84B47"/>
    <w:rsid w:val="00F86885"/>
    <w:rsid w:val="00F87A2F"/>
    <w:rsid w:val="00F87D93"/>
    <w:rsid w:val="00F90629"/>
    <w:rsid w:val="00F940BC"/>
    <w:rsid w:val="00F94834"/>
    <w:rsid w:val="00F969D7"/>
    <w:rsid w:val="00FA25B2"/>
    <w:rsid w:val="00FB161F"/>
    <w:rsid w:val="00FB1A71"/>
    <w:rsid w:val="00FB585B"/>
    <w:rsid w:val="00FD0DF9"/>
    <w:rsid w:val="00FE3E2A"/>
    <w:rsid w:val="00FF36E8"/>
    <w:rsid w:val="00FF37F1"/>
    <w:rsid w:val="13552CA0"/>
    <w:rsid w:val="145E24F8"/>
    <w:rsid w:val="6A8A24F9"/>
  </w:rsids>
  <w:docVars>
    <w:docVar w:name="commondata" w:val="eyJoZGlkIjoiZGY5OGNiNGUyMjQ5MmI4ZDQ3ZjRhNGEzOTgxOWU3NGEifQ=="/>
    <w:docVar w:name="EN.InstantFormat" w:val="&lt;ENInstantFormat&gt;&lt;Enabled&gt;1&lt;/Enabled&gt;&lt;ScanUnformatted&gt;1&lt;/ScanUnformatted&gt;&lt;ScanChanges&gt;1&lt;/ScanChanges&gt;&lt;Suspended&gt;0&lt;/Suspended&gt;&lt;/ENInstantFormat&gt;"/>
    <w:docVar w:name="EN.Layout" w:val="&lt;ENLayout&gt;&lt;Style&gt;Chinese Std GBT7714 (numeric)&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x2srwf06zev20eex2mpdavb0xsv5esa2apd&quot;&gt;My EndNote Library&lt;record-ids&gt;&lt;item&gt;1&lt;/item&gt;&lt;item&gt;3&lt;/item&gt;&lt;item&gt;5&lt;/item&gt;&lt;item&gt;8&lt;/item&gt;&lt;item&gt;9&lt;/item&gt;&lt;item&gt;12&lt;/item&gt;&lt;item&gt;13&lt;/item&gt;&lt;item&gt;14&lt;/item&gt;&lt;item&gt;16&lt;/item&gt;&lt;item&gt;19&lt;/item&gt;&lt;item&gt;23&lt;/item&gt;&lt;item&gt;28&lt;/item&gt;&lt;item&gt;34&lt;/item&gt;&lt;item&gt;41&lt;/item&gt;&lt;item&gt;49&lt;/item&gt;&lt;item&gt;58&lt;/item&gt;&lt;item&gt;68&lt;/item&gt;&lt;item&gt;79&lt;/item&gt;&lt;item&gt;91&lt;/item&gt;&lt;item&gt;104&lt;/item&gt;&lt;item&gt;118&lt;/item&gt;&lt;item&gt;133&lt;/item&gt;&lt;item&gt;164&lt;/item&gt;&lt;item&gt;181&lt;/item&gt;&lt;item&gt;199&lt;/item&gt;&lt;item&gt;218&lt;/item&gt;&lt;item&gt;238&lt;/item&gt;&lt;item&gt;259&lt;/item&gt;&lt;item&gt;281&lt;/item&gt;&lt;item&gt;304&lt;/item&gt;&lt;item&gt;328&lt;/item&gt;&lt;item&gt;353&lt;/item&gt;&lt;/record-ids&gt;&lt;/item&gt;&lt;/Libraries&gt;"/>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semiHidden="0"/>
    <w:lsdException w:name="annotation text"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39" w:unhideWhenUsed="0" w:qFormat="1"/>
    <w:lsdException w:name="Table Theme"/>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400" w:lineRule="exact"/>
      <w:jc w:val="both"/>
    </w:pPr>
    <w:rPr>
      <w:rFonts w:ascii="Times New Roman" w:eastAsia="宋体" w:hAnsi="Times New Roman" w:cs="Times New Roman"/>
      <w:kern w:val="2"/>
      <w:sz w:val="24"/>
      <w:szCs w:val="21"/>
      <w:lang w:val="en-US" w:eastAsia="zh-CN" w:bidi="ar-SA"/>
    </w:rPr>
  </w:style>
  <w:style w:type="paragraph" w:styleId="Heading1">
    <w:name w:val="heading 1"/>
    <w:basedOn w:val="Normal"/>
    <w:next w:val="Normal"/>
    <w:link w:val="10"/>
    <w:uiPriority w:val="9"/>
    <w:qFormat/>
    <w:pPr>
      <w:keepNext/>
      <w:keepLines/>
      <w:spacing w:before="260" w:after="260"/>
      <w:jc w:val="center"/>
      <w:outlineLvl w:val="0"/>
    </w:pPr>
    <w:rPr>
      <w:b/>
      <w:bCs/>
      <w:kern w:val="44"/>
      <w:sz w:val="30"/>
      <w:szCs w:val="44"/>
    </w:rPr>
  </w:style>
  <w:style w:type="paragraph" w:styleId="Heading2">
    <w:name w:val="heading 2"/>
    <w:basedOn w:val="Normal"/>
    <w:next w:val="Normal"/>
    <w:link w:val="2"/>
    <w:uiPriority w:val="9"/>
    <w:unhideWhenUsed/>
    <w:qFormat/>
    <w:pPr>
      <w:keepNext/>
      <w:keepLines/>
      <w:spacing w:before="260" w:after="260"/>
      <w:outlineLvl w:val="1"/>
    </w:pPr>
    <w:rPr>
      <w:rFonts w:cstheme="majorBidi"/>
      <w:b/>
      <w:bCs/>
      <w:sz w:val="28"/>
      <w:szCs w:val="32"/>
    </w:rPr>
  </w:style>
  <w:style w:type="paragraph" w:styleId="Heading3">
    <w:name w:val="heading 3"/>
    <w:basedOn w:val="Normal"/>
    <w:next w:val="Normal"/>
    <w:link w:val="3"/>
    <w:uiPriority w:val="9"/>
    <w:unhideWhenUsed/>
    <w:qFormat/>
    <w:pPr>
      <w:keepNext/>
      <w:keepLines/>
      <w:spacing w:before="260" w:after="260"/>
      <w:outlineLvl w:val="2"/>
    </w:pPr>
    <w:rPr>
      <w:b/>
      <w:bCs/>
      <w:szCs w:val="32"/>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CommentText">
    <w:name w:val="annotation text"/>
    <w:basedOn w:val="Normal"/>
    <w:link w:val="a3"/>
    <w:uiPriority w:val="99"/>
    <w:semiHidden/>
    <w:unhideWhenUsed/>
    <w:qFormat/>
    <w:pPr>
      <w:jc w:val="left"/>
    </w:pPr>
  </w:style>
  <w:style w:type="paragraph" w:styleId="TOC3">
    <w:name w:val="toc 3"/>
    <w:basedOn w:val="Normal"/>
    <w:next w:val="Normal"/>
    <w:uiPriority w:val="39"/>
    <w:unhideWhenUsed/>
    <w:qFormat/>
    <w:pPr>
      <w:widowControl/>
      <w:ind w:left="400" w:leftChars="400"/>
      <w:jc w:val="left"/>
    </w:pPr>
    <w:rPr>
      <w:kern w:val="0"/>
      <w:szCs w:val="22"/>
    </w:rPr>
  </w:style>
  <w:style w:type="paragraph" w:styleId="BalloonText">
    <w:name w:val="Balloon Text"/>
    <w:basedOn w:val="Normal"/>
    <w:link w:val="a5"/>
    <w:uiPriority w:val="99"/>
    <w:semiHidden/>
    <w:unhideWhenUsed/>
    <w:qFormat/>
    <w:rPr>
      <w:sz w:val="18"/>
      <w:szCs w:val="18"/>
    </w:rPr>
  </w:style>
  <w:style w:type="paragraph" w:styleId="Footer">
    <w:name w:val="footer"/>
    <w:basedOn w:val="Normal"/>
    <w:link w:val="a1"/>
    <w:uiPriority w:val="99"/>
    <w:unhideWhenUsed/>
    <w:qFormat/>
    <w:pPr>
      <w:tabs>
        <w:tab w:val="center" w:pos="4153"/>
        <w:tab w:val="right" w:pos="8306"/>
      </w:tabs>
      <w:snapToGrid w:val="0"/>
      <w:jc w:val="left"/>
    </w:pPr>
    <w:rPr>
      <w:sz w:val="18"/>
      <w:szCs w:val="18"/>
    </w:rPr>
  </w:style>
  <w:style w:type="paragraph" w:styleId="Header">
    <w:name w:val="header"/>
    <w:basedOn w:val="Normal"/>
    <w:link w:val="a0"/>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pPr>
      <w:widowControl/>
      <w:jc w:val="left"/>
    </w:pPr>
    <w:rPr>
      <w:kern w:val="0"/>
      <w:szCs w:val="22"/>
    </w:rPr>
  </w:style>
  <w:style w:type="paragraph" w:styleId="FootnoteText">
    <w:name w:val="footnote text"/>
    <w:basedOn w:val="Normal"/>
    <w:link w:val="a2"/>
    <w:uiPriority w:val="99"/>
    <w:unhideWhenUsed/>
    <w:pPr>
      <w:widowControl/>
      <w:jc w:val="left"/>
    </w:pPr>
    <w:rPr>
      <w:rFonts w:asciiTheme="minorHAnsi" w:eastAsiaTheme="minorEastAsia" w:hAnsiTheme="minorHAnsi"/>
      <w:kern w:val="0"/>
      <w:sz w:val="20"/>
      <w:szCs w:val="20"/>
    </w:rPr>
  </w:style>
  <w:style w:type="paragraph" w:styleId="TOC2">
    <w:name w:val="toc 2"/>
    <w:basedOn w:val="Normal"/>
    <w:next w:val="Normal"/>
    <w:uiPriority w:val="39"/>
    <w:unhideWhenUsed/>
    <w:qFormat/>
    <w:pPr>
      <w:ind w:left="200" w:leftChars="200"/>
    </w:pPr>
  </w:style>
  <w:style w:type="paragraph" w:styleId="CommentSubject">
    <w:name w:val="annotation subject"/>
    <w:basedOn w:val="CommentText"/>
    <w:next w:val="CommentText"/>
    <w:link w:val="a4"/>
    <w:uiPriority w:val="99"/>
    <w:semiHidden/>
    <w:unhideWhenUsed/>
    <w:qFormat/>
    <w:rPr>
      <w:b/>
      <w:bCs/>
    </w:rPr>
  </w:style>
  <w:style w:type="table" w:styleId="TableGrid">
    <w:name w:val="Table Grid"/>
    <w:basedOn w:val="TableNormal"/>
    <w:uiPriority w:val="39"/>
    <w:qFormat/>
    <w:tblPr>
      <w:tblBorders>
        <w:top w:val="single" w:sz="6" w:space="0" w:color="auto"/>
        <w:bottom w:val="single" w:sz="6" w:space="0" w:color="auto"/>
      </w:tblBorders>
    </w:tblPr>
  </w:style>
  <w:style w:type="table" w:styleId="LightShadingAccent1">
    <w:name w:val="Light Shading Accent 1"/>
    <w:basedOn w:val="TableNormal"/>
    <w:uiPriority w:val="60"/>
    <w:rPr>
      <w:color w:val="2F5597" w:themeColor="accent1" w:themeShade="BF"/>
      <w:sz w:val="22"/>
      <w:szCs w:val="22"/>
    </w:rPr>
    <w:tblPr>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CF0" w:themeFill="accent1" w:themeFillTint="3F"/>
      </w:tcPr>
    </w:tblStylePr>
    <w:tblStylePr w:type="band1Horz">
      <w:tblPr/>
      <w:tcPr>
        <w:tcBorders>
          <w:left w:val="nil"/>
          <w:right w:val="nil"/>
          <w:insideH w:val="nil"/>
          <w:insideV w:val="nil"/>
        </w:tcBorders>
        <w:shd w:val="clear" w:color="auto" w:fill="D0DCF0" w:themeFill="accent1" w:themeFillTint="3F"/>
      </w:tcPr>
    </w:tblStylePr>
  </w:style>
  <w:style w:type="character" w:styleId="Hyperlink">
    <w:name w:val="Hyperlink"/>
    <w:basedOn w:val="DefaultParagraphFont"/>
    <w:uiPriority w:val="99"/>
    <w:unhideWhenUsed/>
    <w:qFormat/>
    <w:rPr>
      <w:color w:val="0563C1" w:themeColor="hyperlink"/>
      <w:u w:val="single"/>
      <w14:textFill>
        <w14:solidFill>
          <w14:schemeClr w14:val="hlink"/>
        </w14:solidFill>
      </w14:textFill>
    </w:rPr>
  </w:style>
  <w:style w:type="character" w:styleId="CommentReference">
    <w:name w:val="annotation reference"/>
    <w:basedOn w:val="DefaultParagraphFont"/>
    <w:uiPriority w:val="99"/>
    <w:semiHidden/>
    <w:unhideWhenUsed/>
    <w:rPr>
      <w:sz w:val="21"/>
      <w:szCs w:val="21"/>
    </w:rPr>
  </w:style>
  <w:style w:type="paragraph" w:styleId="ListParagraph">
    <w:name w:val="List Paragraph"/>
    <w:basedOn w:val="Normal"/>
    <w:link w:val="a"/>
    <w:uiPriority w:val="34"/>
    <w:qFormat/>
    <w:pPr>
      <w:ind w:firstLine="420" w:firstLineChars="200"/>
    </w:pPr>
  </w:style>
  <w:style w:type="paragraph" w:customStyle="1" w:styleId="EndNoteBibliographyTitle">
    <w:name w:val="EndNote Bibliography Title"/>
    <w:basedOn w:val="Normal"/>
    <w:link w:val="EndNoteBibliographyTitle0"/>
    <w:qFormat/>
    <w:pPr>
      <w:jc w:val="center"/>
    </w:pPr>
    <w:rPr>
      <w:sz w:val="20"/>
    </w:rPr>
  </w:style>
  <w:style w:type="character" w:customStyle="1" w:styleId="a">
    <w:name w:val="列表段落 字符"/>
    <w:basedOn w:val="DefaultParagraphFont"/>
    <w:link w:val="ListParagraph"/>
    <w:uiPriority w:val="34"/>
    <w:qFormat/>
    <w:rPr>
      <w:rFonts w:ascii="Times New Roman" w:eastAsia="宋体" w:hAnsi="Times New Roman" w:cs="Times New Roman"/>
      <w:szCs w:val="21"/>
    </w:rPr>
  </w:style>
  <w:style w:type="character" w:customStyle="1" w:styleId="EndNoteBibliographyTitle0">
    <w:name w:val="EndNote Bibliography Title 字符"/>
    <w:basedOn w:val="a"/>
    <w:link w:val="EndNoteBibliographyTitle"/>
    <w:qFormat/>
    <w:rPr>
      <w:rFonts w:ascii="Times New Roman" w:eastAsia="宋体" w:hAnsi="Times New Roman" w:cs="Times New Roman"/>
      <w:kern w:val="2"/>
      <w:szCs w:val="21"/>
    </w:rPr>
  </w:style>
  <w:style w:type="paragraph" w:customStyle="1" w:styleId="EndNoteBibliography">
    <w:name w:val="EndNote Bibliography"/>
    <w:basedOn w:val="Normal"/>
    <w:link w:val="EndNoteBibliography0"/>
    <w:pPr>
      <w:spacing w:line="240" w:lineRule="exact"/>
    </w:pPr>
    <w:rPr>
      <w:sz w:val="20"/>
    </w:rPr>
  </w:style>
  <w:style w:type="character" w:customStyle="1" w:styleId="EndNoteBibliography0">
    <w:name w:val="EndNote Bibliography 字符"/>
    <w:basedOn w:val="a"/>
    <w:link w:val="EndNoteBibliography"/>
    <w:qFormat/>
    <w:rPr>
      <w:rFonts w:ascii="Times New Roman" w:eastAsia="宋体" w:hAnsi="Times New Roman" w:cs="Times New Roman"/>
      <w:kern w:val="2"/>
      <w:szCs w:val="21"/>
    </w:rPr>
  </w:style>
  <w:style w:type="character" w:customStyle="1" w:styleId="a0">
    <w:name w:val="页眉 字符"/>
    <w:basedOn w:val="DefaultParagraphFont"/>
    <w:link w:val="Header"/>
    <w:uiPriority w:val="99"/>
    <w:qFormat/>
    <w:rPr>
      <w:rFonts w:ascii="Times New Roman" w:eastAsia="宋体" w:hAnsi="Times New Roman" w:cs="Times New Roman"/>
      <w:kern w:val="2"/>
      <w:sz w:val="18"/>
      <w:szCs w:val="18"/>
    </w:rPr>
  </w:style>
  <w:style w:type="character" w:customStyle="1" w:styleId="a1">
    <w:name w:val="页脚 字符"/>
    <w:basedOn w:val="DefaultParagraphFont"/>
    <w:link w:val="Footer"/>
    <w:uiPriority w:val="99"/>
    <w:qFormat/>
    <w:rPr>
      <w:rFonts w:ascii="Times New Roman" w:eastAsia="宋体" w:hAnsi="Times New Roman" w:cs="Times New Roman"/>
      <w:kern w:val="2"/>
      <w:sz w:val="18"/>
      <w:szCs w:val="18"/>
    </w:rPr>
  </w:style>
  <w:style w:type="paragraph" w:customStyle="1" w:styleId="DecimalAligned">
    <w:name w:val="Decimal Aligned"/>
    <w:basedOn w:val="Normal"/>
    <w:uiPriority w:val="40"/>
    <w:qFormat/>
    <w:pPr>
      <w:widowControl/>
      <w:tabs>
        <w:tab w:val="decimal" w:pos="360"/>
      </w:tabs>
      <w:spacing w:after="200" w:line="276" w:lineRule="auto"/>
      <w:jc w:val="left"/>
    </w:pPr>
    <w:rPr>
      <w:rFonts w:asciiTheme="minorHAnsi" w:eastAsiaTheme="minorEastAsia" w:hAnsiTheme="minorHAnsi"/>
      <w:kern w:val="0"/>
      <w:sz w:val="22"/>
      <w:szCs w:val="22"/>
    </w:rPr>
  </w:style>
  <w:style w:type="character" w:customStyle="1" w:styleId="a2">
    <w:name w:val="脚注文本 字符"/>
    <w:basedOn w:val="DefaultParagraphFont"/>
    <w:link w:val="FootnoteText"/>
    <w:uiPriority w:val="99"/>
    <w:qFormat/>
    <w:rPr>
      <w:rFonts w:cs="Times New Roman"/>
    </w:rPr>
  </w:style>
  <w:style w:type="character" w:customStyle="1" w:styleId="1">
    <w:name w:val="不明显强调1"/>
    <w:basedOn w:val="DefaultParagraphFont"/>
    <w:uiPriority w:val="19"/>
    <w:qFormat/>
    <w:rPr>
      <w:i/>
      <w:iCs/>
    </w:rPr>
  </w:style>
  <w:style w:type="character" w:customStyle="1" w:styleId="10">
    <w:name w:val="标题 1 字符"/>
    <w:basedOn w:val="DefaultParagraphFont"/>
    <w:link w:val="Heading1"/>
    <w:uiPriority w:val="9"/>
    <w:qFormat/>
    <w:rPr>
      <w:rFonts w:ascii="Times New Roman" w:eastAsia="宋体" w:hAnsi="Times New Roman" w:cs="Times New Roman"/>
      <w:b/>
      <w:bCs/>
      <w:kern w:val="44"/>
      <w:sz w:val="30"/>
      <w:szCs w:val="44"/>
    </w:rPr>
  </w:style>
  <w:style w:type="paragraph" w:customStyle="1" w:styleId="TOC10">
    <w:name w:val="TOC 标题1"/>
    <w:basedOn w:val="Heading1"/>
    <w:next w:val="Normal"/>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597" w:themeColor="accent1" w:themeShade="BF"/>
      <w:kern w:val="0"/>
      <w:sz w:val="32"/>
      <w:szCs w:val="32"/>
    </w:rPr>
  </w:style>
  <w:style w:type="character" w:styleId="PlaceholderText">
    <w:name w:val="Placeholder Text"/>
    <w:basedOn w:val="DefaultParagraphFont"/>
    <w:uiPriority w:val="99"/>
    <w:semiHidden/>
    <w:qFormat/>
    <w:rPr>
      <w:color w:val="808080"/>
    </w:rPr>
  </w:style>
  <w:style w:type="character" w:customStyle="1" w:styleId="a3">
    <w:name w:val="批注文字 字符"/>
    <w:basedOn w:val="DefaultParagraphFont"/>
    <w:link w:val="CommentText"/>
    <w:uiPriority w:val="99"/>
    <w:semiHidden/>
    <w:qFormat/>
    <w:rPr>
      <w:rFonts w:ascii="Times New Roman" w:eastAsia="宋体" w:hAnsi="Times New Roman" w:cs="Times New Roman"/>
      <w:kern w:val="2"/>
      <w:sz w:val="21"/>
      <w:szCs w:val="21"/>
    </w:rPr>
  </w:style>
  <w:style w:type="character" w:customStyle="1" w:styleId="a4">
    <w:name w:val="批注主题 字符"/>
    <w:basedOn w:val="a3"/>
    <w:link w:val="CommentSubject"/>
    <w:uiPriority w:val="99"/>
    <w:semiHidden/>
    <w:qFormat/>
    <w:rPr>
      <w:rFonts w:ascii="Times New Roman" w:eastAsia="宋体" w:hAnsi="Times New Roman" w:cs="Times New Roman"/>
      <w:b/>
      <w:bCs/>
      <w:kern w:val="2"/>
      <w:sz w:val="21"/>
      <w:szCs w:val="21"/>
    </w:rPr>
  </w:style>
  <w:style w:type="character" w:customStyle="1" w:styleId="a5">
    <w:name w:val="批注框文本 字符"/>
    <w:basedOn w:val="DefaultParagraphFont"/>
    <w:link w:val="BalloonText"/>
    <w:uiPriority w:val="99"/>
    <w:semiHidden/>
    <w:qFormat/>
    <w:rPr>
      <w:rFonts w:ascii="Times New Roman" w:eastAsia="宋体" w:hAnsi="Times New Roman" w:cs="Times New Roman"/>
      <w:kern w:val="2"/>
      <w:sz w:val="18"/>
      <w:szCs w:val="18"/>
    </w:rPr>
  </w:style>
  <w:style w:type="character" w:customStyle="1" w:styleId="2">
    <w:name w:val="标题 2 字符"/>
    <w:basedOn w:val="DefaultParagraphFont"/>
    <w:link w:val="Heading2"/>
    <w:uiPriority w:val="9"/>
    <w:qFormat/>
    <w:rPr>
      <w:rFonts w:ascii="Times New Roman" w:eastAsia="宋体" w:hAnsi="Times New Roman" w:cstheme="majorBidi"/>
      <w:b/>
      <w:bCs/>
      <w:kern w:val="2"/>
      <w:sz w:val="28"/>
      <w:szCs w:val="32"/>
    </w:rPr>
  </w:style>
  <w:style w:type="character" w:customStyle="1" w:styleId="3">
    <w:name w:val="标题 3 字符"/>
    <w:basedOn w:val="DefaultParagraphFont"/>
    <w:link w:val="Heading3"/>
    <w:uiPriority w:val="9"/>
    <w:rPr>
      <w:rFonts w:ascii="Times New Roman" w:eastAsia="宋体" w:hAnsi="Times New Roman" w:cs="Times New Roman"/>
      <w:b/>
      <w:bCs/>
      <w:kern w:val="2"/>
      <w:sz w:val="24"/>
      <w:szCs w:val="32"/>
    </w:rPr>
  </w:style>
  <w:style w:type="table" w:customStyle="1" w:styleId="11">
    <w:name w:val="清单表1"/>
    <w:basedOn w:val="TableNormal"/>
    <w:uiPriority w:val="39"/>
    <w:qFormat/>
    <w:pPr>
      <w:spacing w:line="400" w:lineRule="exact"/>
      <w:jc w:val="both"/>
    </w:pPr>
    <w:tblPr>
      <w:tblBorders>
        <w:top w:val="single" w:sz="6" w:space="0" w:color="auto"/>
        <w:bottom w:val="single" w:sz="6" w:space="0" w:color="auto"/>
      </w:tblBorders>
    </w:tblPr>
  </w:style>
  <w:style w:type="table" w:customStyle="1" w:styleId="20">
    <w:name w:val="清单表2"/>
    <w:basedOn w:val="TableNormal"/>
    <w:uiPriority w:val="39"/>
    <w:pPr>
      <w:spacing w:line="400" w:lineRule="exact"/>
      <w:jc w:val="both"/>
    </w:pPr>
    <w:tblPr>
      <w:tblBorders>
        <w:top w:val="single" w:sz="6" w:space="0" w:color="auto"/>
        <w:bottom w:val="single" w:sz="6" w:space="0" w:color="auto"/>
      </w:tblBorders>
    </w:tblPr>
  </w:style>
  <w:style w:type="table" w:customStyle="1" w:styleId="30">
    <w:name w:val="清单表3"/>
    <w:basedOn w:val="TableNormal"/>
    <w:uiPriority w:val="39"/>
    <w:qFormat/>
    <w:pPr>
      <w:spacing w:line="400" w:lineRule="exact"/>
      <w:jc w:val="both"/>
    </w:pPr>
    <w:tblPr>
      <w:tblBorders>
        <w:top w:val="single" w:sz="6" w:space="0" w:color="auto"/>
        <w:bottom w:val="single" w:sz="6" w:space="0" w:color="auto"/>
      </w:tblBorders>
    </w:tblPr>
  </w:style>
  <w:style w:type="table" w:customStyle="1" w:styleId="4">
    <w:name w:val="清单表4"/>
    <w:basedOn w:val="TableNormal"/>
    <w:uiPriority w:val="39"/>
    <w:qFormat/>
    <w:pPr>
      <w:spacing w:line="400" w:lineRule="exact"/>
      <w:jc w:val="both"/>
    </w:pPr>
    <w:tblPr>
      <w:tblBorders>
        <w:top w:val="single" w:sz="6" w:space="0" w:color="auto"/>
        <w:bottom w:val="single" w:sz="6" w:space="0" w:color="auto"/>
      </w:tblBorders>
    </w:tblPr>
  </w:style>
  <w:style w:type="table" w:customStyle="1" w:styleId="5">
    <w:name w:val="清单表5"/>
    <w:basedOn w:val="TableNormal"/>
    <w:uiPriority w:val="39"/>
    <w:qFormat/>
    <w:pPr>
      <w:spacing w:line="400" w:lineRule="exact"/>
      <w:jc w:val="both"/>
    </w:pPr>
    <w:tblPr>
      <w:tblBorders>
        <w:top w:val="single" w:sz="6" w:space="0" w:color="auto"/>
        <w:bottom w:val="single" w:sz="6" w:space="0" w:color="auto"/>
      </w:tblBorders>
    </w:tblPr>
  </w:style>
  <w:style w:type="table" w:customStyle="1" w:styleId="6">
    <w:name w:val="清单表6"/>
    <w:basedOn w:val="TableNormal"/>
    <w:uiPriority w:val="39"/>
    <w:pPr>
      <w:spacing w:line="400" w:lineRule="exact"/>
      <w:jc w:val="both"/>
    </w:pPr>
    <w:tblPr>
      <w:tblBorders>
        <w:top w:val="single" w:sz="6" w:space="0" w:color="auto"/>
        <w:bottom w:val="single" w:sz="6"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hyperlink" Target="https://d.book118.com/706044154241010052" TargetMode="External" /><Relationship Id="rId8" Type="http://schemas.openxmlformats.org/officeDocument/2006/relationships/footer" Target="footer2.xm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bwMode="auto">
        <a:solidFill>
          <a:srgbClr val="FFFFFF"/>
        </a:solidFill>
        <a:ln w="9525">
          <a:solidFill>
            <a:srgbClr val="000000"/>
          </a:solidFill>
          <a:miter lim="800000"/>
        </a:ln>
      </a:spPr>
      <a:bodyPr rot="0" vert="horz" wrap="square" lIns="91440" tIns="45720" rIns="91440" bIns="45720" anchor="t" anchorCtr="0" upright="1">
        <a:noAutofit/>
      </a:bodyPr>
      <a:lstStyle/>
    </a:txDef>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E9AA7A5-6F01-4805-8719-B02D1C3F5161}">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9230</Words>
  <Characters>52614</Characters>
  <Application>Microsoft Office Word</Application>
  <DocSecurity>0</DocSecurity>
  <Lines>438</Lines>
  <Paragraphs>123</Paragraphs>
  <ScaleCrop>false</ScaleCrop>
  <Company>微软中国</Company>
  <LinksUpToDate>false</LinksUpToDate>
  <CharactersWithSpaces>61721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秦 潇</dc:creator>
  <cp:lastModifiedBy>张老师</cp:lastModifiedBy>
  <cp:revision>4</cp:revision>
  <cp:lastPrinted>2021-05-14T09:55:00Z</cp:lastPrinted>
  <dcterms:created xsi:type="dcterms:W3CDTF">2019-06-13T00:54:00Z</dcterms:created>
  <dcterms:modified xsi:type="dcterms:W3CDTF">2023-10-29T06:54:33Z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E1E89A24D3E44A10B512BDE50EA242AC_12</vt:lpwstr>
  </property>
  <property fmtid="{D5CDD505-2E9C-101B-9397-08002B2CF9AE}" pid="3" name="KSOProductBuildVer">
    <vt:lpwstr>2052-12.1.0.15712</vt:lpwstr>
  </property>
</Properties>
</file>