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2015-2023年湖北轻工职业技术学院高职单招（数学／语文／英语）历年参考题库带答案解析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《日出》中没有下面哪一个人物（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A.翠翠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B.陈白露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C.翠喜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D.小东西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“亟请于武公”句中“亟”的意思是（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A.迅速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B.急忙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C.屡次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D.竭力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《季氏将伐颛臾》中用“危而不持，颠而不扶”说理，其论证方法属于（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《论快乐》一文提出快乐是（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A.分为肉体和精神的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B.人生的享受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C.人生的本质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D.由精神来决定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王安石的《答司马谏议书》是一篇什么体的驳论文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A.奏疏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B.书信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C.辞赋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陶渊明诗作中，成就最高的是（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B.咏怀诗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C.咏史诗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D.咏怀和咏史诗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“你们真是没有良心哪，你们这样对待我，——是贼，是强盗，是鬼呀”，这句台词出自（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A.曹禺的《日出》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B.老舍的《茶馆》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C.田汉的《南归》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D.新歌剧《白毛女》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下列诗歌中，同属乐府诗的是（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A.李白《行路难》、陆游《关山月》、曹操《短歌行》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B.王维《山居秋暝》、曹操《短歌行》、李白《行路难》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C.陆游《关山月》、曹操《短歌行》、屈原《国殇》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D.陆游《关山月》、白居易《杜陵叟》、王维《山居秋暝》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在小说创作中诙谐幽默，寓悲于喜，形成“含泪的微笑”独特风格的作家是（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A.美国作家欧·亨利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B.俄国作家契诃夫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C.苏联作家高尔基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D.法国作家莫泊桑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下列诗人中属于边塞诗派的是（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A.王昌龄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B.孟浩然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C.常建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《论快乐》一文提出精神的炼金术能（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A.比一切宗教信仰更有效力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B.使肉体痛苦都变成快乐的资料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C.教人学会休息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D.洗涤灵魂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奠定梁实秋在中国现代散文史上的地位的一部作品是（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A.《槐园梦忆》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B.《雅舍小品》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C.《雅舍谈吃》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D.《实秋杂文》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关于苏轼《前赤壁赋》一文，下列表述错误的是（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A.是一篇文赋。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B.文章的语言骈散相间，音韵和谐。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C.文章在结构上采用的是主客问答、伸客抑主的方法。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D.文章中的景物描写体现出作者乐观豁达的人生态度。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苏轼的《水调歌头》（明月几时有）是一首（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A.清明词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B.重阳词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C.端午词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D.中秋词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https://d.book118.com/706144152042010053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70614415204201005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