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2018-2023年新疆铁道职业技术学院高职单招（数学／语文／英语）历年常考试题库含答案解析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“文章合为时而著，歌诗合为事而作”的口号是谁提出的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在中国现代小说史上，与茅盾、巴金齐名的另一位现代长篇小说家是（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A.沈从文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B.丁玲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D.老舍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《行路难》中具有象征意义的诗句是（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A.欲渡黄河冰塞川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B.玉盘珍羞直万钱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C.停杯投箸不能食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D.拔剑四顾心茫然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下列作品中，通篇采用寓言形式说理的是（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C.《冯谖客孟尝君》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下列句中，“所以”可译成“用来”的是（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A.以其所以至之鲜也。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B.此五帝三王之所以无敌也。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C.祸莫大于杀已降，此乃将军所以不得侯者也。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D.此非所以跨海内、制诸侯之术也。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梁启超《论毅力》一文的中心论点是（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A.有毅力者成，反是者败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B.人生历程，大抵逆境居十六七，顺境亦居十三四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C.小逆之后，必有小顺；大逆之后，必有大顺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D.成败之数，视此而已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《秋水》中北海若对“自多”的态度是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A.反对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B.赞成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C.无所谓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D.顺其自然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《李将军列传》中作者将李广和李蔡对比的目的是凸显李广（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A.勇猛善射的武功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B.体恤部下的武德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C.终生未封的遭遇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D.治军简易的特点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“井蛙不可以语于海者，拘于虚也；夏虫不可以语于冰者，笃于时也；曲士不可以语于道者，束于教也”交融运用了（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A.夸张、排比、比喻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B.比喻、拟人、排比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C.借代、对偶、拟人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D.拟人、夸张、对偶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下列议论文中，属于驳论的是（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B.《论快乐》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D.《论毅力》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“忽如一夜春风来，千树万树梨花开”这两句诗所采用的修辞方法是（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A.比喻、夸张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C.借代、比喻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D.借代、夸张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“蜗角虚名，蝇头微利”的修辞手法是（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A.比喻、对偶、用典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B.排比、比喻、夸张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C.对偶、拟人、用典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D.拟人、对比、对偶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梁启超《论毅力》的中心论点是（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A.有毅力者成，反是者败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B.其阻力虽或大或小，而要之必无可逃避者也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C.顺逆两境又常相间以迭乘。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D.非至强之人，未有能善于其终者也。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14.</w:t>
      </w:r>
      <w:r>
        <w:rPr>
          <w:rFonts w:ascii="黑体" w:eastAsia="黑体" w:hAnsi="黑体" w:cs="Times New Roman"/>
          <w:sz w:val="24"/>
          <w:lang w:val="en-US" w:eastAsia="ja-JP" w:bidi="ar-SA"/>
        </w:rPr>
        <w:t>五四以后，郁达夫是哪个社团的发起人之一（  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A.创造社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B.文学研究会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C.新月诗社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D.左联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 w:rsidRPr="00730BBD">
        <w:rPr>
          <w:rFonts w:ascii="黑体" w:eastAsia="黑体" w:hAnsi="黑体"/>
          <w:sz w:val="24"/>
          <w:lang w:val="en-US" w:bidi="ar-SA"/>
        </w:rPr>
        <w:br/>
      </w:r>
      <w:r w:rsidRPr="00730BBD">
        <w:rPr>
          <w:rFonts w:ascii="黑体" w:eastAsia="黑体" w:hAnsi="黑体"/>
          <w:sz w:val="24"/>
          <w:lang w:val="en-US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https://d.book118.com/706152243231010052</w:t>
        </w:r>
      </w:hyperlink>
    </w:p>
    <w:p w:rsidR="00327933" w:rsidRPr="00730BBD" w:rsidP="00386F93">
      <w:pPr>
        <w:pStyle w:val="Normal13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70615224323101005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