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
        <w:rPr>
          <w:rFonts w:ascii="Times New Roman"/>
          <w:sz w:val="22"/>
        </w:rPr>
      </w:pPr>
    </w:p>
    <w:p>
      <w:pPr>
        <w:spacing w:before="60"/>
        <w:ind w:left="0" w:right="840" w:firstLine="0"/>
        <w:jc w:val="right"/>
        <w:rPr>
          <w:b/>
          <w:sz w:val="28"/>
        </w:rPr>
      </w:pPr>
      <w:r>
        <w:drawing>
          <wp:anchor distT="0" distB="0" distL="0" distR="0" simplePos="0" relativeHeight="251658240" behindDoc="0" locked="0" layoutInCell="1" allowOverlap="1">
            <wp:simplePos x="0" y="0"/>
            <wp:positionH relativeFrom="page">
              <wp:posOffset>4783328</wp:posOffset>
            </wp:positionH>
            <wp:positionV relativeFrom="paragraph">
              <wp:posOffset>208565</wp:posOffset>
            </wp:positionV>
            <wp:extent cx="796213" cy="3975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96213" cy="397509"/>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77.15pt;height:26.45pt;margin-top:-13.12pt;margin-left:58.66pt;mso-position-horizontal-relative:page;position:absolute;z-index:251659264"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3"/>
                    <w:gridCol w:w="93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64"/>
                      <w:jc w:val="left"/>
                    </w:trPr>
                    <w:tc>
                      <w:tcPr>
                        <w:tcW w:w="613" w:type="dxa"/>
                      </w:tcPr>
                      <w:p>
                        <w:pPr>
                          <w:pStyle w:val="TableParagraph"/>
                          <w:spacing w:line="241" w:lineRule="exact"/>
                          <w:ind w:right="94"/>
                          <w:jc w:val="right"/>
                          <w:rPr>
                            <w:rFonts w:ascii="黑体"/>
                            <w:sz w:val="21"/>
                          </w:rPr>
                        </w:pPr>
                        <w:r>
                          <w:rPr>
                            <w:rFonts w:ascii="黑体"/>
                            <w:sz w:val="21"/>
                          </w:rPr>
                          <w:t>ICS</w:t>
                        </w:r>
                      </w:p>
                    </w:tc>
                    <w:tc>
                      <w:tcPr>
                        <w:tcW w:w="930" w:type="dxa"/>
                      </w:tcPr>
                      <w:p>
                        <w:pPr>
                          <w:pStyle w:val="TableParagraph"/>
                          <w:spacing w:line="241" w:lineRule="exact"/>
                          <w:ind w:left="96"/>
                          <w:rPr>
                            <w:rFonts w:ascii="黑体"/>
                            <w:sz w:val="21"/>
                          </w:rPr>
                        </w:pPr>
                        <w:r>
                          <w:rPr>
                            <w:rFonts w:ascii="黑体"/>
                            <w:sz w:val="21"/>
                          </w:rPr>
                          <w:t>19.020</w:t>
                        </w:r>
                      </w:p>
                    </w:tc>
                  </w:tr>
                  <w:tr>
                    <w:tblPrEx>
                      <w:tblW w:w="0" w:type="auto"/>
                      <w:jc w:val="left"/>
                      <w:tblInd w:w="7" w:type="dxa"/>
                      <w:tblLayout w:type="fixed"/>
                      <w:tblCellMar>
                        <w:top w:w="0" w:type="dxa"/>
                        <w:left w:w="0" w:type="dxa"/>
                        <w:bottom w:w="0" w:type="dxa"/>
                        <w:right w:w="0" w:type="dxa"/>
                      </w:tblCellMar>
                      <w:tblLook w:val="01E0"/>
                    </w:tblPrEx>
                    <w:trPr>
                      <w:trHeight w:val="264"/>
                      <w:jc w:val="left"/>
                    </w:trPr>
                    <w:tc>
                      <w:tcPr>
                        <w:tcW w:w="613" w:type="dxa"/>
                      </w:tcPr>
                      <w:p>
                        <w:pPr>
                          <w:pStyle w:val="TableParagraph"/>
                          <w:spacing w:before="24" w:line="220" w:lineRule="exact"/>
                          <w:ind w:right="94"/>
                          <w:jc w:val="right"/>
                          <w:rPr>
                            <w:rFonts w:ascii="黑体"/>
                            <w:sz w:val="21"/>
                          </w:rPr>
                        </w:pPr>
                        <w:r>
                          <w:rPr>
                            <w:rFonts w:ascii="黑体"/>
                            <w:sz w:val="21"/>
                          </w:rPr>
                          <w:t>CCS</w:t>
                        </w:r>
                      </w:p>
                    </w:tc>
                    <w:tc>
                      <w:tcPr>
                        <w:tcW w:w="930" w:type="dxa"/>
                      </w:tcPr>
                      <w:p>
                        <w:pPr>
                          <w:pStyle w:val="TableParagraph"/>
                          <w:spacing w:before="24" w:line="220" w:lineRule="exact"/>
                          <w:ind w:left="96"/>
                          <w:rPr>
                            <w:rFonts w:ascii="黑体"/>
                            <w:sz w:val="21"/>
                          </w:rPr>
                        </w:pPr>
                        <w:r>
                          <w:rPr>
                            <w:rFonts w:ascii="黑体"/>
                            <w:sz w:val="21"/>
                          </w:rPr>
                          <w:t>P 28</w:t>
                        </w:r>
                      </w:p>
                    </w:tc>
                  </w:tr>
                </w:tbl>
                <w:p>
                  <w:pPr>
                    <w:pStyle w:val="BodyText"/>
                  </w:pPr>
                </w:p>
              </w:txbxContent>
            </v:textbox>
          </v:shape>
        </w:pict>
      </w:r>
      <w:r>
        <w:rPr>
          <w:rFonts w:ascii="Times New Roman"/>
          <w:b/>
          <w:w w:val="125"/>
          <w:sz w:val="96"/>
        </w:rPr>
        <w:t>45</w:t>
      </w:r>
      <w:r>
        <w:rPr>
          <w:b/>
          <w:w w:val="128"/>
          <w:sz w:val="28"/>
        </w:rPr>
        <w:t xml:space="preserve"> </w:t>
      </w:r>
    </w:p>
    <w:p>
      <w:pPr>
        <w:tabs>
          <w:tab w:val="left" w:pos="966"/>
          <w:tab w:val="left" w:pos="1882"/>
          <w:tab w:val="left" w:pos="2799"/>
          <w:tab w:val="left" w:pos="3716"/>
          <w:tab w:val="left" w:pos="4628"/>
          <w:tab w:val="left" w:pos="5545"/>
          <w:tab w:val="left" w:pos="6465"/>
          <w:tab w:val="left" w:pos="7381"/>
          <w:tab w:val="left" w:pos="8298"/>
          <w:tab w:val="left" w:pos="9210"/>
        </w:tabs>
        <w:spacing w:before="249"/>
        <w:ind w:left="49" w:right="0" w:firstLine="0"/>
        <w:jc w:val="center"/>
        <w:rPr>
          <w:rFonts w:ascii="黑体" w:eastAsia="黑体" w:hint="eastAsia"/>
          <w:sz w:val="48"/>
        </w:rPr>
      </w:pPr>
      <w:r>
        <w:rPr>
          <w:rFonts w:ascii="黑体" w:eastAsia="黑体" w:hint="eastAsia"/>
          <w:sz w:val="48"/>
        </w:rPr>
        <w:t>广</w:t>
        <w:tab/>
        <w:t>西</w:t>
        <w:tab/>
        <w:t>壮</w:t>
        <w:tab/>
        <w:t>族</w:t>
        <w:tab/>
        <w:t>自</w:t>
        <w:tab/>
        <w:t>治</w:t>
        <w:tab/>
        <w:t>区</w:t>
        <w:tab/>
        <w:t>地</w:t>
        <w:tab/>
        <w:t>方</w:t>
        <w:tab/>
        <w:t>标</w:t>
        <w:tab/>
        <w:t>准</w:t>
      </w:r>
    </w:p>
    <w:p>
      <w:pPr>
        <w:spacing w:before="348"/>
        <w:ind w:left="0" w:right="431" w:firstLine="0"/>
        <w:jc w:val="right"/>
        <w:rPr>
          <w:rFonts w:ascii="黑体" w:hAnsi="黑体"/>
          <w:sz w:val="28"/>
        </w:rPr>
      </w:pPr>
      <w:r>
        <w:rPr>
          <w:rFonts w:ascii="黑体" w:hAnsi="黑体"/>
          <w:sz w:val="28"/>
        </w:rPr>
        <w:t>DB45/T</w:t>
      </w:r>
      <w:r>
        <w:rPr>
          <w:rFonts w:ascii="黑体" w:hAnsi="黑体"/>
          <w:spacing w:val="-6"/>
          <w:sz w:val="28"/>
        </w:rPr>
        <w:t xml:space="preserve"> </w:t>
      </w:r>
      <w:r>
        <w:rPr>
          <w:rFonts w:ascii="黑体" w:hAnsi="黑体"/>
          <w:sz w:val="28"/>
        </w:rPr>
        <w:t>2666—2023</w:t>
      </w:r>
    </w:p>
    <w:p>
      <w:pPr>
        <w:pStyle w:val="BodyText"/>
        <w:rPr>
          <w:rFonts w:ascii="黑体"/>
          <w:sz w:val="20"/>
        </w:rPr>
      </w:pPr>
    </w:p>
    <w:p>
      <w:pPr>
        <w:pStyle w:val="BodyText"/>
        <w:spacing w:before="2"/>
        <w:rPr>
          <w:rFonts w:ascii="黑体"/>
          <w:sz w:val="28"/>
        </w:rPr>
      </w:pPr>
      <w:r>
        <w:pict>
          <v:shape id="_x0000_s1026" style="width:481.9pt;height:0.1pt;margin-top:20.44pt;margin-left:70.9pt;mso-position-horizontal-relative:page;mso-wrap-distance-left:0;mso-wrap-distance-right:0;position:absolute;z-index:-251656192" coordorigin="1418,409" coordsize="9638,0" path="m1418,409l11056,409e" filled="f" stroked="t" strokecolor="black" strokeweight="0.75pt">
            <v:stroke dashstyle="solid"/>
            <v:path arrowok="t"/>
            <w10:wrap type="topAndBottom"/>
          </v:shape>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4"/>
        <w:rPr>
          <w:rFonts w:ascii="黑体"/>
          <w:sz w:val="28"/>
        </w:rPr>
      </w:pPr>
    </w:p>
    <w:p>
      <w:pPr>
        <w:pStyle w:val="Title"/>
      </w:pPr>
      <w:r>
        <w:t>预制混凝土梁静载试验方法及评定规程</w:t>
      </w:r>
    </w:p>
    <w:p>
      <w:pPr>
        <w:spacing w:before="376"/>
        <w:ind w:left="266" w:right="0" w:firstLine="0"/>
        <w:jc w:val="center"/>
        <w:rPr>
          <w:rFonts w:ascii="黑体"/>
          <w:sz w:val="28"/>
        </w:rPr>
      </w:pPr>
      <w:r>
        <w:rPr>
          <w:rFonts w:ascii="黑体"/>
          <w:sz w:val="28"/>
        </w:rPr>
        <w:t>The</w:t>
      </w:r>
      <w:r>
        <w:rPr>
          <w:rFonts w:ascii="黑体"/>
          <w:spacing w:val="-32"/>
          <w:sz w:val="28"/>
        </w:rPr>
        <w:t xml:space="preserve"> </w:t>
      </w:r>
      <w:r>
        <w:rPr>
          <w:rFonts w:ascii="黑体"/>
          <w:sz w:val="28"/>
        </w:rPr>
        <w:t>technique</w:t>
      </w:r>
      <w:r>
        <w:rPr>
          <w:rFonts w:ascii="黑体"/>
          <w:spacing w:val="-32"/>
          <w:sz w:val="28"/>
        </w:rPr>
        <w:t xml:space="preserve"> </w:t>
      </w:r>
      <w:r>
        <w:rPr>
          <w:rFonts w:ascii="黑体"/>
          <w:sz w:val="28"/>
        </w:rPr>
        <w:t>and</w:t>
      </w:r>
      <w:r>
        <w:rPr>
          <w:rFonts w:ascii="黑体"/>
          <w:spacing w:val="-31"/>
          <w:sz w:val="28"/>
        </w:rPr>
        <w:t xml:space="preserve"> </w:t>
      </w:r>
      <w:r>
        <w:rPr>
          <w:rFonts w:ascii="黑体"/>
          <w:sz w:val="28"/>
        </w:rPr>
        <w:t>evaluation</w:t>
      </w:r>
      <w:r>
        <w:rPr>
          <w:rFonts w:ascii="黑体"/>
          <w:spacing w:val="-30"/>
          <w:sz w:val="28"/>
        </w:rPr>
        <w:t xml:space="preserve"> </w:t>
      </w:r>
      <w:r>
        <w:rPr>
          <w:rFonts w:ascii="黑体"/>
          <w:sz w:val="28"/>
        </w:rPr>
        <w:t>pratice</w:t>
      </w:r>
      <w:r>
        <w:rPr>
          <w:rFonts w:ascii="黑体"/>
          <w:spacing w:val="-31"/>
          <w:sz w:val="28"/>
        </w:rPr>
        <w:t xml:space="preserve"> </w:t>
      </w:r>
      <w:r>
        <w:rPr>
          <w:rFonts w:ascii="黑体"/>
          <w:sz w:val="28"/>
        </w:rPr>
        <w:t>of</w:t>
      </w:r>
      <w:r>
        <w:rPr>
          <w:rFonts w:ascii="黑体"/>
          <w:spacing w:val="-31"/>
          <w:sz w:val="28"/>
        </w:rPr>
        <w:t xml:space="preserve"> </w:t>
      </w:r>
      <w:r>
        <w:rPr>
          <w:rFonts w:ascii="黑体"/>
          <w:sz w:val="28"/>
        </w:rPr>
        <w:t>static</w:t>
      </w:r>
      <w:r>
        <w:rPr>
          <w:rFonts w:ascii="黑体"/>
          <w:spacing w:val="-32"/>
          <w:sz w:val="28"/>
        </w:rPr>
        <w:t xml:space="preserve"> </w:t>
      </w:r>
      <w:r>
        <w:rPr>
          <w:rFonts w:ascii="黑体"/>
          <w:sz w:val="28"/>
        </w:rPr>
        <w:t>load</w:t>
      </w:r>
      <w:r>
        <w:rPr>
          <w:rFonts w:ascii="黑体"/>
          <w:spacing w:val="-32"/>
          <w:sz w:val="28"/>
        </w:rPr>
        <w:t xml:space="preserve"> </w:t>
      </w:r>
      <w:r>
        <w:rPr>
          <w:rFonts w:ascii="黑体"/>
          <w:sz w:val="28"/>
        </w:rPr>
        <w:t>testing</w:t>
      </w:r>
      <w:r>
        <w:rPr>
          <w:rFonts w:ascii="黑体"/>
          <w:spacing w:val="-31"/>
          <w:sz w:val="28"/>
        </w:rPr>
        <w:t xml:space="preserve"> </w:t>
      </w:r>
      <w:r>
        <w:rPr>
          <w:rFonts w:ascii="黑体"/>
          <w:sz w:val="28"/>
        </w:rPr>
        <w:t>for</w:t>
      </w:r>
      <w:r>
        <w:rPr>
          <w:rFonts w:ascii="黑体"/>
          <w:spacing w:val="-32"/>
          <w:sz w:val="28"/>
        </w:rPr>
        <w:t xml:space="preserve"> </w:t>
      </w:r>
      <w:r>
        <w:rPr>
          <w:rFonts w:ascii="黑体"/>
          <w:sz w:val="28"/>
        </w:rPr>
        <w:t>precast concrete</w:t>
      </w:r>
      <w:r>
        <w:rPr>
          <w:rFonts w:ascii="黑体"/>
          <w:spacing w:val="2"/>
          <w:sz w:val="28"/>
        </w:rPr>
        <w:t xml:space="preserve"> </w:t>
      </w:r>
      <w:r>
        <w:rPr>
          <w:rFonts w:ascii="黑体"/>
          <w:sz w:val="28"/>
        </w:rPr>
        <w:t>girder</w: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tabs>
          <w:tab w:val="left" w:pos="7670"/>
        </w:tabs>
        <w:spacing w:before="235"/>
        <w:ind w:left="304" w:right="0" w:firstLine="0"/>
        <w:jc w:val="center"/>
        <w:rPr>
          <w:rFonts w:ascii="黑体" w:eastAsia="黑体" w:hint="eastAsia"/>
          <w:sz w:val="28"/>
        </w:rPr>
      </w:pPr>
      <w:r>
        <w:pict>
          <v:shape id="_x0000_s1027" style="width:481.9pt;height:0.1pt;margin-top:31.25pt;margin-left:70.85pt;mso-position-horizontal-relative:page;mso-wrap-distance-left:0;mso-wrap-distance-right:0;position:absolute;z-index:-251655168" coordorigin="1417,625" coordsize="9638,0" path="m1417,625l11055,625e" filled="f" stroked="t" strokecolor="black" strokeweight="0.75pt">
            <v:stroke dashstyle="solid"/>
            <v:path arrowok="t"/>
            <w10:wrap type="topAndBottom"/>
          </v:shape>
        </w:pict>
      </w:r>
      <w:r>
        <w:rPr>
          <w:rFonts w:ascii="黑体" w:eastAsia="黑体" w:hint="eastAsia"/>
          <w:sz w:val="28"/>
        </w:rPr>
        <w:t>2023</w:t>
      </w:r>
      <w:r>
        <w:rPr>
          <w:rFonts w:ascii="黑体" w:eastAsia="黑体" w:hint="eastAsia"/>
          <w:spacing w:val="-70"/>
          <w:sz w:val="28"/>
        </w:rPr>
        <w:t xml:space="preserve"> </w:t>
      </w:r>
      <w:r>
        <w:rPr>
          <w:rFonts w:ascii="黑体" w:eastAsia="黑体" w:hint="eastAsia"/>
          <w:sz w:val="28"/>
        </w:rPr>
        <w:t>-</w:t>
      </w:r>
      <w:r>
        <w:rPr>
          <w:rFonts w:ascii="黑体" w:eastAsia="黑体" w:hint="eastAsia"/>
          <w:spacing w:val="-69"/>
          <w:sz w:val="28"/>
        </w:rPr>
        <w:t xml:space="preserve"> </w:t>
      </w:r>
      <w:r>
        <w:rPr>
          <w:rFonts w:ascii="黑体" w:eastAsia="黑体" w:hint="eastAsia"/>
          <w:sz w:val="28"/>
        </w:rPr>
        <w:t>05</w:t>
      </w:r>
      <w:r>
        <w:rPr>
          <w:rFonts w:ascii="黑体" w:eastAsia="黑体" w:hint="eastAsia"/>
          <w:spacing w:val="-70"/>
          <w:sz w:val="28"/>
        </w:rPr>
        <w:t xml:space="preserve"> </w:t>
      </w:r>
      <w:r>
        <w:rPr>
          <w:rFonts w:ascii="黑体" w:eastAsia="黑体" w:hint="eastAsia"/>
          <w:sz w:val="28"/>
        </w:rPr>
        <w:t>-</w:t>
      </w:r>
      <w:r>
        <w:rPr>
          <w:rFonts w:ascii="黑体" w:eastAsia="黑体" w:hint="eastAsia"/>
          <w:spacing w:val="-69"/>
          <w:sz w:val="28"/>
        </w:rPr>
        <w:t xml:space="preserve"> </w:t>
      </w:r>
      <w:r>
        <w:rPr>
          <w:rFonts w:ascii="黑体" w:eastAsia="黑体" w:hint="eastAsia"/>
          <w:sz w:val="28"/>
        </w:rPr>
        <w:t>30</w:t>
      </w:r>
      <w:r>
        <w:rPr>
          <w:rFonts w:ascii="黑体" w:eastAsia="黑体" w:hint="eastAsia"/>
          <w:spacing w:val="-70"/>
          <w:sz w:val="28"/>
        </w:rPr>
        <w:t xml:space="preserve"> </w:t>
      </w:r>
      <w:r>
        <w:rPr>
          <w:rFonts w:ascii="黑体" w:eastAsia="黑体" w:hint="eastAsia"/>
          <w:sz w:val="28"/>
        </w:rPr>
        <w:t>发布</w:t>
        <w:tab/>
        <w:t>2023</w:t>
      </w:r>
      <w:r>
        <w:rPr>
          <w:rFonts w:ascii="黑体" w:eastAsia="黑体" w:hint="eastAsia"/>
          <w:spacing w:val="-70"/>
          <w:sz w:val="28"/>
        </w:rPr>
        <w:t xml:space="preserve"> </w:t>
      </w:r>
      <w:r>
        <w:rPr>
          <w:rFonts w:ascii="黑体" w:eastAsia="黑体" w:hint="eastAsia"/>
          <w:sz w:val="28"/>
        </w:rPr>
        <w:t>-</w:t>
      </w:r>
      <w:r>
        <w:rPr>
          <w:rFonts w:ascii="黑体" w:eastAsia="黑体" w:hint="eastAsia"/>
          <w:spacing w:val="-69"/>
          <w:sz w:val="28"/>
        </w:rPr>
        <w:t xml:space="preserve"> </w:t>
      </w:r>
      <w:r>
        <w:rPr>
          <w:rFonts w:ascii="黑体" w:eastAsia="黑体" w:hint="eastAsia"/>
          <w:sz w:val="28"/>
        </w:rPr>
        <w:t>08</w:t>
      </w:r>
      <w:r>
        <w:rPr>
          <w:rFonts w:ascii="黑体" w:eastAsia="黑体" w:hint="eastAsia"/>
          <w:spacing w:val="-70"/>
          <w:sz w:val="28"/>
        </w:rPr>
        <w:t xml:space="preserve"> </w:t>
      </w:r>
      <w:r>
        <w:rPr>
          <w:rFonts w:ascii="黑体" w:eastAsia="黑体" w:hint="eastAsia"/>
          <w:sz w:val="28"/>
        </w:rPr>
        <w:t>-</w:t>
      </w:r>
      <w:r>
        <w:rPr>
          <w:rFonts w:ascii="黑体" w:eastAsia="黑体" w:hint="eastAsia"/>
          <w:spacing w:val="-70"/>
          <w:sz w:val="28"/>
        </w:rPr>
        <w:t xml:space="preserve"> </w:t>
      </w:r>
      <w:r>
        <w:rPr>
          <w:rFonts w:ascii="黑体" w:eastAsia="黑体" w:hint="eastAsia"/>
          <w:sz w:val="28"/>
        </w:rPr>
        <w:t>30</w:t>
      </w:r>
      <w:r>
        <w:rPr>
          <w:rFonts w:ascii="黑体" w:eastAsia="黑体" w:hint="eastAsia"/>
          <w:spacing w:val="-69"/>
          <w:sz w:val="28"/>
        </w:rPr>
        <w:t xml:space="preserve"> </w:t>
      </w:r>
      <w:r>
        <w:rPr>
          <w:rFonts w:ascii="黑体" w:eastAsia="黑体" w:hint="eastAsia"/>
          <w:sz w:val="28"/>
        </w:rPr>
        <w:t>实施</w:t>
      </w:r>
    </w:p>
    <w:p>
      <w:pPr>
        <w:pStyle w:val="BodyText"/>
        <w:rPr>
          <w:rFonts w:ascii="黑体"/>
          <w:sz w:val="28"/>
        </w:rPr>
      </w:pPr>
    </w:p>
    <w:p>
      <w:pPr>
        <w:pStyle w:val="BodyText"/>
        <w:spacing w:before="7"/>
        <w:rPr>
          <w:rFonts w:ascii="黑体"/>
          <w:sz w:val="31"/>
        </w:rPr>
      </w:pPr>
    </w:p>
    <w:p>
      <w:pPr>
        <w:tabs>
          <w:tab w:val="left" w:pos="4480"/>
        </w:tabs>
        <w:spacing w:before="0"/>
        <w:ind w:left="0" w:right="0" w:firstLine="0"/>
        <w:jc w:val="center"/>
        <w:rPr>
          <w:rFonts w:ascii="黑体" w:eastAsia="黑体" w:hint="eastAsia"/>
          <w:sz w:val="28"/>
        </w:rPr>
      </w:pPr>
      <w:r>
        <w:rPr>
          <w:rFonts w:ascii="黑体" w:eastAsia="黑体" w:hint="eastAsia"/>
          <w:sz w:val="28"/>
        </w:rPr>
        <w:t>广西壮</w:t>
      </w:r>
      <w:r>
        <w:rPr>
          <w:rFonts w:ascii="黑体" w:eastAsia="黑体" w:hint="eastAsia"/>
          <w:spacing w:val="4"/>
          <w:sz w:val="28"/>
        </w:rPr>
        <w:t>族</w:t>
      </w:r>
      <w:r>
        <w:rPr>
          <w:rFonts w:ascii="黑体" w:eastAsia="黑体" w:hint="eastAsia"/>
          <w:sz w:val="28"/>
        </w:rPr>
        <w:t>自治</w:t>
      </w:r>
      <w:r>
        <w:rPr>
          <w:rFonts w:ascii="黑体" w:eastAsia="黑体" w:hint="eastAsia"/>
          <w:spacing w:val="4"/>
          <w:sz w:val="28"/>
        </w:rPr>
        <w:t>区</w:t>
      </w:r>
      <w:r>
        <w:rPr>
          <w:rFonts w:ascii="黑体" w:eastAsia="黑体" w:hint="eastAsia"/>
          <w:sz w:val="28"/>
        </w:rPr>
        <w:t>市场</w:t>
      </w:r>
      <w:r>
        <w:rPr>
          <w:rFonts w:ascii="黑体" w:eastAsia="黑体" w:hint="eastAsia"/>
          <w:spacing w:val="4"/>
          <w:sz w:val="28"/>
        </w:rPr>
        <w:t>监</w:t>
      </w:r>
      <w:r>
        <w:rPr>
          <w:rFonts w:ascii="黑体" w:eastAsia="黑体" w:hint="eastAsia"/>
          <w:sz w:val="28"/>
        </w:rPr>
        <w:t>督管</w:t>
      </w:r>
      <w:r>
        <w:rPr>
          <w:rFonts w:ascii="黑体" w:eastAsia="黑体" w:hint="eastAsia"/>
          <w:spacing w:val="4"/>
          <w:sz w:val="28"/>
        </w:rPr>
        <w:t>理</w:t>
      </w:r>
      <w:r>
        <w:rPr>
          <w:rFonts w:ascii="黑体" w:eastAsia="黑体" w:hint="eastAsia"/>
          <w:sz w:val="28"/>
        </w:rPr>
        <w:t>局</w:t>
        <w:tab/>
        <w:t>发</w:t>
      </w:r>
      <w:r>
        <w:rPr>
          <w:rFonts w:ascii="黑体" w:eastAsia="黑体" w:hint="eastAsia"/>
          <w:spacing w:val="31"/>
          <w:sz w:val="28"/>
        </w:rPr>
        <w:t xml:space="preserve"> </w:t>
      </w:r>
      <w:r>
        <w:rPr>
          <w:rFonts w:ascii="黑体" w:eastAsia="黑体" w:hint="eastAsia"/>
          <w:sz w:val="28"/>
        </w:rPr>
        <w:t>布</w:t>
      </w: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11"/>
        <w:rPr>
          <w:rFonts w:ascii="黑体"/>
          <w:sz w:val="15"/>
        </w:rPr>
      </w:pPr>
    </w:p>
    <w:p>
      <w:pPr>
        <w:pStyle w:val="BodyText"/>
        <w:rPr>
          <w:rFonts w:ascii="黑体"/>
          <w:sz w:val="2"/>
        </w:rPr>
      </w:pPr>
    </w:p>
    <w:p>
      <w:pPr>
        <w:pStyle w:val="BodyText"/>
        <w:rPr>
          <w:rFonts w:ascii="黑体"/>
          <w:sz w:val="2"/>
        </w:rPr>
        <w:sectPr>
          <w:type w:val="continuous"/>
          <w:pgSz w:w="11910" w:h="16840"/>
          <w:pgMar w:top="580" w:right="700" w:bottom="0" w:left="1000" w:header="708" w:footer="708"/>
          <w:cols w:space="708"/>
        </w:sectPr>
      </w:pPr>
    </w:p>
    <w:p>
      <w:pPr>
        <w:pStyle w:val="BodyText"/>
        <w:rPr>
          <w:rFonts w:ascii="黑体"/>
          <w:sz w:val="2"/>
        </w:rPr>
      </w:pPr>
    </w:p>
    <w:p>
      <w:pPr>
        <w:pStyle w:val="BodyText"/>
        <w:rPr>
          <w:rFonts w:ascii="黑体"/>
          <w:sz w:val="2"/>
        </w:rPr>
      </w:pPr>
    </w:p>
    <w:p>
      <w:pPr>
        <w:spacing w:before="0"/>
        <w:ind w:left="416" w:right="0" w:firstLine="0"/>
        <w:jc w:val="left"/>
        <w:rPr>
          <w:sz w:val="2"/>
        </w:rPr>
      </w:pPr>
      <w:r>
        <w:rPr>
          <w:w w:val="96"/>
          <w:sz w:val="2"/>
        </w:rPr>
        <w:t xml:space="preserve"> </w:t>
      </w:r>
    </w:p>
    <w:p>
      <w:pPr>
        <w:spacing w:after="0"/>
        <w:jc w:val="left"/>
        <w:rPr>
          <w:sz w:val="2"/>
        </w:rPr>
        <w:sectPr>
          <w:type w:val="nextPage"/>
          <w:pgSz w:w="11910" w:h="16840"/>
          <w:pgMar w:top="580" w:right="700" w:bottom="0" w:left="1000" w:header="708" w:footer="708"/>
          <w:pgNumType w:start="2"/>
          <w:cols w:space="708"/>
          <w:titlePg w:val="0"/>
        </w:sectPr>
      </w:pPr>
    </w:p>
    <w:p>
      <w:pPr>
        <w:pStyle w:val="BodyText"/>
        <w:spacing w:before="7"/>
        <w:rPr>
          <w:sz w:val="15"/>
        </w:rPr>
      </w:pPr>
    </w:p>
    <w:p>
      <w:pPr>
        <w:spacing w:after="0"/>
        <w:rPr>
          <w:sz w:val="15"/>
        </w:rPr>
        <w:sectPr>
          <w:pgSz w:w="11910" w:h="16840"/>
          <w:pgMar w:top="1580" w:right="700" w:bottom="280" w:left="1000" w:header="708" w:footer="708"/>
          <w:pgNumType w:start="3"/>
          <w:cols w:space="708"/>
        </w:sectPr>
      </w:pPr>
    </w:p>
    <w:p>
      <w:pPr>
        <w:pStyle w:val="BodyText"/>
        <w:spacing w:before="3"/>
        <w:rPr>
          <w:sz w:val="16"/>
        </w:rPr>
      </w:pPr>
    </w:p>
    <w:p>
      <w:pPr>
        <w:pStyle w:val="Heading1"/>
        <w:tabs>
          <w:tab w:val="left" w:pos="964"/>
        </w:tabs>
      </w:pPr>
      <w:r>
        <w:t>目</w:t>
        <w:tab/>
        <w:t>次</w:t>
      </w:r>
    </w:p>
    <w:p>
      <w:pPr>
        <w:pStyle w:val="BodyText"/>
        <w:rPr>
          <w:rFonts w:ascii="黑体"/>
          <w:sz w:val="32"/>
        </w:rPr>
      </w:pPr>
    </w:p>
    <w:p>
      <w:pPr>
        <w:pStyle w:val="BodyText"/>
        <w:tabs>
          <w:tab w:val="left" w:leader="dot" w:pos="9458"/>
        </w:tabs>
        <w:spacing w:before="280"/>
        <w:ind w:left="416"/>
      </w:pPr>
      <w:hyperlink w:anchor="_bookmark0" w:history="1">
        <w:r>
          <w:t>前言</w:t>
          <w:tab/>
          <w:t>II</w:t>
        </w:r>
      </w:hyperlink>
    </w:p>
    <w:p>
      <w:pPr>
        <w:pStyle w:val="BodyText"/>
        <w:tabs>
          <w:tab w:val="left" w:leader="dot" w:pos="9564"/>
        </w:tabs>
        <w:spacing w:before="129"/>
        <w:ind w:left="416"/>
      </w:pPr>
      <w:hyperlink w:anchor="_bookmark1" w:history="1">
        <w:r>
          <w:t xml:space="preserve">1 </w:t>
        </w:r>
        <w:r>
          <w:rPr>
            <w:spacing w:val="2"/>
          </w:rPr>
          <w:t xml:space="preserve"> </w:t>
        </w:r>
        <w:r>
          <w:t>范围</w:t>
          <w:tab/>
          <w:t>1</w:t>
        </w:r>
      </w:hyperlink>
    </w:p>
    <w:p>
      <w:pPr>
        <w:pStyle w:val="BodyText"/>
        <w:tabs>
          <w:tab w:val="left" w:leader="dot" w:pos="9564"/>
        </w:tabs>
        <w:spacing w:before="129"/>
        <w:ind w:left="416"/>
      </w:pPr>
      <w:hyperlink w:anchor="_bookmark2" w:history="1">
        <w:r>
          <w:t xml:space="preserve">2 </w:t>
        </w:r>
        <w:r>
          <w:rPr>
            <w:spacing w:val="6"/>
          </w:rPr>
          <w:t xml:space="preserve"> </w:t>
        </w:r>
        <w:r>
          <w:t>规范性</w:t>
        </w:r>
        <w:r>
          <w:rPr>
            <w:spacing w:val="-5"/>
          </w:rPr>
          <w:t>引</w:t>
        </w:r>
        <w:r>
          <w:t>用文件</w:t>
          <w:tab/>
          <w:t>1</w:t>
        </w:r>
      </w:hyperlink>
    </w:p>
    <w:p>
      <w:pPr>
        <w:pStyle w:val="BodyText"/>
        <w:tabs>
          <w:tab w:val="left" w:leader="dot" w:pos="9564"/>
        </w:tabs>
        <w:spacing w:before="135"/>
        <w:ind w:left="416"/>
      </w:pPr>
      <w:hyperlink w:anchor="_bookmark3" w:history="1">
        <w:r>
          <w:t xml:space="preserve">3 </w:t>
        </w:r>
        <w:r>
          <w:rPr>
            <w:spacing w:val="5"/>
          </w:rPr>
          <w:t xml:space="preserve"> </w:t>
        </w:r>
        <w:r>
          <w:t>术语和</w:t>
        </w:r>
        <w:r>
          <w:rPr>
            <w:spacing w:val="-5"/>
          </w:rPr>
          <w:t>定</w:t>
        </w:r>
        <w:r>
          <w:t>义</w:t>
          <w:tab/>
          <w:t>1</w:t>
        </w:r>
      </w:hyperlink>
    </w:p>
    <w:p>
      <w:pPr>
        <w:pStyle w:val="BodyText"/>
        <w:tabs>
          <w:tab w:val="left" w:leader="dot" w:pos="9564"/>
        </w:tabs>
        <w:spacing w:before="129"/>
        <w:ind w:left="416"/>
      </w:pPr>
      <w:hyperlink w:anchor="_bookmark4" w:history="1">
        <w:r>
          <w:t xml:space="preserve">4 </w:t>
        </w:r>
        <w:r>
          <w:rPr>
            <w:spacing w:val="4"/>
          </w:rPr>
          <w:t xml:space="preserve"> </w:t>
        </w:r>
        <w:r>
          <w:t>基本规定</w:t>
          <w:tab/>
          <w:t>2</w:t>
        </w:r>
      </w:hyperlink>
    </w:p>
    <w:p>
      <w:pPr>
        <w:pStyle w:val="BodyText"/>
        <w:tabs>
          <w:tab w:val="left" w:leader="dot" w:pos="9564"/>
        </w:tabs>
        <w:spacing w:before="48"/>
        <w:ind w:left="627"/>
      </w:pPr>
      <w:hyperlink w:anchor="_bookmark5" w:history="1">
        <w:r>
          <w:t xml:space="preserve">4.1 </w:t>
        </w:r>
        <w:r>
          <w:rPr>
            <w:spacing w:val="5"/>
          </w:rPr>
          <w:t xml:space="preserve"> </w:t>
        </w:r>
        <w:r>
          <w:t>一般</w:t>
        </w:r>
        <w:r>
          <w:rPr>
            <w:spacing w:val="-5"/>
          </w:rPr>
          <w:t>规</w:t>
        </w:r>
        <w:r>
          <w:t>定</w:t>
          <w:tab/>
          <w:t>2</w:t>
        </w:r>
      </w:hyperlink>
    </w:p>
    <w:p>
      <w:pPr>
        <w:pStyle w:val="BodyText"/>
        <w:tabs>
          <w:tab w:val="left" w:leader="dot" w:pos="9564"/>
        </w:tabs>
        <w:spacing w:before="33"/>
        <w:ind w:left="627"/>
      </w:pPr>
      <w:hyperlink w:anchor="_bookmark6" w:history="1">
        <w:r>
          <w:t xml:space="preserve">4.2 </w:t>
        </w:r>
        <w:r>
          <w:rPr>
            <w:spacing w:val="5"/>
          </w:rPr>
          <w:t xml:space="preserve"> </w:t>
        </w:r>
        <w:r>
          <w:t>试验</w:t>
        </w:r>
        <w:r>
          <w:rPr>
            <w:spacing w:val="-5"/>
          </w:rPr>
          <w:t>程</w:t>
        </w:r>
        <w:r>
          <w:t>序</w:t>
          <w:tab/>
          <w:t>2</w:t>
        </w:r>
      </w:hyperlink>
    </w:p>
    <w:p>
      <w:pPr>
        <w:pStyle w:val="BodyText"/>
        <w:tabs>
          <w:tab w:val="left" w:leader="dot" w:pos="9564"/>
        </w:tabs>
        <w:spacing w:before="29"/>
        <w:ind w:left="627"/>
      </w:pPr>
      <w:hyperlink w:anchor="_bookmark7" w:history="1">
        <w:r>
          <w:t xml:space="preserve">4.3 </w:t>
        </w:r>
        <w:r>
          <w:rPr>
            <w:spacing w:val="3"/>
          </w:rPr>
          <w:t xml:space="preserve"> </w:t>
        </w:r>
        <w:r>
          <w:t>试验</w:t>
        </w:r>
        <w:r>
          <w:rPr>
            <w:spacing w:val="-5"/>
          </w:rPr>
          <w:t>环</w:t>
        </w:r>
        <w:r>
          <w:t>境</w:t>
          <w:tab/>
          <w:t>3</w:t>
        </w:r>
      </w:hyperlink>
    </w:p>
    <w:p>
      <w:pPr>
        <w:pStyle w:val="BodyText"/>
        <w:tabs>
          <w:tab w:val="left" w:leader="dot" w:pos="9564"/>
        </w:tabs>
        <w:spacing w:before="34"/>
        <w:ind w:left="627"/>
      </w:pPr>
      <w:hyperlink w:anchor="_bookmark8" w:history="1">
        <w:r>
          <w:t xml:space="preserve">4.4 </w:t>
        </w:r>
        <w:r>
          <w:rPr>
            <w:spacing w:val="5"/>
          </w:rPr>
          <w:t xml:space="preserve"> </w:t>
        </w:r>
        <w:r>
          <w:t>试验</w:t>
        </w:r>
        <w:r>
          <w:rPr>
            <w:spacing w:val="-5"/>
          </w:rPr>
          <w:t>工</w:t>
        </w:r>
        <w:r>
          <w:t>况</w:t>
          <w:tab/>
          <w:t>3</w:t>
        </w:r>
      </w:hyperlink>
    </w:p>
    <w:p>
      <w:pPr>
        <w:pStyle w:val="BodyText"/>
        <w:tabs>
          <w:tab w:val="left" w:leader="dot" w:pos="9564"/>
        </w:tabs>
        <w:spacing w:before="110"/>
        <w:ind w:left="416"/>
      </w:pPr>
      <w:hyperlink w:anchor="_bookmark9" w:history="1">
        <w:r>
          <w:t xml:space="preserve">5 </w:t>
        </w:r>
        <w:r>
          <w:rPr>
            <w:spacing w:val="4"/>
          </w:rPr>
          <w:t xml:space="preserve"> </w:t>
        </w:r>
        <w:r>
          <w:t>仪器设备</w:t>
          <w:tab/>
          <w:t>3</w:t>
        </w:r>
      </w:hyperlink>
    </w:p>
    <w:p>
      <w:pPr>
        <w:pStyle w:val="BodyText"/>
        <w:tabs>
          <w:tab w:val="left" w:leader="dot" w:pos="9564"/>
        </w:tabs>
        <w:spacing w:before="134"/>
        <w:ind w:left="416"/>
      </w:pPr>
      <w:hyperlink w:anchor="_bookmark10" w:history="1">
        <w:r>
          <w:t xml:space="preserve">6 </w:t>
        </w:r>
        <w:r>
          <w:rPr>
            <w:spacing w:val="4"/>
          </w:rPr>
          <w:t xml:space="preserve"> </w:t>
        </w:r>
        <w:r>
          <w:t>试验加载</w:t>
          <w:tab/>
          <w:t>4</w:t>
        </w:r>
      </w:hyperlink>
    </w:p>
    <w:p>
      <w:pPr>
        <w:pStyle w:val="BodyText"/>
        <w:tabs>
          <w:tab w:val="left" w:leader="dot" w:pos="9564"/>
        </w:tabs>
        <w:spacing w:before="48"/>
        <w:ind w:left="627"/>
      </w:pPr>
      <w:hyperlink w:anchor="_bookmark11" w:history="1">
        <w:r>
          <w:t xml:space="preserve">6.1 </w:t>
        </w:r>
        <w:r>
          <w:rPr>
            <w:spacing w:val="5"/>
          </w:rPr>
          <w:t xml:space="preserve"> </w:t>
        </w:r>
        <w:r>
          <w:t>支承</w:t>
        </w:r>
        <w:r>
          <w:rPr>
            <w:spacing w:val="-5"/>
          </w:rPr>
          <w:t>方</w:t>
        </w:r>
        <w:r>
          <w:t>式</w:t>
          <w:tab/>
          <w:t>4</w:t>
        </w:r>
      </w:hyperlink>
    </w:p>
    <w:p>
      <w:pPr>
        <w:pStyle w:val="BodyText"/>
        <w:tabs>
          <w:tab w:val="left" w:leader="dot" w:pos="9564"/>
        </w:tabs>
        <w:spacing w:before="28"/>
        <w:ind w:left="627"/>
      </w:pPr>
      <w:hyperlink w:anchor="_bookmark12" w:history="1">
        <w:r>
          <w:t xml:space="preserve">6.2 </w:t>
        </w:r>
        <w:r>
          <w:rPr>
            <w:spacing w:val="3"/>
          </w:rPr>
          <w:t xml:space="preserve"> </w:t>
        </w:r>
        <w:r>
          <w:t>加载</w:t>
        </w:r>
        <w:r>
          <w:rPr>
            <w:spacing w:val="-5"/>
          </w:rPr>
          <w:t>方</w:t>
        </w:r>
        <w:r>
          <w:t>式</w:t>
          <w:tab/>
          <w:t>5</w:t>
        </w:r>
      </w:hyperlink>
    </w:p>
    <w:p>
      <w:pPr>
        <w:pStyle w:val="BodyText"/>
        <w:tabs>
          <w:tab w:val="left" w:leader="dot" w:pos="9564"/>
        </w:tabs>
        <w:spacing w:before="34"/>
        <w:ind w:left="627"/>
      </w:pPr>
      <w:hyperlink w:anchor="_bookmark13" w:history="1">
        <w:r>
          <w:t xml:space="preserve">6.3 </w:t>
        </w:r>
        <w:r>
          <w:rPr>
            <w:spacing w:val="5"/>
          </w:rPr>
          <w:t xml:space="preserve"> </w:t>
        </w:r>
        <w:r>
          <w:t>试验</w:t>
        </w:r>
        <w:r>
          <w:rPr>
            <w:spacing w:val="-5"/>
          </w:rPr>
          <w:t>荷</w:t>
        </w:r>
        <w:r>
          <w:t>载</w:t>
          <w:tab/>
          <w:t>5</w:t>
        </w:r>
      </w:hyperlink>
    </w:p>
    <w:p>
      <w:pPr>
        <w:pStyle w:val="BodyText"/>
        <w:tabs>
          <w:tab w:val="left" w:leader="dot" w:pos="9564"/>
        </w:tabs>
        <w:spacing w:before="29"/>
        <w:ind w:left="627"/>
      </w:pPr>
      <w:hyperlink w:anchor="_bookmark14" w:history="1">
        <w:r>
          <w:t xml:space="preserve">6.4 </w:t>
        </w:r>
        <w:r>
          <w:rPr>
            <w:spacing w:val="5"/>
          </w:rPr>
          <w:t xml:space="preserve"> </w:t>
        </w:r>
        <w:r>
          <w:t>加载</w:t>
        </w:r>
        <w:r>
          <w:rPr>
            <w:spacing w:val="-5"/>
          </w:rPr>
          <w:t>程</w:t>
        </w:r>
        <w:r>
          <w:t>序</w:t>
          <w:tab/>
          <w:t>5</w:t>
        </w:r>
      </w:hyperlink>
    </w:p>
    <w:p>
      <w:pPr>
        <w:pStyle w:val="BodyText"/>
        <w:tabs>
          <w:tab w:val="left" w:leader="dot" w:pos="9564"/>
        </w:tabs>
        <w:spacing w:before="115"/>
        <w:ind w:left="416"/>
      </w:pPr>
      <w:hyperlink w:anchor="_bookmark15" w:history="1">
        <w:r>
          <w:t xml:space="preserve">7 </w:t>
        </w:r>
        <w:r>
          <w:rPr>
            <w:spacing w:val="4"/>
          </w:rPr>
          <w:t xml:space="preserve"> </w:t>
        </w:r>
        <w:r>
          <w:t>试验量测</w:t>
          <w:tab/>
          <w:t>6</w:t>
        </w:r>
      </w:hyperlink>
    </w:p>
    <w:p>
      <w:pPr>
        <w:pStyle w:val="BodyText"/>
        <w:tabs>
          <w:tab w:val="left" w:leader="dot" w:pos="9564"/>
        </w:tabs>
        <w:spacing w:before="47"/>
        <w:ind w:left="627"/>
      </w:pPr>
      <w:hyperlink w:anchor="_bookmark16" w:history="1">
        <w:r>
          <w:t xml:space="preserve">7.1 </w:t>
        </w:r>
        <w:r>
          <w:rPr>
            <w:spacing w:val="6"/>
          </w:rPr>
          <w:t xml:space="preserve"> </w:t>
        </w:r>
        <w:r>
          <w:t>几何</w:t>
        </w:r>
        <w:r>
          <w:rPr>
            <w:spacing w:val="-5"/>
          </w:rPr>
          <w:t>尺</w:t>
        </w:r>
        <w:r>
          <w:t>寸量测</w:t>
          <w:tab/>
          <w:t>6</w:t>
        </w:r>
      </w:hyperlink>
    </w:p>
    <w:p>
      <w:pPr>
        <w:pStyle w:val="BodyText"/>
        <w:tabs>
          <w:tab w:val="left" w:leader="dot" w:pos="9564"/>
        </w:tabs>
        <w:spacing w:before="34"/>
        <w:ind w:left="627"/>
      </w:pPr>
      <w:hyperlink w:anchor="_bookmark17" w:history="1">
        <w:r>
          <w:t xml:space="preserve">7.2 </w:t>
        </w:r>
        <w:r>
          <w:rPr>
            <w:spacing w:val="3"/>
          </w:rPr>
          <w:t xml:space="preserve"> </w:t>
        </w:r>
        <w:r>
          <w:t>荷载</w:t>
        </w:r>
        <w:r>
          <w:rPr>
            <w:spacing w:val="-5"/>
          </w:rPr>
          <w:t>量</w:t>
        </w:r>
        <w:r>
          <w:t>测</w:t>
          <w:tab/>
          <w:t>6</w:t>
        </w:r>
      </w:hyperlink>
    </w:p>
    <w:p>
      <w:pPr>
        <w:pStyle w:val="BodyText"/>
        <w:tabs>
          <w:tab w:val="left" w:leader="dot" w:pos="9564"/>
        </w:tabs>
        <w:spacing w:before="29"/>
        <w:ind w:left="627"/>
      </w:pPr>
      <w:hyperlink w:anchor="_bookmark18" w:history="1">
        <w:r>
          <w:t xml:space="preserve">7.3 </w:t>
        </w:r>
        <w:r>
          <w:rPr>
            <w:spacing w:val="6"/>
          </w:rPr>
          <w:t xml:space="preserve"> </w:t>
        </w:r>
        <w:r>
          <w:t>竖向</w:t>
        </w:r>
        <w:r>
          <w:rPr>
            <w:spacing w:val="-5"/>
          </w:rPr>
          <w:t>位</w:t>
        </w:r>
        <w:r>
          <w:t>移量测</w:t>
          <w:tab/>
          <w:t>6</w:t>
        </w:r>
      </w:hyperlink>
    </w:p>
    <w:p>
      <w:pPr>
        <w:pStyle w:val="BodyText"/>
        <w:tabs>
          <w:tab w:val="left" w:leader="dot" w:pos="9564"/>
        </w:tabs>
        <w:spacing w:before="33"/>
        <w:ind w:left="627"/>
      </w:pPr>
      <w:hyperlink w:anchor="_bookmark19" w:history="1">
        <w:r>
          <w:t xml:space="preserve">7.4 </w:t>
        </w:r>
        <w:r>
          <w:rPr>
            <w:spacing w:val="5"/>
          </w:rPr>
          <w:t xml:space="preserve"> </w:t>
        </w:r>
        <w:r>
          <w:t>应变</w:t>
        </w:r>
        <w:r>
          <w:rPr>
            <w:spacing w:val="-5"/>
          </w:rPr>
          <w:t>量</w:t>
        </w:r>
        <w:r>
          <w:t>测</w:t>
          <w:tab/>
          <w:t>7</w:t>
        </w:r>
      </w:hyperlink>
    </w:p>
    <w:p>
      <w:pPr>
        <w:pStyle w:val="BodyText"/>
        <w:tabs>
          <w:tab w:val="left" w:leader="dot" w:pos="9564"/>
        </w:tabs>
        <w:spacing w:before="29"/>
        <w:ind w:left="627"/>
      </w:pPr>
      <w:hyperlink w:anchor="_bookmark20" w:history="1">
        <w:r>
          <w:t xml:space="preserve">7.5 </w:t>
        </w:r>
        <w:r>
          <w:rPr>
            <w:spacing w:val="5"/>
          </w:rPr>
          <w:t xml:space="preserve"> </w:t>
        </w:r>
        <w:r>
          <w:t>裂缝</w:t>
        </w:r>
        <w:r>
          <w:rPr>
            <w:spacing w:val="-5"/>
          </w:rPr>
          <w:t>量</w:t>
        </w:r>
        <w:r>
          <w:t>测</w:t>
          <w:tab/>
          <w:t>8</w:t>
        </w:r>
      </w:hyperlink>
    </w:p>
    <w:p>
      <w:pPr>
        <w:pStyle w:val="BodyText"/>
        <w:tabs>
          <w:tab w:val="left" w:leader="dot" w:pos="9564"/>
        </w:tabs>
        <w:spacing w:before="114"/>
        <w:ind w:left="416"/>
      </w:pPr>
      <w:hyperlink w:anchor="_bookmark21" w:history="1">
        <w:r>
          <w:t xml:space="preserve">8 </w:t>
        </w:r>
        <w:r>
          <w:rPr>
            <w:spacing w:val="7"/>
          </w:rPr>
          <w:t xml:space="preserve"> </w:t>
        </w:r>
        <w:r>
          <w:t>数据计</w:t>
        </w:r>
        <w:r>
          <w:rPr>
            <w:spacing w:val="-5"/>
          </w:rPr>
          <w:t>算</w:t>
        </w:r>
        <w:r>
          <w:t>与结果</w:t>
        </w:r>
        <w:r>
          <w:rPr>
            <w:spacing w:val="-5"/>
          </w:rPr>
          <w:t>评</w:t>
        </w:r>
        <w:r>
          <w:t>定</w:t>
          <w:tab/>
          <w:t>8</w:t>
        </w:r>
      </w:hyperlink>
    </w:p>
    <w:p>
      <w:pPr>
        <w:pStyle w:val="BodyText"/>
        <w:tabs>
          <w:tab w:val="left" w:leader="dot" w:pos="9564"/>
        </w:tabs>
        <w:spacing w:before="48"/>
        <w:ind w:left="627"/>
      </w:pPr>
      <w:hyperlink w:anchor="_bookmark22" w:history="1">
        <w:r>
          <w:t xml:space="preserve">8.1 </w:t>
        </w:r>
        <w:r>
          <w:rPr>
            <w:spacing w:val="3"/>
          </w:rPr>
          <w:t xml:space="preserve"> </w:t>
        </w:r>
        <w:r>
          <w:t>一般</w:t>
        </w:r>
        <w:r>
          <w:rPr>
            <w:spacing w:val="-5"/>
          </w:rPr>
          <w:t>规</w:t>
        </w:r>
        <w:r>
          <w:t>定</w:t>
          <w:tab/>
          <w:t>8</w:t>
        </w:r>
      </w:hyperlink>
    </w:p>
    <w:p>
      <w:pPr>
        <w:pStyle w:val="BodyText"/>
        <w:tabs>
          <w:tab w:val="left" w:leader="dot" w:pos="9564"/>
        </w:tabs>
        <w:spacing w:before="34"/>
        <w:ind w:left="627"/>
      </w:pPr>
      <w:hyperlink w:anchor="_bookmark23" w:history="1">
        <w:r>
          <w:t xml:space="preserve">8.2 </w:t>
        </w:r>
        <w:r>
          <w:rPr>
            <w:spacing w:val="5"/>
          </w:rPr>
          <w:t xml:space="preserve"> </w:t>
        </w:r>
        <w:r>
          <w:t>数据</w:t>
        </w:r>
        <w:r>
          <w:rPr>
            <w:spacing w:val="-5"/>
          </w:rPr>
          <w:t>计</w:t>
        </w:r>
        <w:r>
          <w:t>算</w:t>
          <w:tab/>
          <w:t>8</w:t>
        </w:r>
      </w:hyperlink>
    </w:p>
    <w:p>
      <w:pPr>
        <w:pStyle w:val="BodyText"/>
        <w:tabs>
          <w:tab w:val="left" w:leader="dot" w:pos="9458"/>
        </w:tabs>
        <w:spacing w:before="29"/>
        <w:ind w:left="627"/>
      </w:pPr>
      <w:hyperlink w:anchor="_bookmark24" w:history="1">
        <w:r>
          <w:t xml:space="preserve">8.3 </w:t>
        </w:r>
        <w:r>
          <w:rPr>
            <w:spacing w:val="5"/>
          </w:rPr>
          <w:t xml:space="preserve"> </w:t>
        </w:r>
        <w:r>
          <w:t>结果</w:t>
        </w:r>
        <w:r>
          <w:rPr>
            <w:spacing w:val="-5"/>
          </w:rPr>
          <w:t>评</w:t>
        </w:r>
        <w:r>
          <w:t>定</w:t>
          <w:tab/>
          <w:t>10</w:t>
        </w:r>
      </w:hyperlink>
    </w:p>
    <w:p>
      <w:pPr>
        <w:pStyle w:val="BodyText"/>
        <w:tabs>
          <w:tab w:val="left" w:leader="dot" w:pos="9458"/>
        </w:tabs>
        <w:spacing w:before="115"/>
        <w:ind w:left="416"/>
      </w:pPr>
      <w:hyperlink w:anchor="_bookmark25" w:history="1">
        <w:r>
          <w:t xml:space="preserve">9 </w:t>
        </w:r>
        <w:r>
          <w:rPr>
            <w:spacing w:val="7"/>
          </w:rPr>
          <w:t xml:space="preserve"> </w:t>
        </w:r>
        <w:r>
          <w:t>试验记</w:t>
        </w:r>
        <w:r>
          <w:rPr>
            <w:spacing w:val="-5"/>
          </w:rPr>
          <w:t>录</w:t>
        </w:r>
        <w:r>
          <w:t>与试验</w:t>
        </w:r>
        <w:r>
          <w:rPr>
            <w:spacing w:val="-5"/>
          </w:rPr>
          <w:t>报</w:t>
        </w:r>
        <w:r>
          <w:t>告</w:t>
          <w:tab/>
          <w:t>10</w:t>
        </w:r>
      </w:hyperlink>
    </w:p>
    <w:p>
      <w:pPr>
        <w:pStyle w:val="BodyText"/>
        <w:tabs>
          <w:tab w:val="left" w:leader="dot" w:pos="9458"/>
        </w:tabs>
        <w:spacing w:before="47"/>
        <w:ind w:left="627"/>
      </w:pPr>
      <w:hyperlink w:anchor="_bookmark26" w:history="1">
        <w:r>
          <w:t xml:space="preserve">9.1 </w:t>
        </w:r>
        <w:r>
          <w:rPr>
            <w:spacing w:val="5"/>
          </w:rPr>
          <w:t xml:space="preserve"> </w:t>
        </w:r>
        <w:r>
          <w:t>试验</w:t>
        </w:r>
        <w:r>
          <w:rPr>
            <w:spacing w:val="-5"/>
          </w:rPr>
          <w:t>记</w:t>
        </w:r>
        <w:r>
          <w:t>录</w:t>
          <w:tab/>
          <w:t>10</w:t>
        </w:r>
      </w:hyperlink>
    </w:p>
    <w:p>
      <w:pPr>
        <w:pStyle w:val="BodyText"/>
        <w:tabs>
          <w:tab w:val="left" w:leader="dot" w:pos="9458"/>
        </w:tabs>
        <w:spacing w:before="29"/>
        <w:ind w:left="627"/>
      </w:pPr>
      <w:hyperlink w:anchor="_bookmark27" w:history="1">
        <w:r>
          <w:t xml:space="preserve">9.2 </w:t>
        </w:r>
        <w:r>
          <w:rPr>
            <w:spacing w:val="5"/>
          </w:rPr>
          <w:t xml:space="preserve"> </w:t>
        </w:r>
        <w:r>
          <w:t>试验</w:t>
        </w:r>
        <w:r>
          <w:rPr>
            <w:spacing w:val="-5"/>
          </w:rPr>
          <w:t>报</w:t>
        </w:r>
        <w:r>
          <w:t>告</w:t>
          <w:tab/>
          <w:t>10</w:t>
        </w:r>
      </w:hyperlink>
    </w:p>
    <w:p>
      <w:pPr>
        <w:pStyle w:val="BodyText"/>
        <w:tabs>
          <w:tab w:val="left" w:leader="dot" w:pos="9458"/>
        </w:tabs>
        <w:spacing w:before="115"/>
        <w:ind w:left="416"/>
      </w:pPr>
      <w:hyperlink w:anchor="_bookmark28" w:history="1">
        <w:r>
          <w:t xml:space="preserve">10 </w:t>
        </w:r>
        <w:r>
          <w:rPr>
            <w:spacing w:val="4"/>
          </w:rPr>
          <w:t xml:space="preserve"> </w:t>
        </w:r>
        <w:r>
          <w:t>试验</w:t>
        </w:r>
        <w:r>
          <w:rPr>
            <w:spacing w:val="-5"/>
          </w:rPr>
          <w:t>安</w:t>
        </w:r>
        <w:r>
          <w:t>全</w:t>
          <w:tab/>
          <w:t>11</w:t>
        </w:r>
      </w:hyperlink>
    </w:p>
    <w:p>
      <w:pPr>
        <w:pStyle w:val="BodyText"/>
        <w:tabs>
          <w:tab w:val="left" w:leader="dot" w:pos="9458"/>
        </w:tabs>
        <w:spacing w:before="130"/>
        <w:ind w:left="416"/>
      </w:pPr>
      <w:hyperlink w:anchor="_bookmark29" w:history="1">
        <w:r>
          <w:t>附录</w:t>
        </w:r>
        <w:r>
          <w:rPr>
            <w:spacing w:val="-48"/>
          </w:rPr>
          <w:t xml:space="preserve"> </w:t>
        </w:r>
        <w:r>
          <w:t>A（规</w:t>
        </w:r>
        <w:r>
          <w:rPr>
            <w:spacing w:val="-5"/>
          </w:rPr>
          <w:t>范</w:t>
        </w:r>
        <w:r>
          <w:t xml:space="preserve">性） </w:t>
        </w:r>
        <w:r>
          <w:rPr>
            <w:spacing w:val="11"/>
          </w:rPr>
          <w:t xml:space="preserve"> </w:t>
        </w:r>
        <w:r>
          <w:t>预制混</w:t>
        </w:r>
        <w:r>
          <w:rPr>
            <w:spacing w:val="-5"/>
          </w:rPr>
          <w:t>凝</w:t>
        </w:r>
        <w:r>
          <w:t>土梁静</w:t>
        </w:r>
        <w:r>
          <w:rPr>
            <w:spacing w:val="-5"/>
          </w:rPr>
          <w:t>载</w:t>
        </w:r>
        <w:r>
          <w:t>试验控</w:t>
        </w:r>
        <w:r>
          <w:rPr>
            <w:spacing w:val="-5"/>
          </w:rPr>
          <w:t>制</w:t>
        </w:r>
        <w:r>
          <w:t>荷</w:t>
        </w:r>
        <w:r>
          <w:rPr>
            <w:spacing w:val="-5"/>
          </w:rPr>
          <w:t>载</w:t>
        </w:r>
        <w:r>
          <w:t>计算方法</w:t>
          <w:tab/>
          <w:t>12</w:t>
        </w:r>
      </w:hyperlink>
    </w:p>
    <w:p>
      <w:pPr>
        <w:pStyle w:val="BodyText"/>
        <w:tabs>
          <w:tab w:val="left" w:leader="dot" w:pos="9458"/>
        </w:tabs>
        <w:spacing w:before="52"/>
        <w:ind w:left="627"/>
      </w:pPr>
      <w:hyperlink w:anchor="_bookmark30" w:history="1">
        <w:r>
          <w:t xml:space="preserve">A.1 </w:t>
        </w:r>
        <w:r>
          <w:rPr>
            <w:spacing w:val="5"/>
          </w:rPr>
          <w:t xml:space="preserve"> </w:t>
        </w:r>
        <w:r>
          <w:t>计算</w:t>
        </w:r>
        <w:r>
          <w:rPr>
            <w:spacing w:val="-5"/>
          </w:rPr>
          <w:t>方</w:t>
        </w:r>
        <w:r>
          <w:t>法</w:t>
          <w:tab/>
          <w:t>12</w:t>
        </w:r>
      </w:hyperlink>
    </w:p>
    <w:p>
      <w:pPr>
        <w:pStyle w:val="BodyText"/>
        <w:tabs>
          <w:tab w:val="left" w:leader="dot" w:pos="9458"/>
        </w:tabs>
        <w:spacing w:before="29"/>
        <w:ind w:left="627"/>
      </w:pPr>
      <w:hyperlink w:anchor="_bookmark31" w:history="1">
        <w:r>
          <w:t xml:space="preserve">A.2 </w:t>
        </w:r>
        <w:r>
          <w:rPr>
            <w:spacing w:val="5"/>
          </w:rPr>
          <w:t xml:space="preserve"> </w:t>
        </w:r>
        <w:r>
          <w:t>加载</w:t>
        </w:r>
        <w:r>
          <w:rPr>
            <w:spacing w:val="-5"/>
          </w:rPr>
          <w:t>方</w:t>
        </w:r>
        <w:r>
          <w:t>式</w:t>
          <w:tab/>
          <w:t>12</w:t>
        </w:r>
      </w:hyperlink>
    </w:p>
    <w:p>
      <w:pPr>
        <w:spacing w:after="0"/>
        <w:sectPr>
          <w:headerReference w:type="even" r:id="rId5"/>
          <w:headerReference w:type="default" r:id="rId6"/>
          <w:footerReference w:type="even" r:id="rId7"/>
          <w:footerReference w:type="default" r:id="rId8"/>
          <w:pgSz w:w="11910" w:h="16840"/>
          <w:pgMar w:top="1640" w:right="700" w:bottom="1340" w:left="1000" w:header="1441" w:footer="1143"/>
          <w:pgNumType w:start="4"/>
          <w:cols w:space="708"/>
        </w:sectPr>
      </w:pPr>
    </w:p>
    <w:p>
      <w:pPr>
        <w:pStyle w:val="BodyText"/>
        <w:spacing w:before="3"/>
        <w:rPr>
          <w:sz w:val="16"/>
        </w:rPr>
      </w:pPr>
    </w:p>
    <w:p>
      <w:pPr>
        <w:pStyle w:val="Heading1"/>
        <w:tabs>
          <w:tab w:val="left" w:pos="964"/>
        </w:tabs>
        <w:ind w:right="149"/>
      </w:pPr>
      <w:bookmarkStart w:id="0" w:name="_bookmark0"/>
      <w:bookmarkEnd w:id="0"/>
      <w:r>
        <w:t>前</w:t>
        <w:tab/>
        <w:t>言</w:t>
      </w:r>
    </w:p>
    <w:p>
      <w:pPr>
        <w:pStyle w:val="BodyText"/>
        <w:spacing w:before="9"/>
        <w:rPr>
          <w:rFonts w:ascii="黑体"/>
          <w:sz w:val="46"/>
        </w:rPr>
      </w:pPr>
    </w:p>
    <w:p>
      <w:pPr>
        <w:pStyle w:val="BodyText"/>
        <w:spacing w:line="278" w:lineRule="auto"/>
        <w:ind w:left="133" w:right="706" w:firstLine="422"/>
      </w:pPr>
      <w:r>
        <w:t xml:space="preserve">本文件按照GB/T 1.1—2020《标准化工作导则 第1部分：标准化文件的结构和起草规则》的规定起草。 </w:t>
      </w:r>
    </w:p>
    <w:p>
      <w:pPr>
        <w:pStyle w:val="BodyText"/>
        <w:spacing w:line="278" w:lineRule="auto"/>
        <w:ind w:left="555" w:right="1977"/>
      </w:pPr>
      <w:r>
        <w:rPr>
          <w:spacing w:val="-5"/>
        </w:rPr>
        <w:t>请注意本文件的某些内容可能涉及专利。本文的发布机构不承担识别专利的责任。本文件由广西壮族自治区交通运输厅提出并宣贯。</w:t>
      </w:r>
      <w:r>
        <w:t xml:space="preserve"> </w:t>
      </w:r>
    </w:p>
    <w:p>
      <w:pPr>
        <w:pStyle w:val="BodyText"/>
        <w:ind w:left="555"/>
      </w:pPr>
      <w:r>
        <w:t xml:space="preserve">本文件由广西交通标准化技术委员会归口。 </w:t>
      </w:r>
    </w:p>
    <w:p>
      <w:pPr>
        <w:pStyle w:val="BodyText"/>
        <w:spacing w:before="43" w:line="278" w:lineRule="auto"/>
        <w:ind w:left="133" w:right="602" w:firstLine="422"/>
      </w:pPr>
      <w:r>
        <w:rPr>
          <w:spacing w:val="-6"/>
        </w:rPr>
        <w:t>本文件起草单位：广西交通工程检测有限公司、广西壮族自治区交通运输工程质量监测鉴定中心、</w:t>
      </w:r>
      <w:r>
        <w:rPr>
          <w:spacing w:val="-7"/>
        </w:rPr>
        <w:t>广西壮族自治区高速公路发展中心、广西新发展交通集团有限公司、广西交通设计集团有限公司、广西</w:t>
      </w:r>
      <w:r>
        <w:rPr>
          <w:spacing w:val="-6"/>
        </w:rPr>
        <w:t>交投建筑工业化有限公司。</w:t>
      </w:r>
      <w:r>
        <w:t xml:space="preserve"> </w:t>
      </w:r>
    </w:p>
    <w:p>
      <w:pPr>
        <w:pStyle w:val="BodyText"/>
        <w:spacing w:line="278" w:lineRule="auto"/>
        <w:ind w:left="133" w:right="705" w:firstLine="422"/>
        <w:jc w:val="both"/>
      </w:pPr>
      <w:r>
        <w:rPr>
          <w:spacing w:val="-18"/>
        </w:rPr>
        <w:t>本文件主要起草人：毛建平、李飞林、韦达洁、蓝日彦、吴维彬、张武廷、罗彦、韦红亮、韦勇克、</w:t>
      </w:r>
      <w:r>
        <w:rPr>
          <w:spacing w:val="-20"/>
        </w:rPr>
        <w:t>蒋符发、谭海晖、黄建伟、潘荣建、陈大勇、周里鸣、唐赓、蒋凌杰、周武军、青志刚、张广彬、王正、</w:t>
      </w:r>
      <w:r>
        <w:rPr>
          <w:spacing w:val="-10"/>
        </w:rPr>
        <w:t>吴志隆、周乾、曾庆华、覃乐勤。</w:t>
      </w:r>
      <w:r>
        <w:t xml:space="preserve"> </w:t>
      </w:r>
    </w:p>
    <w:p>
      <w:pPr>
        <w:pStyle w:val="BodyText"/>
        <w:ind w:left="555"/>
      </w:pPr>
      <w:r>
        <w:rPr>
          <w:w w:val="100"/>
        </w:rPr>
        <w:t xml:space="preserve"> </w:t>
      </w:r>
    </w:p>
    <w:p>
      <w:pPr>
        <w:spacing w:after="0"/>
        <w:sectPr>
          <w:headerReference w:type="even" r:id="rId9"/>
          <w:headerReference w:type="default" r:id="rId10"/>
          <w:footerReference w:type="even" r:id="rId11"/>
          <w:footerReference w:type="default" r:id="rId12"/>
          <w:pgSz w:w="11910" w:h="16840"/>
          <w:pgMar w:top="1640" w:right="700" w:bottom="1340" w:left="1000" w:header="1441" w:footer="1143"/>
          <w:pgNumType w:start="5"/>
          <w:cols w:space="708"/>
        </w:sectPr>
      </w:pPr>
    </w:p>
    <w:p>
      <w:pPr>
        <w:pStyle w:val="BodyText"/>
        <w:rPr>
          <w:sz w:val="20"/>
        </w:rPr>
      </w:pPr>
    </w:p>
    <w:p>
      <w:pPr>
        <w:pStyle w:val="BodyText"/>
        <w:spacing w:before="4"/>
        <w:rPr>
          <w:sz w:val="15"/>
        </w:rPr>
      </w:pPr>
    </w:p>
    <w:p>
      <w:pPr>
        <w:pStyle w:val="Heading1"/>
        <w:spacing w:before="57"/>
        <w:ind w:left="49" w:right="56"/>
      </w:pPr>
      <w:r>
        <w:t>预制混凝土梁静载试验方法及评定规程</w:t>
      </w:r>
    </w:p>
    <w:p>
      <w:pPr>
        <w:pStyle w:val="BodyText"/>
        <w:rPr>
          <w:rFonts w:ascii="黑体"/>
          <w:sz w:val="20"/>
        </w:rPr>
      </w:pPr>
    </w:p>
    <w:p>
      <w:pPr>
        <w:pStyle w:val="BodyText"/>
        <w:spacing w:before="12"/>
        <w:rPr>
          <w:rFonts w:ascii="黑体"/>
          <w:sz w:val="28"/>
        </w:rPr>
      </w:pPr>
    </w:p>
    <w:p>
      <w:pPr>
        <w:pStyle w:val="ListParagraph"/>
        <w:numPr>
          <w:ilvl w:val="0"/>
          <w:numId w:val="3"/>
        </w:numPr>
        <w:tabs>
          <w:tab w:val="left" w:pos="733"/>
          <w:tab w:val="left" w:pos="734"/>
        </w:tabs>
        <w:spacing w:before="72" w:after="0" w:line="240" w:lineRule="auto"/>
        <w:ind w:left="733" w:right="0" w:hanging="318"/>
        <w:jc w:val="left"/>
        <w:rPr>
          <w:rFonts w:ascii="黑体" w:eastAsia="黑体" w:hint="eastAsia"/>
          <w:sz w:val="21"/>
        </w:rPr>
      </w:pPr>
      <w:bookmarkStart w:id="1" w:name="_bookmark1"/>
      <w:bookmarkEnd w:id="1"/>
      <w:r>
        <w:rPr>
          <w:rFonts w:ascii="黑体" w:eastAsia="黑体" w:hint="eastAsia"/>
          <w:sz w:val="21"/>
        </w:rPr>
        <w:t>范围</w:t>
      </w:r>
    </w:p>
    <w:p>
      <w:pPr>
        <w:pStyle w:val="BodyText"/>
        <w:spacing w:before="9"/>
        <w:rPr>
          <w:rFonts w:ascii="黑体"/>
          <w:sz w:val="27"/>
        </w:rPr>
      </w:pPr>
    </w:p>
    <w:p>
      <w:pPr>
        <w:pStyle w:val="BodyText"/>
        <w:spacing w:line="278" w:lineRule="auto"/>
        <w:ind w:left="416" w:right="422" w:firstLine="422"/>
        <w:jc w:val="both"/>
      </w:pPr>
      <w:r>
        <w:rPr>
          <w:spacing w:val="-9"/>
        </w:rPr>
        <w:t>本文件界定了公路桥梁预制混凝土梁静载试验方法及评定的相关术语和定义，规定了公路桥梁预制混凝土梁静载试验方法及评定的仪器设备、试验加载、试验量测、数据计算与结果评定、试验记录与试</w:t>
      </w:r>
      <w:r>
        <w:rPr>
          <w:spacing w:val="-7"/>
        </w:rPr>
        <w:t>验报告、试验安全等要求。</w:t>
      </w:r>
      <w:r>
        <w:t xml:space="preserve"> </w:t>
      </w:r>
    </w:p>
    <w:p>
      <w:pPr>
        <w:pStyle w:val="BodyText"/>
        <w:spacing w:line="278" w:lineRule="auto"/>
        <w:ind w:left="416" w:right="425" w:firstLine="422"/>
      </w:pPr>
      <w:r>
        <w:rPr>
          <w:spacing w:val="-10"/>
        </w:rPr>
        <w:t>本文件适用于广西壮族自治区行政区域内公路工程新建、改扩建工程中的预制钢筋混凝土及预应力</w:t>
      </w:r>
      <w:r>
        <w:rPr>
          <w:spacing w:val="-2"/>
        </w:rPr>
        <w:t>混凝土梁静载试验。</w:t>
      </w:r>
      <w:r>
        <w:t xml:space="preserve"> </w:t>
      </w:r>
    </w:p>
    <w:p>
      <w:pPr>
        <w:pStyle w:val="BodyText"/>
        <w:spacing w:before="9"/>
        <w:rPr>
          <w:sz w:val="24"/>
        </w:rPr>
      </w:pPr>
    </w:p>
    <w:p>
      <w:pPr>
        <w:pStyle w:val="ListParagraph"/>
        <w:numPr>
          <w:ilvl w:val="0"/>
          <w:numId w:val="3"/>
        </w:numPr>
        <w:tabs>
          <w:tab w:val="left" w:pos="733"/>
          <w:tab w:val="left" w:pos="734"/>
        </w:tabs>
        <w:spacing w:before="0" w:after="0" w:line="240" w:lineRule="auto"/>
        <w:ind w:left="733" w:right="0" w:hanging="318"/>
        <w:jc w:val="left"/>
        <w:rPr>
          <w:rFonts w:ascii="黑体" w:eastAsia="黑体" w:hint="eastAsia"/>
          <w:sz w:val="21"/>
        </w:rPr>
      </w:pPr>
      <w:bookmarkStart w:id="2" w:name="_bookmark2"/>
      <w:bookmarkEnd w:id="2"/>
      <w:r>
        <w:rPr>
          <w:rFonts w:ascii="黑体" w:eastAsia="黑体" w:hint="eastAsia"/>
          <w:spacing w:val="-1"/>
          <w:sz w:val="21"/>
        </w:rPr>
        <w:t>规范性引用文件</w:t>
      </w:r>
    </w:p>
    <w:p>
      <w:pPr>
        <w:pStyle w:val="BodyText"/>
        <w:spacing w:before="5"/>
        <w:rPr>
          <w:rFonts w:ascii="黑体"/>
          <w:sz w:val="27"/>
        </w:rPr>
      </w:pPr>
    </w:p>
    <w:p>
      <w:pPr>
        <w:pStyle w:val="BodyText"/>
        <w:spacing w:line="278" w:lineRule="auto"/>
        <w:ind w:left="416" w:right="319" w:firstLine="422"/>
      </w:pPr>
      <w:r>
        <w:rPr>
          <w:spacing w:val="-13"/>
        </w:rPr>
        <w:t xml:space="preserve">下列文件中的内容通过文中的规范性引用而构成本文件必不可少的条款。其中，注日期的引用文件， </w:t>
      </w:r>
      <w:r>
        <w:rPr>
          <w:spacing w:val="-7"/>
        </w:rPr>
        <w:t>仅该日期对应的版本适用于本文件；不注日期的引用文件，其最新版本</w:t>
      </w:r>
      <w:r>
        <w:rPr>
          <w:spacing w:val="-5"/>
        </w:rPr>
        <w:t>（</w:t>
      </w:r>
      <w:r>
        <w:rPr>
          <w:spacing w:val="-3"/>
        </w:rPr>
        <w:t>包括所有的修改单</w:t>
      </w:r>
      <w:r>
        <w:rPr>
          <w:spacing w:val="-25"/>
        </w:rPr>
        <w:t>）</w:t>
      </w:r>
      <w:r>
        <w:rPr>
          <w:spacing w:val="-2"/>
        </w:rPr>
        <w:t>适用于本</w:t>
      </w:r>
      <w:r>
        <w:rPr>
          <w:spacing w:val="-4"/>
        </w:rPr>
        <w:t>文件。</w:t>
      </w:r>
      <w:r>
        <w:t xml:space="preserve"> </w:t>
      </w:r>
    </w:p>
    <w:p>
      <w:pPr>
        <w:pStyle w:val="BodyText"/>
        <w:spacing w:line="269" w:lineRule="exact"/>
        <w:ind w:left="839"/>
      </w:pPr>
      <w:r>
        <w:t xml:space="preserve">GB/T 7551 称重传感器 </w:t>
      </w:r>
    </w:p>
    <w:p>
      <w:pPr>
        <w:pStyle w:val="BodyText"/>
        <w:spacing w:before="43" w:line="278" w:lineRule="auto"/>
        <w:ind w:left="839" w:right="3692"/>
      </w:pPr>
      <w:r>
        <w:t xml:space="preserve">JTG F80/1 公路工程质量检验评定标准 第一册 土建工程JTG/T J21-01—2015 公路桥梁荷载试验规程 </w:t>
      </w:r>
    </w:p>
    <w:p>
      <w:pPr>
        <w:pStyle w:val="BodyText"/>
        <w:spacing w:line="278" w:lineRule="auto"/>
        <w:ind w:left="839" w:right="4008"/>
      </w:pPr>
      <w:r>
        <w:t xml:space="preserve">JTG 3362  公路钢筋混凝土及预应力混凝土桥涵设计规范SJ 21133 称重传感器通用规范 </w:t>
      </w:r>
    </w:p>
    <w:p>
      <w:pPr>
        <w:pStyle w:val="BodyText"/>
        <w:spacing w:before="9"/>
        <w:rPr>
          <w:sz w:val="24"/>
        </w:rPr>
      </w:pPr>
    </w:p>
    <w:p>
      <w:pPr>
        <w:pStyle w:val="ListParagraph"/>
        <w:numPr>
          <w:ilvl w:val="0"/>
          <w:numId w:val="3"/>
        </w:numPr>
        <w:tabs>
          <w:tab w:val="left" w:pos="733"/>
          <w:tab w:val="left" w:pos="734"/>
        </w:tabs>
        <w:spacing w:before="0" w:after="0" w:line="240" w:lineRule="auto"/>
        <w:ind w:left="733" w:right="0" w:hanging="318"/>
        <w:jc w:val="left"/>
        <w:rPr>
          <w:rFonts w:ascii="黑体" w:eastAsia="黑体" w:hint="eastAsia"/>
          <w:sz w:val="21"/>
        </w:rPr>
      </w:pPr>
      <w:bookmarkStart w:id="3" w:name="_bookmark3"/>
      <w:bookmarkEnd w:id="3"/>
      <w:r>
        <w:rPr>
          <w:rFonts w:ascii="黑体" w:eastAsia="黑体" w:hint="eastAsia"/>
          <w:sz w:val="21"/>
        </w:rPr>
        <w:t>术语和定义</w:t>
      </w:r>
    </w:p>
    <w:p>
      <w:pPr>
        <w:pStyle w:val="BodyText"/>
        <w:spacing w:before="10"/>
        <w:rPr>
          <w:rFonts w:ascii="黑体"/>
        </w:rPr>
      </w:pPr>
    </w:p>
    <w:p>
      <w:pPr>
        <w:pStyle w:val="BodyText"/>
        <w:spacing w:before="71"/>
        <w:ind w:left="839"/>
      </w:pPr>
      <w:r>
        <w:t>下列术语和定义适用于本文件。</w:t>
      </w:r>
    </w:p>
    <w:p>
      <w:pPr>
        <w:pStyle w:val="ListParagraph"/>
        <w:numPr>
          <w:ilvl w:val="1"/>
          <w:numId w:val="3"/>
        </w:numPr>
        <w:tabs>
          <w:tab w:val="left" w:pos="735"/>
        </w:tabs>
        <w:spacing w:before="43" w:after="0" w:line="240" w:lineRule="auto"/>
        <w:ind w:left="734" w:right="0" w:hanging="319"/>
        <w:jc w:val="left"/>
        <w:rPr>
          <w:rFonts w:ascii="黑体"/>
          <w:sz w:val="21"/>
        </w:rPr>
      </w:pPr>
      <w:r>
        <w:rPr>
          <w:rFonts w:ascii="黑体"/>
          <w:sz w:val="21"/>
        </w:rPr>
        <w:t>3.1</w:t>
      </w:r>
    </w:p>
    <w:p>
      <w:pPr>
        <w:pStyle w:val="BodyText"/>
        <w:tabs>
          <w:tab w:val="left" w:pos="3153"/>
        </w:tabs>
        <w:spacing w:before="43" w:line="278" w:lineRule="auto"/>
        <w:ind w:left="839" w:right="2011"/>
      </w:pPr>
      <w:r>
        <w:rPr>
          <w:rFonts w:ascii="黑体" w:eastAsia="黑体" w:hint="eastAsia"/>
        </w:rPr>
        <w:t>预制混凝</w:t>
      </w:r>
      <w:r>
        <w:rPr>
          <w:rFonts w:ascii="黑体" w:eastAsia="黑体" w:hint="eastAsia"/>
          <w:spacing w:val="-5"/>
        </w:rPr>
        <w:t>土</w:t>
      </w:r>
      <w:r>
        <w:rPr>
          <w:rFonts w:ascii="黑体" w:eastAsia="黑体" w:hint="eastAsia"/>
        </w:rPr>
        <w:t>梁静载</w:t>
      </w:r>
      <w:r>
        <w:rPr>
          <w:rFonts w:ascii="黑体" w:eastAsia="黑体" w:hint="eastAsia"/>
          <w:spacing w:val="-5"/>
        </w:rPr>
        <w:t>试</w:t>
      </w:r>
      <w:r>
        <w:rPr>
          <w:rFonts w:ascii="黑体" w:eastAsia="黑体" w:hint="eastAsia"/>
        </w:rPr>
        <w:t>验</w:t>
        <w:tab/>
        <w:t xml:space="preserve">static load testing for precast concrete girder </w:t>
      </w:r>
      <w:r>
        <w:t>通过施加</w:t>
      </w:r>
      <w:r>
        <w:rPr>
          <w:spacing w:val="-5"/>
        </w:rPr>
        <w:t>荷</w:t>
      </w:r>
      <w:r>
        <w:t>载对预</w:t>
      </w:r>
      <w:r>
        <w:rPr>
          <w:spacing w:val="-5"/>
        </w:rPr>
        <w:t>制</w:t>
      </w:r>
      <w:r>
        <w:t>混凝土</w:t>
      </w:r>
      <w:r>
        <w:rPr>
          <w:spacing w:val="-5"/>
        </w:rPr>
        <w:t>梁</w:t>
      </w:r>
      <w:r>
        <w:t>的静力</w:t>
      </w:r>
      <w:r>
        <w:rPr>
          <w:spacing w:val="-5"/>
        </w:rPr>
        <w:t>特</w:t>
      </w:r>
      <w:r>
        <w:t>性进行</w:t>
      </w:r>
      <w:r>
        <w:rPr>
          <w:spacing w:val="-5"/>
        </w:rPr>
        <w:t>检</w:t>
      </w:r>
      <w:r>
        <w:t>验</w:t>
      </w:r>
      <w:r>
        <w:rPr>
          <w:spacing w:val="-5"/>
        </w:rPr>
        <w:t>的</w:t>
      </w:r>
      <w:r>
        <w:t>现场测试</w:t>
      </w:r>
      <w:r>
        <w:rPr>
          <w:spacing w:val="-3"/>
        </w:rPr>
        <w:t>。</w:t>
      </w:r>
      <w:r>
        <w:t xml:space="preserve"> </w:t>
      </w:r>
    </w:p>
    <w:p>
      <w:pPr>
        <w:pStyle w:val="BodyText"/>
        <w:spacing w:before="1"/>
        <w:ind w:left="839"/>
      </w:pPr>
      <w:r>
        <w:t xml:space="preserve">[来源：JTG/T J21-01—2015，2.1.1，有修改] </w:t>
      </w:r>
    </w:p>
    <w:p>
      <w:pPr>
        <w:pStyle w:val="ListParagraph"/>
        <w:numPr>
          <w:ilvl w:val="1"/>
          <w:numId w:val="3"/>
        </w:numPr>
        <w:tabs>
          <w:tab w:val="left" w:pos="735"/>
        </w:tabs>
        <w:spacing w:before="43" w:after="0" w:line="240" w:lineRule="auto"/>
        <w:ind w:left="734" w:right="0" w:hanging="319"/>
        <w:jc w:val="left"/>
        <w:rPr>
          <w:rFonts w:ascii="黑体"/>
          <w:sz w:val="21"/>
        </w:rPr>
      </w:pPr>
      <w:r>
        <w:rPr>
          <w:rFonts w:ascii="黑体"/>
          <w:sz w:val="21"/>
        </w:rPr>
        <w:t>3.2</w:t>
      </w:r>
    </w:p>
    <w:p>
      <w:pPr>
        <w:pStyle w:val="BodyText"/>
        <w:tabs>
          <w:tab w:val="left" w:pos="2313"/>
        </w:tabs>
        <w:spacing w:before="42"/>
        <w:ind w:left="839"/>
        <w:rPr>
          <w:rFonts w:ascii="黑体" w:eastAsia="黑体" w:hint="eastAsia"/>
        </w:rPr>
      </w:pPr>
      <w:r>
        <w:rPr>
          <w:rFonts w:ascii="黑体" w:eastAsia="黑体" w:hint="eastAsia"/>
        </w:rPr>
        <w:t>荷载试验</w:t>
      </w:r>
      <w:r>
        <w:rPr>
          <w:rFonts w:ascii="黑体" w:eastAsia="黑体" w:hint="eastAsia"/>
          <w:spacing w:val="-5"/>
        </w:rPr>
        <w:t>效</w:t>
      </w:r>
      <w:r>
        <w:rPr>
          <w:rFonts w:ascii="黑体" w:eastAsia="黑体" w:hint="eastAsia"/>
        </w:rPr>
        <w:t>率</w:t>
        <w:tab/>
        <w:t>load efficiency</w:t>
      </w:r>
      <w:r>
        <w:rPr>
          <w:rFonts w:ascii="黑体" w:eastAsia="黑体" w:hint="eastAsia"/>
          <w:spacing w:val="-5"/>
        </w:rPr>
        <w:t xml:space="preserve"> </w:t>
      </w:r>
      <w:r>
        <w:rPr>
          <w:rFonts w:ascii="黑体" w:eastAsia="黑体" w:hint="eastAsia"/>
        </w:rPr>
        <w:t>ratio</w:t>
      </w:r>
    </w:p>
    <w:p>
      <w:pPr>
        <w:pStyle w:val="BodyText"/>
        <w:spacing w:before="43" w:line="278" w:lineRule="auto"/>
        <w:ind w:left="839" w:right="4844"/>
      </w:pPr>
      <w:r>
        <w:rPr>
          <w:spacing w:val="-5"/>
        </w:rPr>
        <w:t xml:space="preserve">试验荷载所产生的效应与控制荷载效应的比值。 </w:t>
      </w:r>
      <w:r>
        <w:t xml:space="preserve">[来源：JTG/T J21-01—2015，2.1.7] </w:t>
      </w:r>
    </w:p>
    <w:p>
      <w:pPr>
        <w:pStyle w:val="ListParagraph"/>
        <w:numPr>
          <w:ilvl w:val="1"/>
          <w:numId w:val="3"/>
        </w:numPr>
        <w:tabs>
          <w:tab w:val="left" w:pos="735"/>
        </w:tabs>
        <w:spacing w:before="1" w:after="0" w:line="240" w:lineRule="auto"/>
        <w:ind w:left="734" w:right="0" w:hanging="319"/>
        <w:jc w:val="left"/>
        <w:rPr>
          <w:rFonts w:ascii="黑体"/>
          <w:sz w:val="21"/>
        </w:rPr>
      </w:pPr>
      <w:r>
        <w:rPr>
          <w:rFonts w:ascii="黑体"/>
          <w:sz w:val="21"/>
        </w:rPr>
        <w:t>3.3</w:t>
      </w:r>
    </w:p>
    <w:p>
      <w:pPr>
        <w:pStyle w:val="BodyText"/>
        <w:tabs>
          <w:tab w:val="left" w:pos="1895"/>
        </w:tabs>
        <w:spacing w:before="43"/>
        <w:ind w:left="839"/>
        <w:rPr>
          <w:rFonts w:ascii="黑体" w:eastAsia="黑体" w:hint="eastAsia"/>
        </w:rPr>
      </w:pPr>
      <w:r>
        <w:rPr>
          <w:rFonts w:ascii="黑体" w:eastAsia="黑体" w:hint="eastAsia"/>
        </w:rPr>
        <w:t>控制荷载</w:t>
        <w:tab/>
        <w:t>control</w:t>
      </w:r>
      <w:r>
        <w:rPr>
          <w:rFonts w:ascii="黑体" w:eastAsia="黑体" w:hint="eastAsia"/>
          <w:spacing w:val="-1"/>
        </w:rPr>
        <w:t xml:space="preserve"> </w:t>
      </w:r>
      <w:r>
        <w:rPr>
          <w:rFonts w:ascii="黑体" w:eastAsia="黑体" w:hint="eastAsia"/>
        </w:rPr>
        <w:t>load</w:t>
      </w:r>
    </w:p>
    <w:p>
      <w:pPr>
        <w:pStyle w:val="BodyText"/>
        <w:spacing w:before="42" w:line="278" w:lineRule="auto"/>
        <w:ind w:left="839" w:right="2534"/>
      </w:pPr>
      <w:r>
        <w:rPr>
          <w:spacing w:val="-5"/>
        </w:rPr>
        <w:t>进行静载试验时，确定荷载试验效率和初步分级加载等级所采用的荷载。 [来源：JTG/T J21-01—2015，2.1.4，有修改]</w:t>
      </w:r>
      <w:r>
        <w:t xml:space="preserve"> </w:t>
      </w:r>
    </w:p>
    <w:p>
      <w:pPr>
        <w:pStyle w:val="ListParagraph"/>
        <w:numPr>
          <w:ilvl w:val="1"/>
          <w:numId w:val="3"/>
        </w:numPr>
        <w:tabs>
          <w:tab w:val="left" w:pos="735"/>
        </w:tabs>
        <w:spacing w:before="0" w:after="0" w:line="269" w:lineRule="exact"/>
        <w:ind w:left="734" w:right="0" w:hanging="319"/>
        <w:jc w:val="left"/>
        <w:rPr>
          <w:rFonts w:ascii="黑体"/>
          <w:sz w:val="21"/>
        </w:rPr>
      </w:pPr>
    </w:p>
    <w:p>
      <w:pPr>
        <w:pStyle w:val="BodyText"/>
        <w:tabs>
          <w:tab w:val="left" w:pos="1895"/>
        </w:tabs>
        <w:spacing w:before="44"/>
        <w:ind w:left="839"/>
        <w:rPr>
          <w:rFonts w:ascii="黑体" w:eastAsia="黑体" w:hint="eastAsia"/>
        </w:rPr>
      </w:pPr>
      <w:r>
        <w:rPr>
          <w:rFonts w:ascii="黑体" w:eastAsia="黑体" w:hint="eastAsia"/>
        </w:rPr>
        <w:t>试验荷载</w:t>
        <w:tab/>
        <w:t>test load</w:t>
      </w:r>
    </w:p>
    <w:p>
      <w:pPr>
        <w:pStyle w:val="BodyText"/>
        <w:spacing w:before="43"/>
        <w:ind w:left="839"/>
      </w:pPr>
      <w:r>
        <w:t xml:space="preserve">静载试验对预制混凝土梁施加的实际荷载值。 </w:t>
      </w:r>
    </w:p>
    <w:p>
      <w:pPr>
        <w:pStyle w:val="ListParagraph"/>
        <w:numPr>
          <w:ilvl w:val="1"/>
          <w:numId w:val="3"/>
        </w:numPr>
        <w:tabs>
          <w:tab w:val="left" w:pos="735"/>
        </w:tabs>
        <w:spacing w:before="43" w:after="0" w:line="240" w:lineRule="auto"/>
        <w:ind w:left="734" w:right="0" w:hanging="319"/>
        <w:jc w:val="left"/>
        <w:rPr>
          <w:rFonts w:ascii="黑体"/>
          <w:sz w:val="21"/>
        </w:rPr>
        <w:sectPr>
          <w:headerReference w:type="even" r:id="rId13"/>
          <w:headerReference w:type="default" r:id="rId14"/>
          <w:footerReference w:type="even" r:id="rId15"/>
          <w:footerReference w:type="default" r:id="rId16"/>
          <w:pgSz w:w="11910" w:h="16840"/>
          <w:pgMar w:top="1640" w:right="700" w:bottom="1340" w:left="1000" w:header="1441" w:footer="1143"/>
          <w:pgNumType w:start="1"/>
          <w:cols w:space="708"/>
        </w:sectPr>
      </w:pPr>
      <w:r>
        <w:rPr>
          <w:rFonts w:ascii="黑体"/>
          <w:sz w:val="21"/>
        </w:rPr>
        <w:t>3.5</w:t>
      </w:r>
    </w:p>
    <w:p>
      <w:pPr>
        <w:pStyle w:val="BodyText"/>
        <w:tabs>
          <w:tab w:val="left" w:pos="1895"/>
        </w:tabs>
        <w:spacing w:before="43"/>
        <w:ind w:left="839"/>
        <w:rPr>
          <w:rFonts w:ascii="黑体" w:eastAsia="黑体" w:hint="eastAsia"/>
        </w:rPr>
      </w:pPr>
      <w:r>
        <w:rPr>
          <w:rFonts w:ascii="黑体" w:eastAsia="黑体" w:hint="eastAsia"/>
        </w:rPr>
        <w:t>支点沉降</w:t>
        <w:tab/>
        <w:t>support</w:t>
      </w:r>
      <w:r>
        <w:rPr>
          <w:rFonts w:ascii="黑体" w:eastAsia="黑体" w:hint="eastAsia"/>
          <w:spacing w:val="-1"/>
        </w:rPr>
        <w:t xml:space="preserve"> </w:t>
      </w:r>
      <w:r>
        <w:rPr>
          <w:rFonts w:ascii="黑体" w:eastAsia="黑体" w:hint="eastAsia"/>
        </w:rPr>
        <w:t>settlement</w:t>
      </w:r>
    </w:p>
    <w:p>
      <w:pPr>
        <w:spacing w:after="0"/>
        <w:rPr>
          <w:rFonts w:ascii="黑体" w:eastAsia="黑体" w:hint="eastAsia"/>
        </w:rPr>
        <w:sectPr>
          <w:headerReference w:type="even" r:id="rId17"/>
          <w:headerReference w:type="default" r:id="rId18"/>
          <w:footerReference w:type="even" r:id="rId19"/>
          <w:footerReference w:type="default" r:id="rId20"/>
          <w:type w:val="nextPage"/>
          <w:pgSz w:w="11910" w:h="16840"/>
          <w:pgMar w:top="1640" w:right="700" w:bottom="1340" w:left="1000" w:header="1441" w:footer="1143"/>
          <w:pgNumType w:start="2"/>
          <w:cols w:space="708"/>
          <w:titlePg w:val="0"/>
        </w:sectPr>
      </w:pPr>
    </w:p>
    <w:p>
      <w:pPr>
        <w:pStyle w:val="BodyText"/>
        <w:spacing w:before="3"/>
        <w:rPr>
          <w:rFonts w:ascii="黑体"/>
          <w:sz w:val="8"/>
        </w:rPr>
      </w:pPr>
    </w:p>
    <w:p>
      <w:pPr>
        <w:pStyle w:val="BodyText"/>
        <w:spacing w:before="72"/>
        <w:ind w:left="555"/>
      </w:pPr>
      <w:r>
        <w:t xml:space="preserve">支座的压缩量与台座的竖向位移之和。 </w:t>
      </w:r>
    </w:p>
    <w:p>
      <w:pPr>
        <w:pStyle w:val="BodyText"/>
        <w:spacing w:before="43"/>
        <w:ind w:left="555"/>
      </w:pPr>
      <w:r>
        <w:t xml:space="preserve">[来源：JTG/T J21-01—2015，2.1.6，有修改] </w:t>
      </w:r>
    </w:p>
    <w:p>
      <w:pPr>
        <w:pStyle w:val="ListParagraph"/>
        <w:numPr>
          <w:ilvl w:val="1"/>
          <w:numId w:val="2"/>
        </w:numPr>
        <w:tabs>
          <w:tab w:val="left" w:pos="452"/>
        </w:tabs>
        <w:spacing w:before="44" w:after="0" w:line="240" w:lineRule="auto"/>
        <w:ind w:left="451" w:right="0" w:hanging="319"/>
        <w:jc w:val="left"/>
        <w:rPr>
          <w:rFonts w:ascii="黑体"/>
          <w:sz w:val="21"/>
        </w:rPr>
      </w:pPr>
      <w:r>
        <w:rPr>
          <w:rFonts w:ascii="黑体"/>
          <w:sz w:val="21"/>
        </w:rPr>
        <w:t>3.6</w:t>
      </w:r>
    </w:p>
    <w:p>
      <w:pPr>
        <w:pStyle w:val="BodyText"/>
        <w:tabs>
          <w:tab w:val="left" w:pos="1612"/>
        </w:tabs>
        <w:spacing w:before="43"/>
        <w:ind w:left="555"/>
        <w:rPr>
          <w:rFonts w:ascii="黑体" w:eastAsia="黑体" w:hint="eastAsia"/>
        </w:rPr>
      </w:pPr>
      <w:r>
        <w:rPr>
          <w:rFonts w:ascii="黑体" w:eastAsia="黑体" w:hint="eastAsia"/>
        </w:rPr>
        <w:t>校验系数</w:t>
        <w:tab/>
        <w:t>structural verification coefficient</w:t>
      </w:r>
    </w:p>
    <w:p>
      <w:pPr>
        <w:pStyle w:val="BodyText"/>
        <w:spacing w:before="42" w:line="278" w:lineRule="auto"/>
        <w:ind w:left="555" w:right="719"/>
      </w:pPr>
      <w:r>
        <w:rPr>
          <w:spacing w:val="-4"/>
        </w:rPr>
        <w:t>试验荷载作用下预制混凝土梁控制截面应变</w:t>
      </w:r>
      <w:r>
        <w:t>（</w:t>
      </w:r>
      <w:r>
        <w:rPr>
          <w:spacing w:val="-3"/>
        </w:rPr>
        <w:t>应力</w:t>
      </w:r>
      <w:r>
        <w:rPr>
          <w:spacing w:val="-5"/>
        </w:rPr>
        <w:t>）</w:t>
      </w:r>
      <w:r>
        <w:rPr>
          <w:spacing w:val="-4"/>
        </w:rPr>
        <w:t>或变形实测值与相应的理论计算值的比值。 [来源：JTG/T J21-01—2015，2.1.8</w:t>
      </w:r>
      <w:r>
        <w:rPr>
          <w:spacing w:val="-5"/>
        </w:rPr>
        <w:t>，有修改]</w:t>
      </w:r>
      <w:r>
        <w:t xml:space="preserve"> </w:t>
      </w:r>
    </w:p>
    <w:p>
      <w:pPr>
        <w:pStyle w:val="BodyText"/>
        <w:spacing w:before="2"/>
        <w:rPr>
          <w:sz w:val="19"/>
        </w:rPr>
      </w:pPr>
    </w:p>
    <w:p>
      <w:pPr>
        <w:pStyle w:val="ListParagraph"/>
        <w:numPr>
          <w:ilvl w:val="0"/>
          <w:numId w:val="2"/>
        </w:numPr>
        <w:tabs>
          <w:tab w:val="left" w:pos="449"/>
          <w:tab w:val="left" w:pos="451"/>
        </w:tabs>
        <w:spacing w:before="72" w:after="0" w:line="240" w:lineRule="auto"/>
        <w:ind w:left="450" w:right="0" w:hanging="318"/>
        <w:jc w:val="left"/>
        <w:rPr>
          <w:rFonts w:ascii="黑体" w:eastAsia="黑体" w:hint="eastAsia"/>
          <w:sz w:val="21"/>
        </w:rPr>
      </w:pPr>
      <w:bookmarkStart w:id="4" w:name="_bookmark4"/>
      <w:bookmarkEnd w:id="4"/>
      <w:r>
        <w:rPr>
          <w:rFonts w:ascii="黑体" w:eastAsia="黑体" w:hint="eastAsia"/>
          <w:sz w:val="21"/>
        </w:rPr>
        <w:t>基本规定</w:t>
      </w:r>
    </w:p>
    <w:p>
      <w:pPr>
        <w:pStyle w:val="BodyText"/>
        <w:spacing w:before="9"/>
        <w:rPr>
          <w:rFonts w:ascii="黑体"/>
        </w:rPr>
      </w:pPr>
    </w:p>
    <w:p>
      <w:pPr>
        <w:pStyle w:val="ListParagraph"/>
        <w:numPr>
          <w:ilvl w:val="1"/>
          <w:numId w:val="2"/>
        </w:numPr>
        <w:tabs>
          <w:tab w:val="left" w:pos="656"/>
          <w:tab w:val="left" w:pos="657"/>
        </w:tabs>
        <w:spacing w:before="72" w:after="0" w:line="240" w:lineRule="auto"/>
        <w:ind w:left="656" w:right="0" w:hanging="524"/>
        <w:jc w:val="left"/>
        <w:rPr>
          <w:rFonts w:ascii="黑体" w:eastAsia="黑体" w:hint="eastAsia"/>
          <w:sz w:val="21"/>
        </w:rPr>
      </w:pPr>
      <w:bookmarkStart w:id="5" w:name="_bookmark5"/>
      <w:bookmarkEnd w:id="5"/>
      <w:r>
        <w:rPr>
          <w:rFonts w:ascii="黑体" w:eastAsia="黑体" w:hint="eastAsia"/>
          <w:sz w:val="21"/>
        </w:rPr>
        <w:t>一般规定</w:t>
      </w:r>
    </w:p>
    <w:p>
      <w:pPr>
        <w:pStyle w:val="BodyText"/>
        <w:spacing w:before="2"/>
        <w:rPr>
          <w:rFonts w:ascii="黑体"/>
          <w:sz w:val="10"/>
        </w:rPr>
      </w:pPr>
    </w:p>
    <w:p>
      <w:pPr>
        <w:pStyle w:val="ListParagraph"/>
        <w:numPr>
          <w:ilvl w:val="2"/>
          <w:numId w:val="2"/>
        </w:numPr>
        <w:tabs>
          <w:tab w:val="left" w:pos="869"/>
        </w:tabs>
        <w:spacing w:before="71" w:after="0" w:line="278" w:lineRule="auto"/>
        <w:ind w:left="133" w:right="705" w:firstLine="0"/>
        <w:jc w:val="both"/>
        <w:rPr>
          <w:sz w:val="21"/>
        </w:rPr>
      </w:pPr>
      <w:r>
        <w:rPr>
          <w:spacing w:val="-10"/>
          <w:sz w:val="21"/>
        </w:rPr>
        <w:t xml:space="preserve">正常生产条件下，对同一预制场生产的梁，以大于 </w:t>
      </w:r>
      <w:r>
        <w:rPr>
          <w:sz w:val="21"/>
        </w:rPr>
        <w:t>50</w:t>
      </w:r>
      <w:r>
        <w:rPr>
          <w:spacing w:val="-20"/>
          <w:sz w:val="21"/>
        </w:rPr>
        <w:t xml:space="preserve"> 片、不超过 </w:t>
      </w:r>
      <w:r>
        <w:rPr>
          <w:sz w:val="21"/>
        </w:rPr>
        <w:t>500</w:t>
      </w:r>
      <w:r>
        <w:rPr>
          <w:spacing w:val="-15"/>
          <w:sz w:val="21"/>
        </w:rPr>
        <w:t xml:space="preserve"> 片且不超过 </w:t>
      </w:r>
      <w:r>
        <w:rPr>
          <w:sz w:val="21"/>
        </w:rPr>
        <w:t>6</w:t>
      </w:r>
      <w:r>
        <w:rPr>
          <w:spacing w:val="-12"/>
          <w:sz w:val="21"/>
        </w:rPr>
        <w:t xml:space="preserve"> 个月的同类</w:t>
      </w:r>
      <w:r>
        <w:rPr>
          <w:spacing w:val="-15"/>
          <w:sz w:val="21"/>
        </w:rPr>
        <w:t>型</w:t>
      </w:r>
      <w:r>
        <w:rPr>
          <w:sz w:val="21"/>
        </w:rPr>
        <w:t>（</w:t>
      </w:r>
      <w:r>
        <w:rPr>
          <w:spacing w:val="-7"/>
          <w:sz w:val="21"/>
        </w:rPr>
        <w:t>同材料、同制作工艺、同结构类型、同跨径</w:t>
      </w:r>
      <w:r>
        <w:rPr>
          <w:spacing w:val="-20"/>
          <w:sz w:val="21"/>
        </w:rPr>
        <w:t>）</w:t>
      </w:r>
      <w:r>
        <w:rPr>
          <w:spacing w:val="-5"/>
          <w:sz w:val="21"/>
        </w:rPr>
        <w:t>预制混凝土梁板为一批，每批采用随机抽样的方法抽</w:t>
      </w:r>
      <w:r>
        <w:rPr>
          <w:spacing w:val="-12"/>
          <w:sz w:val="21"/>
        </w:rPr>
        <w:t xml:space="preserve">检不少于 </w:t>
      </w:r>
      <w:r>
        <w:rPr>
          <w:sz w:val="21"/>
        </w:rPr>
        <w:t>1</w:t>
      </w:r>
      <w:r>
        <w:rPr>
          <w:spacing w:val="-8"/>
          <w:sz w:val="21"/>
        </w:rPr>
        <w:t xml:space="preserve"> 片。同类型首批梁应优先进行抽检。对小批量生产</w:t>
      </w:r>
      <w:r>
        <w:rPr>
          <w:spacing w:val="-5"/>
          <w:sz w:val="21"/>
        </w:rPr>
        <w:t>（</w:t>
      </w:r>
      <w:r>
        <w:rPr>
          <w:spacing w:val="-8"/>
          <w:sz w:val="21"/>
        </w:rPr>
        <w:t xml:space="preserve">总数不超 </w:t>
      </w:r>
      <w:r>
        <w:rPr>
          <w:sz w:val="21"/>
        </w:rPr>
        <w:t>50</w:t>
      </w:r>
      <w:r>
        <w:rPr>
          <w:spacing w:val="-21"/>
          <w:sz w:val="21"/>
        </w:rPr>
        <w:t xml:space="preserve"> 片</w:t>
      </w:r>
      <w:r>
        <w:rPr>
          <w:spacing w:val="-5"/>
          <w:sz w:val="21"/>
        </w:rPr>
        <w:t>）</w:t>
      </w:r>
      <w:r>
        <w:rPr>
          <w:spacing w:val="-3"/>
          <w:sz w:val="21"/>
        </w:rPr>
        <w:t>的同类型预制混凝土</w:t>
      </w:r>
      <w:r>
        <w:rPr>
          <w:spacing w:val="-11"/>
          <w:sz w:val="21"/>
        </w:rPr>
        <w:t xml:space="preserve">梁板，可直接采用典型抽样的方法，直接选用质量相对较差的梁进行试验，且数量不少于 </w:t>
      </w:r>
      <w:r>
        <w:rPr>
          <w:sz w:val="21"/>
        </w:rPr>
        <w:t>1</w:t>
      </w:r>
      <w:r>
        <w:rPr>
          <w:spacing w:val="-12"/>
          <w:sz w:val="21"/>
        </w:rPr>
        <w:t xml:space="preserve"> 片。当受到</w:t>
      </w:r>
      <w:r>
        <w:rPr>
          <w:spacing w:val="-8"/>
          <w:sz w:val="21"/>
        </w:rPr>
        <w:t>条件限制时，可根据工程实际由各方商定。</w:t>
      </w:r>
      <w:r>
        <w:rPr>
          <w:sz w:val="21"/>
        </w:rPr>
        <w:t xml:space="preserve"> </w:t>
      </w:r>
    </w:p>
    <w:p>
      <w:pPr>
        <w:spacing w:before="21" w:line="324" w:lineRule="auto"/>
        <w:ind w:left="872" w:right="613" w:hanging="375"/>
        <w:jc w:val="left"/>
        <w:rPr>
          <w:sz w:val="18"/>
        </w:rPr>
      </w:pPr>
      <w:r>
        <w:rPr>
          <w:rFonts w:ascii="黑体" w:eastAsia="黑体" w:hint="eastAsia"/>
          <w:spacing w:val="-13"/>
          <w:sz w:val="18"/>
        </w:rPr>
        <w:t xml:space="preserve">注： </w:t>
      </w:r>
      <w:r>
        <w:rPr>
          <w:spacing w:val="-6"/>
          <w:sz w:val="18"/>
        </w:rPr>
        <w:t xml:space="preserve">同材料是指同一原材，包括：水泥、砂石、钢筋等；同制作工艺是指相同的施工队伍、施工设备和施工方法； </w:t>
      </w:r>
      <w:r>
        <w:rPr>
          <w:spacing w:val="-5"/>
          <w:sz w:val="18"/>
        </w:rPr>
        <w:t>同结构类型是指相同的截面类型和结构形式（</w:t>
      </w:r>
      <w:r>
        <w:rPr>
          <w:spacing w:val="-6"/>
          <w:sz w:val="18"/>
        </w:rPr>
        <w:t>结构连续、桥面连续、结构简支</w:t>
      </w:r>
      <w:r>
        <w:rPr>
          <w:spacing w:val="-7"/>
          <w:sz w:val="18"/>
        </w:rPr>
        <w:t>）</w:t>
      </w:r>
      <w:r>
        <w:rPr>
          <w:spacing w:val="-5"/>
          <w:sz w:val="18"/>
        </w:rPr>
        <w:t>；同跨径是指非标准跨径预制 混凝土梁和与之跨径接近的标准预制混凝土梁视为同一跨径。</w:t>
      </w:r>
      <w:r>
        <w:rPr>
          <w:sz w:val="18"/>
        </w:rPr>
        <w:t xml:space="preserve"> </w:t>
      </w:r>
    </w:p>
    <w:p>
      <w:pPr>
        <w:pStyle w:val="ListParagraph"/>
        <w:numPr>
          <w:ilvl w:val="2"/>
          <w:numId w:val="2"/>
        </w:numPr>
        <w:tabs>
          <w:tab w:val="left" w:pos="868"/>
          <w:tab w:val="left" w:pos="869"/>
        </w:tabs>
        <w:spacing w:before="0" w:after="0" w:line="251" w:lineRule="exact"/>
        <w:ind w:left="868" w:right="0" w:hanging="736"/>
        <w:jc w:val="left"/>
        <w:rPr>
          <w:sz w:val="21"/>
        </w:rPr>
      </w:pPr>
      <w:r>
        <w:rPr>
          <w:spacing w:val="-5"/>
          <w:sz w:val="21"/>
        </w:rPr>
        <w:t>遇到下列情况之一，应额外制定专项方案进行抽检：</w:t>
      </w:r>
      <w:r>
        <w:rPr>
          <w:sz w:val="21"/>
        </w:rPr>
        <w:t xml:space="preserve"> </w:t>
      </w:r>
    </w:p>
    <w:p>
      <w:pPr>
        <w:pStyle w:val="BodyText"/>
        <w:spacing w:before="43"/>
        <w:ind w:left="560"/>
      </w:pPr>
      <w:r>
        <w:t xml:space="preserve">——采用新结构、新材料、新工艺进行试生产时； </w:t>
      </w:r>
    </w:p>
    <w:p>
      <w:pPr>
        <w:pStyle w:val="BodyText"/>
        <w:spacing w:before="43"/>
        <w:ind w:left="560"/>
      </w:pPr>
      <w:r>
        <w:t xml:space="preserve">——预制梁材料及各项生产环节发生较大变动； </w:t>
      </w:r>
    </w:p>
    <w:p>
      <w:pPr>
        <w:pStyle w:val="BodyText"/>
        <w:spacing w:before="43"/>
        <w:ind w:left="560"/>
      </w:pPr>
      <w:r>
        <w:t xml:space="preserve">——对预制混凝土梁板的施工质量有怀疑时； </w:t>
      </w:r>
    </w:p>
    <w:p>
      <w:pPr>
        <w:pStyle w:val="BodyText"/>
        <w:spacing w:before="42"/>
        <w:ind w:left="560"/>
      </w:pPr>
      <w:r>
        <w:t xml:space="preserve">——技术质量基础资料不全，或对资料发生怀疑时； </w:t>
      </w:r>
    </w:p>
    <w:p>
      <w:pPr>
        <w:pStyle w:val="BodyText"/>
        <w:spacing w:before="44"/>
        <w:ind w:left="560"/>
      </w:pPr>
      <w:r>
        <w:t xml:space="preserve">——对主要质量指标验证合格，但未按施工规范制作的预制混凝土梁； </w:t>
      </w:r>
    </w:p>
    <w:p>
      <w:pPr>
        <w:pStyle w:val="BodyText"/>
        <w:spacing w:before="43"/>
        <w:ind w:left="560"/>
      </w:pPr>
      <w:r>
        <w:t xml:space="preserve">——对进行质量缺陷处理后的预制混凝土梁。 </w:t>
      </w:r>
    </w:p>
    <w:p>
      <w:pPr>
        <w:pStyle w:val="ListParagraph"/>
        <w:numPr>
          <w:ilvl w:val="2"/>
          <w:numId w:val="2"/>
        </w:numPr>
        <w:tabs>
          <w:tab w:val="left" w:pos="868"/>
          <w:tab w:val="left" w:pos="869"/>
        </w:tabs>
        <w:spacing w:before="43" w:after="0" w:line="278" w:lineRule="auto"/>
        <w:ind w:left="133" w:right="711" w:firstLine="0"/>
        <w:jc w:val="left"/>
        <w:rPr>
          <w:sz w:val="21"/>
        </w:rPr>
      </w:pPr>
      <w:r>
        <w:rPr>
          <w:spacing w:val="-7"/>
          <w:sz w:val="21"/>
        </w:rPr>
        <w:t xml:space="preserve">预制预应力混凝土梁静载试验应在预应力终拉或放张 </w:t>
      </w:r>
      <w:r>
        <w:rPr>
          <w:sz w:val="21"/>
        </w:rPr>
        <w:t>30</w:t>
      </w:r>
      <w:r>
        <w:rPr>
          <w:spacing w:val="-68"/>
          <w:position w:val="11"/>
          <w:sz w:val="21"/>
        </w:rPr>
        <w:t xml:space="preserve"> </w:t>
      </w:r>
      <w:r>
        <w:rPr>
          <w:sz w:val="21"/>
        </w:rPr>
        <w:t>d</w:t>
      </w:r>
      <w:r>
        <w:rPr>
          <w:spacing w:val="-10"/>
          <w:sz w:val="21"/>
        </w:rPr>
        <w:t xml:space="preserve"> 后进行，预制钢筋混凝土梁应在混凝</w:t>
      </w:r>
      <w:r>
        <w:rPr>
          <w:spacing w:val="-7"/>
          <w:sz w:val="21"/>
        </w:rPr>
        <w:t xml:space="preserve">土强度达到设计要求后进行静载试验，一般不宜少于正常养护 </w:t>
      </w:r>
      <w:r>
        <w:rPr>
          <w:spacing w:val="-3"/>
          <w:sz w:val="21"/>
        </w:rPr>
        <w:t>28</w:t>
      </w:r>
      <w:r>
        <w:rPr>
          <w:spacing w:val="-47"/>
          <w:position w:val="11"/>
          <w:sz w:val="21"/>
        </w:rPr>
        <w:t xml:space="preserve"> </w:t>
      </w:r>
      <w:r>
        <w:rPr>
          <w:sz w:val="21"/>
        </w:rPr>
        <w:t>d</w:t>
      </w:r>
      <w:r>
        <w:rPr>
          <w:spacing w:val="-17"/>
          <w:sz w:val="21"/>
        </w:rPr>
        <w:t xml:space="preserve"> 龄期。</w:t>
      </w:r>
      <w:r>
        <w:rPr>
          <w:sz w:val="21"/>
        </w:rPr>
        <w:t xml:space="preserve"> </w:t>
      </w:r>
    </w:p>
    <w:p>
      <w:pPr>
        <w:pStyle w:val="ListParagraph"/>
        <w:numPr>
          <w:ilvl w:val="2"/>
          <w:numId w:val="2"/>
        </w:numPr>
        <w:tabs>
          <w:tab w:val="left" w:pos="869"/>
        </w:tabs>
        <w:spacing w:before="0" w:after="0" w:line="278" w:lineRule="auto"/>
        <w:ind w:left="133" w:right="604" w:firstLine="0"/>
        <w:jc w:val="both"/>
        <w:rPr>
          <w:sz w:val="21"/>
        </w:rPr>
      </w:pPr>
      <w:r>
        <w:rPr>
          <w:spacing w:val="-5"/>
          <w:sz w:val="21"/>
        </w:rPr>
        <w:t xml:space="preserve">一般仅对预制混凝土梁进行正常使用状态试验检测，当正常使用状态检验结果不满足要求时， </w:t>
      </w:r>
      <w:r>
        <w:rPr>
          <w:spacing w:val="-9"/>
          <w:sz w:val="21"/>
        </w:rPr>
        <w:t xml:space="preserve">应对该生产批次的预制混凝土梁进行额外抽检，抽检的数量不少于正常抽检数量的 </w:t>
      </w:r>
      <w:r>
        <w:rPr>
          <w:sz w:val="21"/>
        </w:rPr>
        <w:t>2</w:t>
      </w:r>
      <w:r>
        <w:rPr>
          <w:spacing w:val="-13"/>
          <w:sz w:val="21"/>
        </w:rPr>
        <w:t xml:space="preserve"> 倍。当额外抽检的</w:t>
      </w:r>
      <w:r>
        <w:rPr>
          <w:spacing w:val="-11"/>
          <w:sz w:val="21"/>
        </w:rPr>
        <w:t>结果仍不能全部满足要求时，可由检测单位提出专项检测方案报行业主管部门及相关单位审批后实施。</w:t>
      </w:r>
      <w:r>
        <w:rPr>
          <w:sz w:val="21"/>
        </w:rPr>
        <w:t xml:space="preserve"> </w:t>
      </w:r>
    </w:p>
    <w:p>
      <w:pPr>
        <w:pStyle w:val="ListParagraph"/>
        <w:numPr>
          <w:ilvl w:val="1"/>
          <w:numId w:val="2"/>
        </w:numPr>
        <w:tabs>
          <w:tab w:val="left" w:pos="656"/>
          <w:tab w:val="left" w:pos="657"/>
        </w:tabs>
        <w:spacing w:before="153" w:after="0" w:line="240" w:lineRule="auto"/>
        <w:ind w:left="656" w:right="0" w:hanging="524"/>
        <w:jc w:val="left"/>
        <w:rPr>
          <w:rFonts w:ascii="黑体" w:eastAsia="黑体" w:hint="eastAsia"/>
          <w:sz w:val="21"/>
        </w:rPr>
      </w:pPr>
      <w:bookmarkStart w:id="6" w:name="_bookmark6"/>
      <w:bookmarkEnd w:id="6"/>
      <w:r>
        <w:rPr>
          <w:rFonts w:ascii="黑体" w:eastAsia="黑体" w:hint="eastAsia"/>
          <w:sz w:val="21"/>
        </w:rPr>
        <w:t>试验程序</w:t>
      </w:r>
    </w:p>
    <w:p>
      <w:pPr>
        <w:pStyle w:val="BodyText"/>
        <w:spacing w:before="2"/>
        <w:rPr>
          <w:rFonts w:ascii="黑体"/>
          <w:sz w:val="10"/>
        </w:rPr>
      </w:pPr>
    </w:p>
    <w:p>
      <w:pPr>
        <w:pStyle w:val="ListParagraph"/>
        <w:numPr>
          <w:ilvl w:val="2"/>
          <w:numId w:val="2"/>
        </w:numPr>
        <w:tabs>
          <w:tab w:val="left" w:pos="869"/>
        </w:tabs>
        <w:spacing w:before="72" w:after="0" w:line="240" w:lineRule="auto"/>
        <w:ind w:left="868" w:right="0" w:hanging="736"/>
        <w:jc w:val="both"/>
        <w:rPr>
          <w:sz w:val="21"/>
        </w:rPr>
      </w:pPr>
      <w:r>
        <w:rPr>
          <w:spacing w:val="-5"/>
          <w:sz w:val="21"/>
        </w:rPr>
        <w:t xml:space="preserve">静载试验应按照试验准备、现场实施和试验结果分析三个阶段进行。 </w:t>
      </w:r>
    </w:p>
    <w:p>
      <w:pPr>
        <w:pStyle w:val="ListParagraph"/>
        <w:numPr>
          <w:ilvl w:val="2"/>
          <w:numId w:val="2"/>
        </w:numPr>
        <w:tabs>
          <w:tab w:val="left" w:pos="869"/>
        </w:tabs>
        <w:spacing w:before="42" w:after="0" w:line="240" w:lineRule="auto"/>
        <w:ind w:left="868" w:right="0" w:hanging="736"/>
        <w:jc w:val="both"/>
        <w:rPr>
          <w:sz w:val="21"/>
        </w:rPr>
      </w:pPr>
      <w:r>
        <w:rPr>
          <w:spacing w:val="-4"/>
          <w:sz w:val="21"/>
        </w:rPr>
        <w:t>试验准备阶段工作内容应包括：</w:t>
      </w:r>
      <w:r>
        <w:rPr>
          <w:sz w:val="21"/>
        </w:rPr>
        <w:t xml:space="preserve"> </w:t>
      </w:r>
    </w:p>
    <w:p>
      <w:pPr>
        <w:pStyle w:val="BodyText"/>
        <w:spacing w:before="44" w:line="278" w:lineRule="auto"/>
        <w:ind w:left="983" w:right="814" w:hanging="423"/>
        <w:jc w:val="both"/>
      </w:pPr>
      <w:r>
        <w:rPr>
          <w:spacing w:val="-6"/>
        </w:rPr>
        <w:t>——资料准备。应收集的资料包括：待抽检预制混凝土梁的结构型式、跨径、数量、相关质检资料、设计图纸以及设计参数，其中设计参数应由设计单位提供，作为预制混凝土梁静载试验</w:t>
      </w:r>
      <w:r>
        <w:rPr>
          <w:spacing w:val="-2"/>
        </w:rPr>
        <w:t>的依据；</w:t>
      </w:r>
      <w:r>
        <w:t xml:space="preserve"> </w:t>
      </w:r>
    </w:p>
    <w:p>
      <w:pPr>
        <w:pStyle w:val="BodyText"/>
        <w:spacing w:line="278" w:lineRule="auto"/>
        <w:ind w:left="983" w:right="814" w:hanging="423"/>
        <w:jc w:val="both"/>
      </w:pPr>
      <w:r>
        <w:rPr>
          <w:spacing w:val="-6"/>
        </w:rPr>
        <w:t>——方案编制。根据设计参数，结合测试内容，按荷载等效原则拟定试验荷载大小、试验工况、加载位置及方法，制定试验加载、测点布设及测试方案等，方案尚应包含相关安全措施及应</w:t>
      </w:r>
      <w:r>
        <w:rPr>
          <w:spacing w:val="-2"/>
        </w:rPr>
        <w:t>急预案等内容；</w:t>
      </w:r>
      <w:r>
        <w:t xml:space="preserve"> </w:t>
      </w:r>
    </w:p>
    <w:p>
      <w:pPr>
        <w:pStyle w:val="BodyText"/>
        <w:spacing w:line="278" w:lineRule="auto"/>
        <w:ind w:left="983" w:right="814" w:hanging="423"/>
      </w:pPr>
      <w:r>
        <w:rPr>
          <w:spacing w:val="-6"/>
        </w:rPr>
        <w:t>——试验筹备。在确认试验方案后，进行试验人员组织和试验仪器设备的筹备工作，合理安排静</w:t>
      </w:r>
      <w:r>
        <w:rPr>
          <w:spacing w:val="-2"/>
        </w:rPr>
        <w:t>载试验的进度。</w:t>
      </w:r>
      <w:r>
        <w:t xml:space="preserve"> </w:t>
      </w:r>
    </w:p>
    <w:p>
      <w:pPr>
        <w:pStyle w:val="ListParagraph"/>
        <w:numPr>
          <w:ilvl w:val="2"/>
          <w:numId w:val="2"/>
        </w:numPr>
        <w:tabs>
          <w:tab w:val="left" w:pos="868"/>
          <w:tab w:val="left" w:pos="869"/>
        </w:tabs>
        <w:spacing w:before="0" w:after="0" w:line="269" w:lineRule="exact"/>
        <w:ind w:left="868" w:right="0" w:hanging="736"/>
        <w:jc w:val="left"/>
        <w:rPr>
          <w:sz w:val="21"/>
        </w:rPr>
      </w:pPr>
      <w:r>
        <w:rPr>
          <w:spacing w:val="-4"/>
          <w:sz w:val="21"/>
        </w:rPr>
        <w:t>现场实施阶段工作内容应包括：</w:t>
      </w:r>
      <w:r>
        <w:rPr>
          <w:sz w:val="21"/>
        </w:rPr>
        <w:t xml:space="preserve"> </w:t>
      </w:r>
    </w:p>
    <w:p>
      <w:pPr>
        <w:spacing w:after="0" w:line="269" w:lineRule="exact"/>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1" w:history="1">
        <w:r>
          <w:rPr>
            <w:rFonts w:ascii="SimSun" w:eastAsia="SimSun" w:hAnsi="SimSun" w:cs="SimSun"/>
            <w:b/>
            <w:bCs/>
            <w:color w:val="0000EE"/>
            <w:sz w:val="30"/>
            <w:szCs w:val="30"/>
            <w:u w:val="single" w:color="0000EE"/>
          </w:rPr>
          <w:t>https://d.book118.com/706211100000010104</w:t>
        </w:r>
      </w:hyperlink>
    </w:p>
    <w:p>
      <w:pPr>
        <w:spacing w:after="0" w:line="269" w:lineRule="exact"/>
        <w:jc w:val="left"/>
        <w:rPr>
          <w:sz w:val="21"/>
        </w:rPr>
      </w:pPr>
    </w:p>
    <w:sectPr>
      <w:headerReference w:type="even" r:id="rId22"/>
      <w:headerReference w:type="default" r:id="rId23"/>
      <w:footerReference w:type="even" r:id="rId24"/>
      <w:footerReference w:type="default" r:id="rId25"/>
      <w:pgSz w:w="11910" w:h="16840"/>
      <w:pgMar w:top="1640" w:right="700" w:bottom="1340" w:left="1000" w:header="1441" w:footer="1143"/>
      <w:pgNumType w:start="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Cambria Math">
    <w:altName w:val="Cambria Math"/>
    <w:charset w:val="00"/>
    <w:family w:val="roman"/>
    <w:pitch w:val="variable"/>
    <w:sig w:usb0="00000000" w:usb1="00000000" w:usb2="00000000" w:usb3="00000000" w:csb0="00000001" w:csb1="00000000"/>
  </w:font>
  <w:font w:name="新宋体">
    <w:altName w:val="新宋体"/>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5.45pt;height:11.15pt;margin-top:773.78pt;margin-left:65.5pt;mso-position-horizontal-relative:page;mso-position-vertical-relative:page;position:absolute;z-index:-251657216" filled="f" stroked="f">
          <v:textbox inset="0,0,0,0">
            <w:txbxContent>
              <w:p>
                <w:pPr>
                  <w:spacing w:before="0" w:line="222" w:lineRule="exact"/>
                  <w:ind w:left="20" w:right="0" w:firstLine="0"/>
                  <w:jc w:val="left"/>
                  <w:rPr>
                    <w:sz w:val="18"/>
                  </w:rPr>
                </w:pPr>
                <w:r>
                  <w:rPr>
                    <w:sz w:val="18"/>
                  </w:rPr>
                  <w:t xml:space="preserve">II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7.45pt;height:11.15pt;margin-top:773.78pt;margin-left:515.38pt;mso-position-horizontal-relative:page;mso-position-vertical-relative:page;position:absolute;z-index:-251650048" filled="f" stroked="f">
          <v:textbox inset="0,0,0,0">
            <w:txbxContent>
              <w:p>
                <w:pPr>
                  <w:spacing w:before="0" w:line="222"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r>
                  <w:rPr>
                    <w:sz w:val="18"/>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1.15pt;height:11.15pt;margin-top:773.78pt;margin-left:521.7pt;mso-position-horizontal-relative:page;mso-position-vertical-relative:page;position:absolute;z-index:-251658240" filled="f" stroked="f">
          <v:textbox inset="0,0,0,0">
            <w:txbxContent>
              <w:p>
                <w:pPr>
                  <w:spacing w:before="0" w:line="222" w:lineRule="exact"/>
                  <w:ind w:left="20" w:right="0" w:firstLine="0"/>
                  <w:jc w:val="left"/>
                  <w:rPr>
                    <w:sz w:val="18"/>
                  </w:rPr>
                </w:pPr>
                <w:r>
                  <w:rPr>
                    <w:sz w:val="18"/>
                  </w:rPr>
                  <w:t xml:space="preserve">I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45pt;height:11.15pt;margin-top:773.78pt;margin-left:65.5pt;mso-position-horizontal-relative:page;mso-position-vertical-relative:page;position:absolute;z-index:-251655168" filled="f" stroked="f">
          <v:textbox inset="0,0,0,0">
            <w:txbxContent>
              <w:p>
                <w:pPr>
                  <w:spacing w:before="0" w:line="222" w:lineRule="exact"/>
                  <w:ind w:left="20" w:right="0" w:firstLine="0"/>
                  <w:jc w:val="left"/>
                  <w:rPr>
                    <w:sz w:val="18"/>
                  </w:rPr>
                </w:pPr>
                <w:r>
                  <w:rPr>
                    <w:sz w:val="18"/>
                  </w:rPr>
                  <w:t xml:space="preserve">II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1.15pt;height:11.15pt;margin-top:773.78pt;margin-left:521.7pt;mso-position-horizontal-relative:page;mso-position-vertical-relative:page;position:absolute;z-index:-251656192" filled="f" stroked="f">
          <v:textbox inset="0,0,0,0">
            <w:txbxContent>
              <w:p>
                <w:pPr>
                  <w:spacing w:before="0" w:line="222" w:lineRule="exact"/>
                  <w:ind w:left="20" w:right="0" w:firstLine="0"/>
                  <w:jc w:val="left"/>
                  <w:rPr>
                    <w:sz w:val="18"/>
                  </w:rPr>
                </w:pPr>
                <w:r>
                  <w:rPr>
                    <w:sz w:val="18"/>
                  </w:rPr>
                  <w:t xml:space="preserve">I </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7.45pt;height:11.15pt;margin-top:773.78pt;margin-left:63.5pt;mso-position-horizontal-relative:page;mso-position-vertical-relative:page;position:absolute;z-index:-251653120" filled="f" stroked="f">
          <v:textbox inset="0,0,0,0">
            <w:txbxContent>
              <w:p>
                <w:pPr>
                  <w:spacing w:before="0" w:line="222" w:lineRule="exact"/>
                  <w:ind w:left="60" w:right="0" w:firstLine="0"/>
                  <w:jc w:val="left"/>
                  <w:rPr>
                    <w:sz w:val="18"/>
                  </w:rPr>
                </w:pPr>
                <w:r>
                  <w:fldChar w:fldCharType="begin"/>
                </w:r>
                <w:r>
                  <w:rPr>
                    <w:sz w:val="18"/>
                  </w:rPr>
                  <w:instrText xml:space="preserve"> PAGE </w:instrText>
                </w:r>
                <w:r>
                  <w:fldChar w:fldCharType="separate"/>
                </w:r>
                <w:r>
                  <w:rPr>
                    <w:sz w:val="18"/>
                  </w:rPr>
                  <w:t>14</w:t>
                </w:r>
                <w:r>
                  <w:fldChar w:fldCharType="end"/>
                </w:r>
                <w:r>
                  <w:rPr>
                    <w:sz w:val="18"/>
                  </w:rPr>
                  <w:t xml:space="preserve">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7.45pt;height:11.15pt;margin-top:773.78pt;margin-left:515.38pt;mso-position-horizontal-relative:page;mso-position-vertical-relative:page;position:absolute;z-index:-251654144" filled="f" stroked="f">
          <v:textbox inset="0,0,0,0">
            <w:txbxContent>
              <w:p>
                <w:pPr>
                  <w:spacing w:before="0" w:line="222"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r>
                  <w:rPr>
                    <w:sz w:val="18"/>
                  </w:rPr>
                  <w:t xml:space="preserve"> </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7.45pt;height:11.15pt;margin-top:773.78pt;margin-left:63.5pt;mso-position-horizontal-relative:page;mso-position-vertical-relative:page;position:absolute;z-index:-251651072" filled="f" stroked="f">
          <v:textbox inset="0,0,0,0">
            <w:txbxContent>
              <w:p>
                <w:pPr>
                  <w:spacing w:before="0" w:line="222"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r>
                  <w:rPr>
                    <w:sz w:val="18"/>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7.45pt;height:11.15pt;margin-top:773.78pt;margin-left:515.38pt;mso-position-horizontal-relative:page;mso-position-vertical-relative:page;position:absolute;z-index:-251652096" filled="f" stroked="f">
          <v:textbox inset="0,0,0,0">
            <w:txbxContent>
              <w:p>
                <w:pPr>
                  <w:spacing w:before="0" w:line="222" w:lineRule="exact"/>
                  <w:ind w:left="60" w:right="0" w:firstLine="0"/>
                  <w:jc w:val="left"/>
                  <w:rPr>
                    <w:sz w:val="18"/>
                  </w:rPr>
                </w:pPr>
                <w:r>
                  <w:fldChar w:fldCharType="begin"/>
                </w:r>
                <w:r>
                  <w:rPr>
                    <w:sz w:val="18"/>
                  </w:rPr>
                  <w:instrText xml:space="preserve"> PAGE </w:instrText>
                </w:r>
                <w:r>
                  <w:fldChar w:fldCharType="separate"/>
                </w:r>
                <w:r>
                  <w:rPr>
                    <w:sz w:val="18"/>
                  </w:rPr>
                  <w:t>15</w:t>
                </w:r>
                <w:r>
                  <w:fldChar w:fldCharType="end"/>
                </w:r>
                <w:r>
                  <w:rPr>
                    <w:sz w:val="18"/>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7.45pt;height:11.15pt;margin-top:773.78pt;margin-left:63.5pt;mso-position-horizontal-relative:page;mso-position-vertical-relative:page;position:absolute;z-index:-251649024" filled="f" stroked="f">
          <v:textbox inset="0,0,0,0">
            <w:txbxContent>
              <w:p>
                <w:pPr>
                  <w:spacing w:before="0" w:line="222"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r>
                  <w:rPr>
                    <w:sz w:val="18"/>
                  </w:rPr>
                  <w:t xml:space="preserve"> </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55pt;height:12.6pt;margin-top:71.06pt;margin-left:55.66pt;mso-position-horizontal-relative:page;mso-position-vertical-relative:page;position:absolute;z-index:-251657216"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1.55pt;height:12.6pt;margin-top:71.06pt;margin-left:448.47pt;mso-position-horizontal-relative:page;mso-position-vertical-relative:page;position:absolute;z-index:-251650048"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55pt;height:12.6pt;margin-top:71.06pt;margin-left:448.47pt;mso-position-horizontal-relative:page;mso-position-vertical-relative:page;position:absolute;z-index:-251658240"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55pt;height:12.6pt;margin-top:71.06pt;margin-left:55.66pt;mso-position-horizontal-relative:page;mso-position-vertical-relative:page;position:absolute;z-index:-251655168"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55pt;height:12.6pt;margin-top:71.06pt;margin-left:448.47pt;mso-position-horizontal-relative:page;mso-position-vertical-relative:page;position:absolute;z-index:-251656192"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55pt;height:12.6pt;margin-top:71.06pt;margin-left:55.66pt;mso-position-horizontal-relative:page;mso-position-vertical-relative:page;position:absolute;z-index:-251653120"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55pt;height:12.6pt;margin-top:71.06pt;margin-left:448.47pt;mso-position-horizontal-relative:page;mso-position-vertical-relative:page;position:absolute;z-index:-251654144"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55pt;height:12.6pt;margin-top:71.06pt;margin-left:55.66pt;mso-position-horizontal-relative:page;mso-position-vertical-relative:page;position:absolute;z-index:-251651072"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55pt;height:12.6pt;margin-top:71.06pt;margin-left:448.47pt;mso-position-horizontal-relative:page;mso-position-vertical-relative:page;position:absolute;z-index:-251652096"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91.55pt;height:12.6pt;margin-top:71.06pt;margin-left:55.66pt;mso-position-horizontal-relative:page;mso-position-vertical-relative:page;position:absolute;z-index:-251649024" filled="f" stroked="f">
          <v:textbox inset="0,0,0,0">
            <w:txbxContent>
              <w:p>
                <w:pPr>
                  <w:pStyle w:val="BodyText"/>
                  <w:spacing w:line="251" w:lineRule="exact"/>
                  <w:ind w:left="20"/>
                  <w:rPr>
                    <w:rFonts w:ascii="黑体" w:hAnsi="黑体"/>
                  </w:rPr>
                </w:pPr>
                <w:r>
                  <w:rPr>
                    <w:rFonts w:ascii="黑体" w:hAnsi="黑体"/>
                  </w:rPr>
                  <w:t>DB45/T 2666</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FDB9C"/>
    <w:multiLevelType w:val="hybridMultilevel"/>
    <w:tmpl w:val="00000000"/>
    <w:lvl w:ilvl="0">
      <w:start w:val="1"/>
      <w:numFmt w:val="decimal"/>
      <w:lvlText w:val="%1"/>
      <w:lvlJc w:val="left"/>
      <w:pPr>
        <w:ind w:left="733" w:hanging="317"/>
        <w:jc w:val="right"/>
      </w:pPr>
      <w:rPr>
        <w:rFonts w:ascii="黑体" w:eastAsia="黑体" w:hAnsi="黑体" w:cs="黑体" w:hint="default"/>
        <w:w w:val="100"/>
        <w:sz w:val="21"/>
        <w:szCs w:val="21"/>
        <w:lang w:val="en-US" w:eastAsia="en-US" w:bidi="ar-SA"/>
      </w:rPr>
    </w:lvl>
    <w:lvl w:ilvl="1">
      <w:start w:val="1"/>
      <w:numFmt w:val="decimal"/>
      <w:lvlText w:val="%1.%2"/>
      <w:lvlJc w:val="left"/>
      <w:pPr>
        <w:ind w:left="734" w:hanging="318"/>
        <w:jc w:val="right"/>
      </w:pPr>
      <w:rPr>
        <w:rFonts w:ascii="黑体" w:eastAsia="黑体" w:hAnsi="黑体" w:cs="黑体" w:hint="default"/>
        <w:w w:val="100"/>
        <w:sz w:val="19"/>
        <w:szCs w:val="19"/>
        <w:lang w:val="en-US" w:eastAsia="en-US" w:bidi="ar-SA"/>
      </w:rPr>
    </w:lvl>
    <w:lvl w:ilvl="2">
      <w:start w:val="1"/>
      <w:numFmt w:val="decimal"/>
      <w:lvlText w:val="%1.%2.%3"/>
      <w:lvlJc w:val="left"/>
      <w:pPr>
        <w:ind w:left="133"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1079" w:hanging="947"/>
        <w:jc w:val="left"/>
      </w:pPr>
      <w:rPr>
        <w:rFonts w:ascii="黑体" w:eastAsia="黑体" w:hAnsi="黑体" w:cs="黑体" w:hint="default"/>
        <w:w w:val="100"/>
        <w:sz w:val="21"/>
        <w:szCs w:val="21"/>
        <w:lang w:val="en-US" w:eastAsia="en-US" w:bidi="ar-SA"/>
      </w:rPr>
    </w:lvl>
    <w:lvl w:ilvl="4">
      <w:start w:val="0"/>
      <w:numFmt w:val="bullet"/>
      <w:lvlText w:val="•"/>
      <w:lvlJc w:val="left"/>
      <w:pPr>
        <w:ind w:left="860" w:hanging="947"/>
      </w:pPr>
      <w:rPr>
        <w:rFonts w:hint="default"/>
        <w:lang w:val="en-US" w:eastAsia="en-US" w:bidi="ar-SA"/>
      </w:rPr>
    </w:lvl>
    <w:lvl w:ilvl="5">
      <w:start w:val="0"/>
      <w:numFmt w:val="bullet"/>
      <w:lvlText w:val="•"/>
      <w:lvlJc w:val="left"/>
      <w:pPr>
        <w:ind w:left="940" w:hanging="947"/>
      </w:pPr>
      <w:rPr>
        <w:rFonts w:hint="default"/>
        <w:lang w:val="en-US" w:eastAsia="en-US" w:bidi="ar-SA"/>
      </w:rPr>
    </w:lvl>
    <w:lvl w:ilvl="6">
      <w:start w:val="0"/>
      <w:numFmt w:val="bullet"/>
      <w:lvlText w:val="•"/>
      <w:lvlJc w:val="left"/>
      <w:pPr>
        <w:ind w:left="1040" w:hanging="947"/>
      </w:pPr>
      <w:rPr>
        <w:rFonts w:hint="default"/>
        <w:lang w:val="en-US" w:eastAsia="en-US" w:bidi="ar-SA"/>
      </w:rPr>
    </w:lvl>
    <w:lvl w:ilvl="7">
      <w:start w:val="0"/>
      <w:numFmt w:val="bullet"/>
      <w:lvlText w:val="•"/>
      <w:lvlJc w:val="left"/>
      <w:pPr>
        <w:ind w:left="1080" w:hanging="947"/>
      </w:pPr>
      <w:rPr>
        <w:rFonts w:hint="default"/>
        <w:lang w:val="en-US" w:eastAsia="en-US" w:bidi="ar-SA"/>
      </w:rPr>
    </w:lvl>
    <w:lvl w:ilvl="8">
      <w:start w:val="0"/>
      <w:numFmt w:val="bullet"/>
      <w:lvlText w:val="•"/>
      <w:lvlJc w:val="left"/>
      <w:pPr>
        <w:ind w:left="1160" w:hanging="947"/>
      </w:pPr>
      <w:rPr>
        <w:rFonts w:hint="default"/>
        <w:lang w:val="en-US" w:eastAsia="en-US" w:bidi="ar-SA"/>
      </w:rPr>
    </w:lvl>
  </w:abstractNum>
  <w:abstractNum w:abstractNumId="1">
    <w:nsid w:val="3A2F7EF0"/>
    <w:multiLevelType w:val="hybridMultilevel"/>
    <w:tmpl w:val="00000000"/>
    <w:lvl w:ilvl="0">
      <w:start w:val="1"/>
      <w:numFmt w:val="decimal"/>
      <w:lvlText w:val="%1"/>
      <w:lvlJc w:val="left"/>
      <w:pPr>
        <w:ind w:left="733" w:hanging="317"/>
        <w:jc w:val="right"/>
      </w:pPr>
      <w:rPr>
        <w:rFonts w:ascii="黑体" w:eastAsia="黑体" w:hAnsi="黑体" w:cs="黑体" w:hint="default"/>
        <w:w w:val="100"/>
        <w:sz w:val="21"/>
        <w:szCs w:val="21"/>
        <w:lang w:val="en-US" w:eastAsia="en-US" w:bidi="ar-SA"/>
      </w:rPr>
    </w:lvl>
    <w:lvl w:ilvl="1">
      <w:start w:val="1"/>
      <w:numFmt w:val="decimal"/>
      <w:lvlText w:val="%1.%2"/>
      <w:lvlJc w:val="left"/>
      <w:pPr>
        <w:ind w:left="734" w:hanging="318"/>
        <w:jc w:val="right"/>
      </w:pPr>
      <w:rPr>
        <w:rFonts w:ascii="黑体" w:eastAsia="黑体" w:hAnsi="黑体" w:cs="黑体" w:hint="default"/>
        <w:w w:val="100"/>
        <w:sz w:val="19"/>
        <w:szCs w:val="19"/>
        <w:lang w:val="en-US" w:eastAsia="en-US" w:bidi="ar-SA"/>
      </w:rPr>
    </w:lvl>
    <w:lvl w:ilvl="2">
      <w:start w:val="1"/>
      <w:numFmt w:val="decimal"/>
      <w:lvlText w:val="%1.%2.%3"/>
      <w:lvlJc w:val="left"/>
      <w:pPr>
        <w:ind w:left="133" w:hanging="735"/>
        <w:jc w:val="left"/>
      </w:pPr>
      <w:rPr>
        <w:rFonts w:ascii="黑体" w:eastAsia="黑体" w:hAnsi="黑体" w:cs="黑体" w:hint="default"/>
        <w:w w:val="100"/>
        <w:sz w:val="21"/>
        <w:szCs w:val="21"/>
        <w:lang w:val="en-US" w:eastAsia="en-US" w:bidi="ar-SA"/>
      </w:rPr>
    </w:lvl>
    <w:lvl w:ilvl="3">
      <w:start w:val="1"/>
      <w:numFmt w:val="decimal"/>
      <w:lvlText w:val="%1.%2.%3.%4"/>
      <w:lvlJc w:val="left"/>
      <w:pPr>
        <w:ind w:left="1079" w:hanging="947"/>
        <w:jc w:val="left"/>
      </w:pPr>
      <w:rPr>
        <w:rFonts w:ascii="黑体" w:eastAsia="黑体" w:hAnsi="黑体" w:cs="黑体" w:hint="default"/>
        <w:w w:val="100"/>
        <w:sz w:val="21"/>
        <w:szCs w:val="21"/>
        <w:lang w:val="en-US" w:eastAsia="en-US" w:bidi="ar-SA"/>
      </w:rPr>
    </w:lvl>
    <w:lvl w:ilvl="4">
      <w:start w:val="0"/>
      <w:numFmt w:val="bullet"/>
      <w:lvlText w:val="•"/>
      <w:lvlJc w:val="left"/>
      <w:pPr>
        <w:ind w:left="860" w:hanging="947"/>
      </w:pPr>
      <w:rPr>
        <w:rFonts w:hint="default"/>
        <w:lang w:val="en-US" w:eastAsia="en-US" w:bidi="ar-SA"/>
      </w:rPr>
    </w:lvl>
    <w:lvl w:ilvl="5">
      <w:start w:val="0"/>
      <w:numFmt w:val="bullet"/>
      <w:lvlText w:val="•"/>
      <w:lvlJc w:val="left"/>
      <w:pPr>
        <w:ind w:left="940" w:hanging="947"/>
      </w:pPr>
      <w:rPr>
        <w:rFonts w:hint="default"/>
        <w:lang w:val="en-US" w:eastAsia="en-US" w:bidi="ar-SA"/>
      </w:rPr>
    </w:lvl>
    <w:lvl w:ilvl="6">
      <w:start w:val="0"/>
      <w:numFmt w:val="bullet"/>
      <w:lvlText w:val="•"/>
      <w:lvlJc w:val="left"/>
      <w:pPr>
        <w:ind w:left="1040" w:hanging="947"/>
      </w:pPr>
      <w:rPr>
        <w:rFonts w:hint="default"/>
        <w:lang w:val="en-US" w:eastAsia="en-US" w:bidi="ar-SA"/>
      </w:rPr>
    </w:lvl>
    <w:lvl w:ilvl="7">
      <w:start w:val="0"/>
      <w:numFmt w:val="bullet"/>
      <w:lvlText w:val="•"/>
      <w:lvlJc w:val="left"/>
      <w:pPr>
        <w:ind w:left="1080" w:hanging="947"/>
      </w:pPr>
      <w:rPr>
        <w:rFonts w:hint="default"/>
        <w:lang w:val="en-US" w:eastAsia="en-US" w:bidi="ar-SA"/>
      </w:rPr>
    </w:lvl>
    <w:lvl w:ilvl="8">
      <w:start w:val="0"/>
      <w:numFmt w:val="bullet"/>
      <w:lvlText w:val="•"/>
      <w:lvlJc w:val="left"/>
      <w:pPr>
        <w:ind w:left="1160" w:hanging="947"/>
      </w:pPr>
      <w:rPr>
        <w:rFonts w:hint="default"/>
        <w:lang w:val="en-US" w:eastAsia="en-US" w:bidi="ar-SA"/>
      </w:rPr>
    </w:lvl>
  </w:abstractNum>
  <w:abstractNum w:abstractNumId="2">
    <w:nsid w:val="3F77DD5D"/>
    <w:multiLevelType w:val="hybridMultilevel"/>
    <w:tmpl w:val="00000000"/>
    <w:lvl w:ilvl="0">
      <w:start w:val="1"/>
      <w:numFmt w:val="upperLetter"/>
      <w:lvlText w:val="%1"/>
      <w:lvlJc w:val="left"/>
      <w:pPr>
        <w:ind w:left="656" w:hanging="524"/>
        <w:jc w:val="left"/>
      </w:pPr>
      <w:rPr>
        <w:rFonts w:hint="default"/>
        <w:lang w:val="en-US" w:eastAsia="en-US" w:bidi="ar-SA"/>
      </w:rPr>
    </w:lvl>
    <w:lvl w:ilvl="1">
      <w:start w:val="1"/>
      <w:numFmt w:val="decimal"/>
      <w:lvlText w:val="%1.%2"/>
      <w:lvlJc w:val="left"/>
      <w:pPr>
        <w:ind w:left="656" w:hanging="524"/>
        <w:jc w:val="left"/>
      </w:pPr>
      <w:rPr>
        <w:rFonts w:ascii="黑体" w:eastAsia="黑体" w:hAnsi="黑体" w:cs="黑体" w:hint="default"/>
        <w:w w:val="100"/>
        <w:sz w:val="21"/>
        <w:szCs w:val="21"/>
        <w:lang w:val="en-US" w:eastAsia="en-US" w:bidi="ar-SA"/>
      </w:rPr>
    </w:lvl>
    <w:lvl w:ilvl="2">
      <w:start w:val="1"/>
      <w:numFmt w:val="decimal"/>
      <w:lvlText w:val="%1.%2.%3"/>
      <w:lvlJc w:val="left"/>
      <w:pPr>
        <w:ind w:left="868" w:hanging="735"/>
        <w:jc w:val="right"/>
      </w:pPr>
      <w:rPr>
        <w:rFonts w:ascii="黑体" w:eastAsia="黑体" w:hAnsi="黑体" w:cs="黑体" w:hint="default"/>
        <w:w w:val="100"/>
        <w:sz w:val="21"/>
        <w:szCs w:val="21"/>
        <w:lang w:val="en-US" w:eastAsia="en-US" w:bidi="ar-SA"/>
      </w:rPr>
    </w:lvl>
    <w:lvl w:ilvl="3">
      <w:start w:val="0"/>
      <w:numFmt w:val="bullet"/>
      <w:lvlText w:val="•"/>
      <w:lvlJc w:val="left"/>
      <w:pPr>
        <w:ind w:left="2936" w:hanging="735"/>
      </w:pPr>
      <w:rPr>
        <w:rFonts w:hint="default"/>
        <w:lang w:val="en-US" w:eastAsia="en-US" w:bidi="ar-SA"/>
      </w:rPr>
    </w:lvl>
    <w:lvl w:ilvl="4">
      <w:start w:val="0"/>
      <w:numFmt w:val="bullet"/>
      <w:lvlText w:val="•"/>
      <w:lvlJc w:val="left"/>
      <w:pPr>
        <w:ind w:left="3974" w:hanging="735"/>
      </w:pPr>
      <w:rPr>
        <w:rFonts w:hint="default"/>
        <w:lang w:val="en-US" w:eastAsia="en-US" w:bidi="ar-SA"/>
      </w:rPr>
    </w:lvl>
    <w:lvl w:ilvl="5">
      <w:start w:val="0"/>
      <w:numFmt w:val="bullet"/>
      <w:lvlText w:val="•"/>
      <w:lvlJc w:val="left"/>
      <w:pPr>
        <w:ind w:left="5012" w:hanging="735"/>
      </w:pPr>
      <w:rPr>
        <w:rFonts w:hint="default"/>
        <w:lang w:val="en-US" w:eastAsia="en-US" w:bidi="ar-SA"/>
      </w:rPr>
    </w:lvl>
    <w:lvl w:ilvl="6">
      <w:start w:val="0"/>
      <w:numFmt w:val="bullet"/>
      <w:lvlText w:val="•"/>
      <w:lvlJc w:val="left"/>
      <w:pPr>
        <w:ind w:left="6051" w:hanging="735"/>
      </w:pPr>
      <w:rPr>
        <w:rFonts w:hint="default"/>
        <w:lang w:val="en-US" w:eastAsia="en-US" w:bidi="ar-SA"/>
      </w:rPr>
    </w:lvl>
    <w:lvl w:ilvl="7">
      <w:start w:val="0"/>
      <w:numFmt w:val="bullet"/>
      <w:lvlText w:val="•"/>
      <w:lvlJc w:val="left"/>
      <w:pPr>
        <w:ind w:left="7089" w:hanging="735"/>
      </w:pPr>
      <w:rPr>
        <w:rFonts w:hint="default"/>
        <w:lang w:val="en-US" w:eastAsia="en-US" w:bidi="ar-SA"/>
      </w:rPr>
    </w:lvl>
    <w:lvl w:ilvl="8">
      <w:start w:val="0"/>
      <w:numFmt w:val="bullet"/>
      <w:lvlText w:val="•"/>
      <w:lvlJc w:val="left"/>
      <w:pPr>
        <w:ind w:left="8127" w:hanging="735"/>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6"/>
      <w:ind w:right="5"/>
      <w:jc w:val="center"/>
      <w:outlineLvl w:val="0"/>
    </w:pPr>
    <w:rPr>
      <w:rFonts w:ascii="黑体" w:eastAsia="黑体" w:hAnsi="黑体" w:cs="黑体"/>
      <w:sz w:val="32"/>
      <w:szCs w:val="32"/>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ind w:left="260"/>
      <w:jc w:val="center"/>
    </w:pPr>
    <w:rPr>
      <w:rFonts w:ascii="黑体" w:eastAsia="黑体" w:hAnsi="黑体" w:cs="黑体"/>
      <w:sz w:val="52"/>
      <w:szCs w:val="52"/>
      <w:lang w:val="en-US" w:eastAsia="en-US" w:bidi="ar-SA"/>
    </w:rPr>
  </w:style>
  <w:style w:type="paragraph" w:styleId="ListParagraph">
    <w:name w:val="List Paragraph"/>
    <w:basedOn w:val="Normal"/>
    <w:uiPriority w:val="1"/>
    <w:qFormat/>
    <w:pPr>
      <w:ind w:left="868" w:hanging="736"/>
    </w:pPr>
    <w:rPr>
      <w:rFonts w:ascii="宋体" w:eastAsia="宋体" w:hAnsi="宋体" w:cs="宋体"/>
      <w:lang w:val="en-US" w:eastAsia="en-US" w:bidi="ar-SA"/>
    </w:rPr>
  </w:style>
  <w:style w:type="paragraph" w:customStyle="1" w:styleId="TableParagraph">
    <w:name w:val="Table Paragraph"/>
    <w:basedOn w:val="Normal"/>
    <w:uiPriority w:val="1"/>
    <w:qFormat/>
    <w:rPr>
      <w:rFonts w:ascii="宋体" w:eastAsia="宋体" w:hAnsi="宋体" w:cs="宋体"/>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yperlink" Target="https://d.book118.com/706211100000010104" TargetMode="External" /><Relationship Id="rId22" Type="http://schemas.openxmlformats.org/officeDocument/2006/relationships/header" Target="header9.xml" /><Relationship Id="rId23" Type="http://schemas.openxmlformats.org/officeDocument/2006/relationships/header" Target="header10.xml" /><Relationship Id="rId24" Type="http://schemas.openxmlformats.org/officeDocument/2006/relationships/footer" Target="footer9.xml" /><Relationship Id="rId25" Type="http://schemas.openxmlformats.org/officeDocument/2006/relationships/footer" Target="footer10.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Windows 用户</dc:creator>
  <cp:revision>0</cp:revision>
  <dcterms:created xsi:type="dcterms:W3CDTF">2024-03-21T11:37:36Z</dcterms:created>
  <dcterms:modified xsi:type="dcterms:W3CDTF">2024-03-21T11:37:36Z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2023-11-26T00:00:00Z</vt:filetime>
  </property>
  <property fmtid="{D5CDD505-2E9C-101B-9397-08002B2CF9AE}" pid="3" name="Creator">
    <vt:lpwstr>Microsoft® Word 2010</vt:lpwstr>
  </property>
  <property fmtid="{D5CDD505-2E9C-101B-9397-08002B2CF9AE}" pid="4" name="LastSaved">
    <vt:filetime>2024-03-21T00:00:00Z</vt:filetime>
  </property>
</Properties>
</file>