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水溶性肥项目规划设计蓝图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23" w:history="1">
        <w:r>
          <w:rPr>
            <w:rFonts w:ascii="仿宋" w:eastAsia="仿宋" w:hAnsi="仿宋" w:cs="仿宋" w:hint="eastAsia"/>
            <w:lang w:eastAsia="zh-CN"/>
          </w:rPr>
          <w:t>前言</w:t>
        </w:r>
        <w:r>
          <w:tab/>
        </w:r>
        <w:r>
          <w:fldChar w:fldCharType="begin"/>
        </w:r>
        <w:r>
          <w:instrText xml:space="preserve"> PAGEREF _Toc21223 \h </w:instrText>
        </w:r>
        <w:r>
          <w:fldChar w:fldCharType="separate"/>
        </w:r>
        <w:r>
          <w:t>3</w:t>
        </w:r>
        <w:r>
          <w:fldChar w:fldCharType="end"/>
        </w:r>
      </w:hyperlink>
    </w:p>
    <w:p>
      <w:pPr>
        <w:pStyle w:val="TOC1"/>
        <w:tabs>
          <w:tab w:val="right" w:leader="dot" w:pos="8306"/>
        </w:tabs>
      </w:pPr>
      <w:hyperlink w:anchor="_Toc25212" w:history="1">
        <w:r>
          <w:rPr>
            <w:rFonts w:ascii="仿宋" w:eastAsia="仿宋" w:hAnsi="仿宋" w:cs="仿宋" w:hint="eastAsia"/>
            <w:lang w:eastAsia="zh-CN"/>
          </w:rPr>
          <w:t>一、市场分析、调研</w:t>
        </w:r>
        <w:r>
          <w:tab/>
        </w:r>
        <w:r>
          <w:fldChar w:fldCharType="begin"/>
        </w:r>
        <w:r>
          <w:instrText xml:space="preserve"> PAGEREF _Toc25212 \h </w:instrText>
        </w:r>
        <w:r>
          <w:fldChar w:fldCharType="separate"/>
        </w:r>
        <w:r>
          <w:t>3</w:t>
        </w:r>
        <w:r>
          <w:fldChar w:fldCharType="end"/>
        </w:r>
      </w:hyperlink>
    </w:p>
    <w:p>
      <w:pPr>
        <w:pStyle w:val="TOC2"/>
        <w:tabs>
          <w:tab w:val="right" w:leader="dot" w:pos="8306"/>
        </w:tabs>
      </w:pPr>
      <w:hyperlink w:anchor="_Toc12993" w:history="1">
        <w:r>
          <w:rPr>
            <w:rFonts w:ascii="仿宋" w:eastAsia="仿宋" w:hAnsi="仿宋" w:cs="仿宋" w:hint="eastAsia"/>
            <w:lang w:eastAsia="zh-CN"/>
          </w:rPr>
          <w:t>(一)、水溶性肥行业分析</w:t>
        </w:r>
        <w:r>
          <w:tab/>
        </w:r>
        <w:r>
          <w:fldChar w:fldCharType="begin"/>
        </w:r>
        <w:r>
          <w:instrText xml:space="preserve"> PAGEREF _Toc12993 \h </w:instrText>
        </w:r>
        <w:r>
          <w:fldChar w:fldCharType="separate"/>
        </w:r>
        <w:r>
          <w:t>3</w:t>
        </w:r>
        <w:r>
          <w:fldChar w:fldCharType="end"/>
        </w:r>
      </w:hyperlink>
    </w:p>
    <w:p>
      <w:pPr>
        <w:pStyle w:val="TOC2"/>
        <w:tabs>
          <w:tab w:val="right" w:leader="dot" w:pos="8306"/>
        </w:tabs>
      </w:pPr>
      <w:hyperlink w:anchor="_Toc31766" w:history="1">
        <w:r>
          <w:rPr>
            <w:rFonts w:ascii="仿宋" w:eastAsia="仿宋" w:hAnsi="仿宋" w:cs="仿宋" w:hint="eastAsia"/>
            <w:lang w:eastAsia="zh-CN"/>
          </w:rPr>
          <w:t>(二)、水溶性肥市场分析预测</w:t>
        </w:r>
        <w:r>
          <w:tab/>
        </w:r>
        <w:r>
          <w:fldChar w:fldCharType="begin"/>
        </w:r>
        <w:r>
          <w:instrText xml:space="preserve"> PAGEREF _Toc31766 \h </w:instrText>
        </w:r>
        <w:r>
          <w:fldChar w:fldCharType="separate"/>
        </w:r>
        <w:r>
          <w:t>4</w:t>
        </w:r>
        <w:r>
          <w:fldChar w:fldCharType="end"/>
        </w:r>
      </w:hyperlink>
    </w:p>
    <w:p>
      <w:pPr>
        <w:pStyle w:val="TOC1"/>
        <w:tabs>
          <w:tab w:val="right" w:leader="dot" w:pos="8306"/>
        </w:tabs>
      </w:pPr>
      <w:hyperlink w:anchor="_Toc3100" w:history="1">
        <w:r>
          <w:rPr>
            <w:rFonts w:ascii="仿宋" w:eastAsia="仿宋" w:hAnsi="仿宋" w:cs="仿宋" w:hint="eastAsia"/>
            <w:lang w:eastAsia="zh-CN"/>
          </w:rPr>
          <w:t>二、水溶性肥项目建设背景及必要性分析</w:t>
        </w:r>
        <w:r>
          <w:tab/>
        </w:r>
        <w:r>
          <w:fldChar w:fldCharType="begin"/>
        </w:r>
        <w:r>
          <w:instrText xml:space="preserve"> PAGEREF _Toc3100 \h </w:instrText>
        </w:r>
        <w:r>
          <w:fldChar w:fldCharType="separate"/>
        </w:r>
        <w:r>
          <w:t>5</w:t>
        </w:r>
        <w:r>
          <w:fldChar w:fldCharType="end"/>
        </w:r>
      </w:hyperlink>
    </w:p>
    <w:p>
      <w:pPr>
        <w:pStyle w:val="TOC2"/>
        <w:tabs>
          <w:tab w:val="right" w:leader="dot" w:pos="8306"/>
        </w:tabs>
      </w:pPr>
      <w:hyperlink w:anchor="_Toc2218" w:history="1">
        <w:r>
          <w:rPr>
            <w:rFonts w:ascii="仿宋" w:eastAsia="仿宋" w:hAnsi="仿宋" w:cs="仿宋" w:hint="eastAsia"/>
            <w:lang w:eastAsia="zh-CN"/>
          </w:rPr>
          <w:t>(一)、水溶性肥项目背景分析</w:t>
        </w:r>
        <w:r>
          <w:tab/>
        </w:r>
        <w:r>
          <w:fldChar w:fldCharType="begin"/>
        </w:r>
        <w:r>
          <w:instrText xml:space="preserve"> PAGEREF _Toc2218 \h </w:instrText>
        </w:r>
        <w:r>
          <w:fldChar w:fldCharType="separate"/>
        </w:r>
        <w:r>
          <w:t>5</w:t>
        </w:r>
        <w:r>
          <w:fldChar w:fldCharType="end"/>
        </w:r>
      </w:hyperlink>
    </w:p>
    <w:p>
      <w:pPr>
        <w:pStyle w:val="TOC2"/>
        <w:tabs>
          <w:tab w:val="right" w:leader="dot" w:pos="8306"/>
        </w:tabs>
      </w:pPr>
      <w:hyperlink w:anchor="_Toc31496" w:history="1">
        <w:r>
          <w:rPr>
            <w:rFonts w:ascii="仿宋" w:eastAsia="仿宋" w:hAnsi="仿宋" w:cs="仿宋" w:hint="eastAsia"/>
            <w:lang w:eastAsia="zh-CN"/>
          </w:rPr>
          <w:t>(二)、水溶性肥项目建设必要性分析</w:t>
        </w:r>
        <w:r>
          <w:tab/>
        </w:r>
        <w:r>
          <w:fldChar w:fldCharType="begin"/>
        </w:r>
        <w:r>
          <w:instrText xml:space="preserve"> PAGEREF _Toc31496 \h </w:instrText>
        </w:r>
        <w:r>
          <w:fldChar w:fldCharType="separate"/>
        </w:r>
        <w:r>
          <w:t>6</w:t>
        </w:r>
        <w:r>
          <w:fldChar w:fldCharType="end"/>
        </w:r>
      </w:hyperlink>
    </w:p>
    <w:p>
      <w:pPr>
        <w:pStyle w:val="TOC1"/>
        <w:tabs>
          <w:tab w:val="right" w:leader="dot" w:pos="8306"/>
        </w:tabs>
      </w:pPr>
      <w:hyperlink w:anchor="_Toc25095" w:history="1">
        <w:r>
          <w:rPr>
            <w:rFonts w:ascii="仿宋" w:eastAsia="仿宋" w:hAnsi="仿宋" w:cs="仿宋" w:hint="eastAsia"/>
            <w:lang w:eastAsia="zh-CN"/>
          </w:rPr>
          <w:t>三、工艺说明</w:t>
        </w:r>
        <w:r>
          <w:tab/>
        </w:r>
        <w:r>
          <w:fldChar w:fldCharType="begin"/>
        </w:r>
        <w:r>
          <w:instrText xml:space="preserve"> PAGEREF _Toc25095 \h </w:instrText>
        </w:r>
        <w:r>
          <w:fldChar w:fldCharType="separate"/>
        </w:r>
        <w:r>
          <w:t>8</w:t>
        </w:r>
        <w:r>
          <w:fldChar w:fldCharType="end"/>
        </w:r>
      </w:hyperlink>
    </w:p>
    <w:p>
      <w:pPr>
        <w:pStyle w:val="TOC2"/>
        <w:tabs>
          <w:tab w:val="right" w:leader="dot" w:pos="8306"/>
        </w:tabs>
      </w:pPr>
      <w:hyperlink w:anchor="_Toc20530" w:history="1">
        <w:r>
          <w:rPr>
            <w:rFonts w:ascii="仿宋" w:eastAsia="仿宋" w:hAnsi="仿宋" w:cs="仿宋" w:hint="eastAsia"/>
            <w:lang w:eastAsia="zh-CN"/>
          </w:rPr>
          <w:t>(一)、技术管理特点</w:t>
        </w:r>
        <w:r>
          <w:tab/>
        </w:r>
        <w:r>
          <w:fldChar w:fldCharType="begin"/>
        </w:r>
        <w:r>
          <w:instrText xml:space="preserve"> PAGEREF _Toc20530 \h </w:instrText>
        </w:r>
        <w:r>
          <w:fldChar w:fldCharType="separate"/>
        </w:r>
        <w:r>
          <w:t>8</w:t>
        </w:r>
        <w:r>
          <w:fldChar w:fldCharType="end"/>
        </w:r>
      </w:hyperlink>
    </w:p>
    <w:p>
      <w:pPr>
        <w:pStyle w:val="TOC2"/>
        <w:tabs>
          <w:tab w:val="right" w:leader="dot" w:pos="8306"/>
        </w:tabs>
      </w:pPr>
      <w:hyperlink w:anchor="_Toc17390" w:history="1">
        <w:r>
          <w:rPr>
            <w:rFonts w:ascii="仿宋" w:eastAsia="仿宋" w:hAnsi="仿宋" w:cs="仿宋" w:hint="eastAsia"/>
            <w:lang w:eastAsia="zh-CN"/>
          </w:rPr>
          <w:t>(二)、水溶性肥项目工艺技术设计方案</w:t>
        </w:r>
        <w:r>
          <w:tab/>
        </w:r>
        <w:r>
          <w:fldChar w:fldCharType="begin"/>
        </w:r>
        <w:r>
          <w:instrText xml:space="preserve"> PAGEREF _Toc17390 \h </w:instrText>
        </w:r>
        <w:r>
          <w:fldChar w:fldCharType="separate"/>
        </w:r>
        <w:r>
          <w:t>9</w:t>
        </w:r>
        <w:r>
          <w:fldChar w:fldCharType="end"/>
        </w:r>
      </w:hyperlink>
    </w:p>
    <w:p>
      <w:pPr>
        <w:pStyle w:val="TOC2"/>
        <w:tabs>
          <w:tab w:val="right" w:leader="dot" w:pos="8306"/>
        </w:tabs>
      </w:pPr>
      <w:hyperlink w:anchor="_Toc30449" w:history="1">
        <w:r>
          <w:rPr>
            <w:rFonts w:ascii="仿宋" w:eastAsia="仿宋" w:hAnsi="仿宋" w:cs="仿宋" w:hint="eastAsia"/>
            <w:lang w:eastAsia="zh-CN"/>
          </w:rPr>
          <w:t>(三)、设备选型方案</w:t>
        </w:r>
        <w:r>
          <w:tab/>
        </w:r>
        <w:r>
          <w:fldChar w:fldCharType="begin"/>
        </w:r>
        <w:r>
          <w:instrText xml:space="preserve"> PAGEREF _Toc30449 \h </w:instrText>
        </w:r>
        <w:r>
          <w:fldChar w:fldCharType="separate"/>
        </w:r>
        <w:r>
          <w:t>10</w:t>
        </w:r>
        <w:r>
          <w:fldChar w:fldCharType="end"/>
        </w:r>
      </w:hyperlink>
    </w:p>
    <w:p>
      <w:pPr>
        <w:pStyle w:val="TOC1"/>
        <w:tabs>
          <w:tab w:val="right" w:leader="dot" w:pos="8306"/>
        </w:tabs>
      </w:pPr>
      <w:hyperlink w:anchor="_Toc6258" w:history="1">
        <w:r>
          <w:rPr>
            <w:rFonts w:ascii="仿宋" w:eastAsia="仿宋" w:hAnsi="仿宋" w:cs="仿宋" w:hint="eastAsia"/>
            <w:lang w:eastAsia="zh-CN"/>
          </w:rPr>
          <w:t>四、水溶性肥项目可持续发展</w:t>
        </w:r>
        <w:r>
          <w:tab/>
        </w:r>
        <w:r>
          <w:fldChar w:fldCharType="begin"/>
        </w:r>
        <w:r>
          <w:instrText xml:space="preserve"> PAGEREF _Toc6258 \h </w:instrText>
        </w:r>
        <w:r>
          <w:fldChar w:fldCharType="separate"/>
        </w:r>
        <w:r>
          <w:t>11</w:t>
        </w:r>
        <w:r>
          <w:fldChar w:fldCharType="end"/>
        </w:r>
      </w:hyperlink>
    </w:p>
    <w:p>
      <w:pPr>
        <w:pStyle w:val="TOC2"/>
        <w:tabs>
          <w:tab w:val="right" w:leader="dot" w:pos="8306"/>
        </w:tabs>
      </w:pPr>
      <w:hyperlink w:anchor="_Toc5316" w:history="1">
        <w:r>
          <w:rPr>
            <w:rFonts w:ascii="仿宋" w:eastAsia="仿宋" w:hAnsi="仿宋" w:cs="仿宋" w:hint="eastAsia"/>
            <w:lang w:eastAsia="zh-CN"/>
          </w:rPr>
          <w:t>(一)、可持续战略与实践</w:t>
        </w:r>
        <w:r>
          <w:tab/>
        </w:r>
        <w:r>
          <w:fldChar w:fldCharType="begin"/>
        </w:r>
        <w:r>
          <w:instrText xml:space="preserve"> PAGEREF _Toc5316 \h </w:instrText>
        </w:r>
        <w:r>
          <w:fldChar w:fldCharType="separate"/>
        </w:r>
        <w:r>
          <w:t>11</w:t>
        </w:r>
        <w:r>
          <w:fldChar w:fldCharType="end"/>
        </w:r>
      </w:hyperlink>
    </w:p>
    <w:p>
      <w:pPr>
        <w:pStyle w:val="TOC2"/>
        <w:tabs>
          <w:tab w:val="right" w:leader="dot" w:pos="8306"/>
        </w:tabs>
      </w:pPr>
      <w:hyperlink w:anchor="_Toc3072" w:history="1">
        <w:r>
          <w:rPr>
            <w:rFonts w:ascii="仿宋" w:eastAsia="仿宋" w:hAnsi="仿宋" w:cs="仿宋" w:hint="eastAsia"/>
            <w:lang w:eastAsia="zh-CN"/>
          </w:rPr>
          <w:t>(二)、环保与社会责任</w:t>
        </w:r>
        <w:r>
          <w:tab/>
        </w:r>
        <w:r>
          <w:fldChar w:fldCharType="begin"/>
        </w:r>
        <w:r>
          <w:instrText xml:space="preserve"> PAGEREF _Toc3072 \h </w:instrText>
        </w:r>
        <w:r>
          <w:fldChar w:fldCharType="separate"/>
        </w:r>
        <w:r>
          <w:t>12</w:t>
        </w:r>
        <w:r>
          <w:fldChar w:fldCharType="end"/>
        </w:r>
      </w:hyperlink>
    </w:p>
    <w:p>
      <w:pPr>
        <w:pStyle w:val="TOC1"/>
        <w:tabs>
          <w:tab w:val="right" w:leader="dot" w:pos="8306"/>
        </w:tabs>
      </w:pPr>
      <w:hyperlink w:anchor="_Toc30111" w:history="1">
        <w:r>
          <w:rPr>
            <w:rFonts w:ascii="仿宋" w:eastAsia="仿宋" w:hAnsi="仿宋" w:cs="仿宋" w:hint="eastAsia"/>
            <w:lang w:eastAsia="zh-CN"/>
          </w:rPr>
          <w:t>五、产品规划分析</w:t>
        </w:r>
        <w:r>
          <w:tab/>
        </w:r>
        <w:r>
          <w:fldChar w:fldCharType="begin"/>
        </w:r>
        <w:r>
          <w:instrText xml:space="preserve"> PAGEREF _Toc30111 \h </w:instrText>
        </w:r>
        <w:r>
          <w:fldChar w:fldCharType="separate"/>
        </w:r>
        <w:r>
          <w:t>13</w:t>
        </w:r>
        <w:r>
          <w:fldChar w:fldCharType="end"/>
        </w:r>
      </w:hyperlink>
    </w:p>
    <w:p>
      <w:pPr>
        <w:pStyle w:val="TOC2"/>
        <w:tabs>
          <w:tab w:val="right" w:leader="dot" w:pos="8306"/>
        </w:tabs>
      </w:pPr>
      <w:hyperlink w:anchor="_Toc20218" w:history="1">
        <w:r>
          <w:rPr>
            <w:rFonts w:ascii="仿宋" w:eastAsia="仿宋" w:hAnsi="仿宋" w:cs="仿宋" w:hint="eastAsia"/>
            <w:lang w:eastAsia="zh-CN"/>
          </w:rPr>
          <w:t>(一)、产品规划</w:t>
        </w:r>
        <w:r>
          <w:tab/>
        </w:r>
        <w:r>
          <w:fldChar w:fldCharType="begin"/>
        </w:r>
        <w:r>
          <w:instrText xml:space="preserve"> PAGEREF _Toc20218 \h </w:instrText>
        </w:r>
        <w:r>
          <w:fldChar w:fldCharType="separate"/>
        </w:r>
        <w:r>
          <w:t>13</w:t>
        </w:r>
        <w:r>
          <w:fldChar w:fldCharType="end"/>
        </w:r>
      </w:hyperlink>
    </w:p>
    <w:p>
      <w:pPr>
        <w:pStyle w:val="TOC2"/>
        <w:tabs>
          <w:tab w:val="right" w:leader="dot" w:pos="8306"/>
        </w:tabs>
      </w:pPr>
      <w:hyperlink w:anchor="_Toc13239" w:history="1">
        <w:r>
          <w:rPr>
            <w:rFonts w:ascii="仿宋" w:eastAsia="仿宋" w:hAnsi="仿宋" w:cs="仿宋" w:hint="eastAsia"/>
            <w:lang w:eastAsia="zh-CN"/>
          </w:rPr>
          <w:t>(二)、建设规模</w:t>
        </w:r>
        <w:r>
          <w:tab/>
        </w:r>
        <w:r>
          <w:fldChar w:fldCharType="begin"/>
        </w:r>
        <w:r>
          <w:instrText xml:space="preserve"> PAGEREF _Toc13239 \h </w:instrText>
        </w:r>
        <w:r>
          <w:fldChar w:fldCharType="separate"/>
        </w:r>
        <w:r>
          <w:t>14</w:t>
        </w:r>
        <w:r>
          <w:fldChar w:fldCharType="end"/>
        </w:r>
      </w:hyperlink>
    </w:p>
    <w:p>
      <w:pPr>
        <w:pStyle w:val="TOC1"/>
        <w:tabs>
          <w:tab w:val="right" w:leader="dot" w:pos="8306"/>
        </w:tabs>
      </w:pPr>
      <w:hyperlink w:anchor="_Toc22725" w:history="1">
        <w:r>
          <w:rPr>
            <w:rFonts w:ascii="仿宋" w:eastAsia="仿宋" w:hAnsi="仿宋" w:cs="仿宋" w:hint="eastAsia"/>
            <w:lang w:eastAsia="zh-CN"/>
          </w:rPr>
          <w:t>六、水溶性肥项目概论</w:t>
        </w:r>
        <w:r>
          <w:tab/>
        </w:r>
        <w:r>
          <w:fldChar w:fldCharType="begin"/>
        </w:r>
        <w:r>
          <w:instrText xml:space="preserve"> PAGEREF _Toc22725 \h </w:instrText>
        </w:r>
        <w:r>
          <w:fldChar w:fldCharType="separate"/>
        </w:r>
        <w:r>
          <w:t>15</w:t>
        </w:r>
        <w:r>
          <w:fldChar w:fldCharType="end"/>
        </w:r>
      </w:hyperlink>
    </w:p>
    <w:p>
      <w:pPr>
        <w:pStyle w:val="TOC2"/>
        <w:tabs>
          <w:tab w:val="right" w:leader="dot" w:pos="8306"/>
        </w:tabs>
      </w:pPr>
      <w:hyperlink w:anchor="_Toc16055" w:history="1">
        <w:r>
          <w:rPr>
            <w:rFonts w:ascii="仿宋" w:eastAsia="仿宋" w:hAnsi="仿宋" w:cs="仿宋" w:hint="eastAsia"/>
            <w:lang w:eastAsia="zh-CN"/>
          </w:rPr>
          <w:t>(一)、水溶性肥项目概况</w:t>
        </w:r>
        <w:r>
          <w:tab/>
        </w:r>
        <w:r>
          <w:fldChar w:fldCharType="begin"/>
        </w:r>
        <w:r>
          <w:instrText xml:space="preserve"> PAGEREF _Toc16055 \h </w:instrText>
        </w:r>
        <w:r>
          <w:fldChar w:fldCharType="separate"/>
        </w:r>
        <w:r>
          <w:t>15</w:t>
        </w:r>
        <w:r>
          <w:fldChar w:fldCharType="end"/>
        </w:r>
      </w:hyperlink>
    </w:p>
    <w:p>
      <w:pPr>
        <w:pStyle w:val="TOC2"/>
        <w:tabs>
          <w:tab w:val="right" w:leader="dot" w:pos="8306"/>
        </w:tabs>
      </w:pPr>
      <w:hyperlink w:anchor="_Toc24767" w:history="1">
        <w:r>
          <w:rPr>
            <w:rFonts w:ascii="仿宋" w:eastAsia="仿宋" w:hAnsi="仿宋" w:cs="仿宋" w:hint="eastAsia"/>
            <w:lang w:eastAsia="zh-CN"/>
          </w:rPr>
          <w:t>(二)、水溶性肥项目目标</w:t>
        </w:r>
        <w:r>
          <w:tab/>
        </w:r>
        <w:r>
          <w:fldChar w:fldCharType="begin"/>
        </w:r>
        <w:r>
          <w:instrText xml:space="preserve"> PAGEREF _Toc24767 \h </w:instrText>
        </w:r>
        <w:r>
          <w:fldChar w:fldCharType="separate"/>
        </w:r>
        <w:r>
          <w:t>17</w:t>
        </w:r>
        <w:r>
          <w:fldChar w:fldCharType="end"/>
        </w:r>
      </w:hyperlink>
    </w:p>
    <w:p>
      <w:pPr>
        <w:pStyle w:val="TOC2"/>
        <w:tabs>
          <w:tab w:val="right" w:leader="dot" w:pos="8306"/>
        </w:tabs>
      </w:pPr>
      <w:hyperlink w:anchor="_Toc17787" w:history="1">
        <w:r>
          <w:rPr>
            <w:rFonts w:ascii="仿宋" w:eastAsia="仿宋" w:hAnsi="仿宋" w:cs="仿宋" w:hint="eastAsia"/>
            <w:lang w:eastAsia="zh-CN"/>
          </w:rPr>
          <w:t>(三)、水溶性肥项目提出的理由</w:t>
        </w:r>
        <w:r>
          <w:tab/>
        </w:r>
        <w:r>
          <w:fldChar w:fldCharType="begin"/>
        </w:r>
        <w:r>
          <w:instrText xml:space="preserve"> PAGEREF _Toc17787 \h </w:instrText>
        </w:r>
        <w:r>
          <w:fldChar w:fldCharType="separate"/>
        </w:r>
        <w:r>
          <w:t>18</w:t>
        </w:r>
        <w:r>
          <w:fldChar w:fldCharType="end"/>
        </w:r>
      </w:hyperlink>
    </w:p>
    <w:p>
      <w:pPr>
        <w:pStyle w:val="TOC2"/>
        <w:tabs>
          <w:tab w:val="right" w:leader="dot" w:pos="8306"/>
        </w:tabs>
      </w:pPr>
      <w:hyperlink w:anchor="_Toc9085" w:history="1">
        <w:r>
          <w:rPr>
            <w:rFonts w:ascii="仿宋" w:eastAsia="仿宋" w:hAnsi="仿宋" w:cs="仿宋" w:hint="eastAsia"/>
            <w:lang w:eastAsia="zh-CN"/>
          </w:rPr>
          <w:t>(四)、水溶性肥项目意义</w:t>
        </w:r>
        <w:r>
          <w:tab/>
        </w:r>
        <w:r>
          <w:fldChar w:fldCharType="begin"/>
        </w:r>
        <w:r>
          <w:instrText xml:space="preserve"> PAGEREF _Toc9085 \h </w:instrText>
        </w:r>
        <w:r>
          <w:fldChar w:fldCharType="separate"/>
        </w:r>
        <w:r>
          <w:t>20</w:t>
        </w:r>
        <w:r>
          <w:fldChar w:fldCharType="end"/>
        </w:r>
      </w:hyperlink>
    </w:p>
    <w:p>
      <w:pPr>
        <w:pStyle w:val="TOC2"/>
        <w:tabs>
          <w:tab w:val="right" w:leader="dot" w:pos="8306"/>
        </w:tabs>
      </w:pPr>
      <w:hyperlink w:anchor="_Toc24261" w:history="1">
        <w:r>
          <w:rPr>
            <w:rFonts w:ascii="仿宋" w:eastAsia="仿宋" w:hAnsi="仿宋" w:cs="仿宋" w:hint="eastAsia"/>
            <w:lang w:eastAsia="zh-CN"/>
          </w:rPr>
          <w:t>(五)、水溶性肥项目背景</w:t>
        </w:r>
        <w:r>
          <w:tab/>
        </w:r>
        <w:r>
          <w:fldChar w:fldCharType="begin"/>
        </w:r>
        <w:r>
          <w:instrText xml:space="preserve"> PAGEREF _Toc24261 \h </w:instrText>
        </w:r>
        <w:r>
          <w:fldChar w:fldCharType="separate"/>
        </w:r>
        <w:r>
          <w:t>20</w:t>
        </w:r>
        <w:r>
          <w:fldChar w:fldCharType="end"/>
        </w:r>
      </w:hyperlink>
    </w:p>
    <w:p>
      <w:pPr>
        <w:pStyle w:val="TOC1"/>
        <w:tabs>
          <w:tab w:val="right" w:leader="dot" w:pos="8306"/>
        </w:tabs>
      </w:pPr>
      <w:hyperlink w:anchor="_Toc32563" w:history="1">
        <w:r>
          <w:rPr>
            <w:rFonts w:ascii="仿宋" w:eastAsia="仿宋" w:hAnsi="仿宋" w:cs="仿宋" w:hint="eastAsia"/>
            <w:lang w:eastAsia="zh-CN"/>
          </w:rPr>
          <w:t>七、水溶性肥项目人力资源管理</w:t>
        </w:r>
        <w:r>
          <w:tab/>
        </w:r>
        <w:r>
          <w:fldChar w:fldCharType="begin"/>
        </w:r>
        <w:r>
          <w:instrText xml:space="preserve"> PAGEREF _Toc32563 \h </w:instrText>
        </w:r>
        <w:r>
          <w:fldChar w:fldCharType="separate"/>
        </w:r>
        <w:r>
          <w:t>21</w:t>
        </w:r>
        <w:r>
          <w:fldChar w:fldCharType="end"/>
        </w:r>
      </w:hyperlink>
    </w:p>
    <w:p>
      <w:pPr>
        <w:pStyle w:val="TOC2"/>
        <w:tabs>
          <w:tab w:val="right" w:leader="dot" w:pos="8306"/>
        </w:tabs>
      </w:pPr>
      <w:hyperlink w:anchor="_Toc28813" w:history="1">
        <w:r>
          <w:rPr>
            <w:rFonts w:ascii="仿宋" w:eastAsia="仿宋" w:hAnsi="仿宋" w:cs="仿宋" w:hint="eastAsia"/>
            <w:lang w:eastAsia="zh-CN"/>
          </w:rPr>
          <w:t>(一)、建立健全的预算管理制度</w:t>
        </w:r>
        <w:r>
          <w:tab/>
        </w:r>
        <w:r>
          <w:fldChar w:fldCharType="begin"/>
        </w:r>
        <w:r>
          <w:instrText xml:space="preserve"> PAGEREF _Toc28813 \h </w:instrText>
        </w:r>
        <w:r>
          <w:fldChar w:fldCharType="separate"/>
        </w:r>
        <w:r>
          <w:t>21</w:t>
        </w:r>
        <w:r>
          <w:fldChar w:fldCharType="end"/>
        </w:r>
      </w:hyperlink>
    </w:p>
    <w:p>
      <w:pPr>
        <w:pStyle w:val="TOC2"/>
        <w:tabs>
          <w:tab w:val="right" w:leader="dot" w:pos="8306"/>
        </w:tabs>
      </w:pPr>
      <w:hyperlink w:anchor="_Toc2110" w:history="1">
        <w:r>
          <w:rPr>
            <w:rFonts w:ascii="仿宋" w:eastAsia="仿宋" w:hAnsi="仿宋" w:cs="仿宋" w:hint="eastAsia"/>
            <w:lang w:eastAsia="zh-CN"/>
          </w:rPr>
          <w:t>(二)、加强资金流动监控</w:t>
        </w:r>
        <w:r>
          <w:tab/>
        </w:r>
        <w:r>
          <w:fldChar w:fldCharType="begin"/>
        </w:r>
        <w:r>
          <w:instrText xml:space="preserve"> PAGEREF _Toc2110 \h </w:instrText>
        </w:r>
        <w:r>
          <w:fldChar w:fldCharType="separate"/>
        </w:r>
        <w:r>
          <w:t>23</w:t>
        </w:r>
        <w:r>
          <w:fldChar w:fldCharType="end"/>
        </w:r>
      </w:hyperlink>
    </w:p>
    <w:p>
      <w:pPr>
        <w:pStyle w:val="TOC2"/>
        <w:tabs>
          <w:tab w:val="right" w:leader="dot" w:pos="8306"/>
        </w:tabs>
      </w:pPr>
      <w:hyperlink w:anchor="_Toc4827" w:history="1">
        <w:r>
          <w:rPr>
            <w:rFonts w:ascii="仿宋" w:eastAsia="仿宋" w:hAnsi="仿宋" w:cs="仿宋" w:hint="eastAsia"/>
            <w:lang w:eastAsia="zh-CN"/>
          </w:rPr>
          <w:t>(三)、制定完善的风险控制机制</w:t>
        </w:r>
        <w:r>
          <w:tab/>
        </w:r>
        <w:r>
          <w:fldChar w:fldCharType="begin"/>
        </w:r>
        <w:r>
          <w:instrText xml:space="preserve"> PAGEREF _Toc4827 \h </w:instrText>
        </w:r>
        <w:r>
          <w:fldChar w:fldCharType="separate"/>
        </w:r>
        <w:r>
          <w:t>24</w:t>
        </w:r>
        <w:r>
          <w:fldChar w:fldCharType="end"/>
        </w:r>
      </w:hyperlink>
    </w:p>
    <w:p>
      <w:pPr>
        <w:pStyle w:val="TOC2"/>
        <w:tabs>
          <w:tab w:val="right" w:leader="dot" w:pos="8306"/>
        </w:tabs>
      </w:pPr>
      <w:hyperlink w:anchor="_Toc32553" w:history="1">
        <w:r>
          <w:rPr>
            <w:rFonts w:ascii="仿宋" w:eastAsia="仿宋" w:hAnsi="仿宋" w:cs="仿宋" w:hint="eastAsia"/>
            <w:lang w:eastAsia="zh-CN"/>
          </w:rPr>
          <w:t>(四)、优化成本管理</w:t>
        </w:r>
        <w:r>
          <w:tab/>
        </w:r>
        <w:r>
          <w:fldChar w:fldCharType="begin"/>
        </w:r>
        <w:r>
          <w:instrText xml:space="preserve"> PAGEREF _Toc32553 \h </w:instrText>
        </w:r>
        <w:r>
          <w:fldChar w:fldCharType="separate"/>
        </w:r>
        <w:r>
          <w:t>25</w:t>
        </w:r>
        <w:r>
          <w:fldChar w:fldCharType="end"/>
        </w:r>
      </w:hyperlink>
    </w:p>
    <w:p>
      <w:pPr>
        <w:pStyle w:val="TOC1"/>
        <w:tabs>
          <w:tab w:val="right" w:leader="dot" w:pos="8306"/>
        </w:tabs>
      </w:pPr>
      <w:hyperlink w:anchor="_Toc21057" w:history="1">
        <w:r>
          <w:rPr>
            <w:rFonts w:ascii="仿宋" w:eastAsia="仿宋" w:hAnsi="仿宋" w:cs="仿宋" w:hint="eastAsia"/>
            <w:lang w:eastAsia="zh-CN"/>
          </w:rPr>
          <w:t>八、水溶性肥项目环境影响分析</w:t>
        </w:r>
        <w:r>
          <w:tab/>
        </w:r>
        <w:r>
          <w:fldChar w:fldCharType="begin"/>
        </w:r>
        <w:r>
          <w:instrText xml:space="preserve"> PAGEREF _Toc21057 \h </w:instrText>
        </w:r>
        <w:r>
          <w:fldChar w:fldCharType="separate"/>
        </w:r>
        <w:r>
          <w:t>27</w:t>
        </w:r>
        <w:r>
          <w:fldChar w:fldCharType="end"/>
        </w:r>
      </w:hyperlink>
    </w:p>
    <w:p>
      <w:pPr>
        <w:pStyle w:val="TOC2"/>
        <w:tabs>
          <w:tab w:val="right" w:leader="dot" w:pos="8306"/>
        </w:tabs>
      </w:pPr>
      <w:hyperlink w:anchor="_Toc7073" w:history="1">
        <w:r>
          <w:rPr>
            <w:rFonts w:ascii="仿宋" w:eastAsia="仿宋" w:hAnsi="仿宋" w:cs="仿宋" w:hint="eastAsia"/>
            <w:lang w:eastAsia="zh-CN"/>
          </w:rPr>
          <w:t>(一)、建设区域环境质量现状</w:t>
        </w:r>
        <w:r>
          <w:tab/>
        </w:r>
        <w:r>
          <w:fldChar w:fldCharType="begin"/>
        </w:r>
        <w:r>
          <w:instrText xml:space="preserve"> PAGEREF _Toc7073 \h </w:instrText>
        </w:r>
        <w:r>
          <w:fldChar w:fldCharType="separate"/>
        </w:r>
        <w:r>
          <w:t>27</w:t>
        </w:r>
        <w:r>
          <w:fldChar w:fldCharType="end"/>
        </w:r>
      </w:hyperlink>
    </w:p>
    <w:p>
      <w:pPr>
        <w:pStyle w:val="TOC2"/>
        <w:tabs>
          <w:tab w:val="right" w:leader="dot" w:pos="8306"/>
        </w:tabs>
      </w:pPr>
      <w:hyperlink w:anchor="_Toc6011" w:history="1">
        <w:r>
          <w:rPr>
            <w:rFonts w:ascii="仿宋" w:eastAsia="仿宋" w:hAnsi="仿宋" w:cs="仿宋" w:hint="eastAsia"/>
            <w:lang w:eastAsia="zh-CN"/>
          </w:rPr>
          <w:t>(二)、建设期环境保护</w:t>
        </w:r>
        <w:r>
          <w:tab/>
        </w:r>
        <w:r>
          <w:fldChar w:fldCharType="begin"/>
        </w:r>
        <w:r>
          <w:instrText xml:space="preserve"> PAGEREF _Toc6011 \h </w:instrText>
        </w:r>
        <w:r>
          <w:fldChar w:fldCharType="separate"/>
        </w:r>
        <w:r>
          <w:t>28</w:t>
        </w:r>
        <w:r>
          <w:fldChar w:fldCharType="end"/>
        </w:r>
      </w:hyperlink>
    </w:p>
    <w:p>
      <w:pPr>
        <w:pStyle w:val="TOC2"/>
        <w:tabs>
          <w:tab w:val="right" w:leader="dot" w:pos="8306"/>
        </w:tabs>
      </w:pPr>
      <w:hyperlink w:anchor="_Toc31791" w:history="1">
        <w:r>
          <w:rPr>
            <w:rFonts w:ascii="仿宋" w:eastAsia="仿宋" w:hAnsi="仿宋" w:cs="仿宋" w:hint="eastAsia"/>
            <w:lang w:eastAsia="zh-CN"/>
          </w:rPr>
          <w:t>(三)、运营期环境保护</w:t>
        </w:r>
        <w:r>
          <w:tab/>
        </w:r>
        <w:r>
          <w:fldChar w:fldCharType="begin"/>
        </w:r>
        <w:r>
          <w:instrText xml:space="preserve"> PAGEREF _Toc31791 \h </w:instrText>
        </w:r>
        <w:r>
          <w:fldChar w:fldCharType="separate"/>
        </w:r>
        <w:r>
          <w:t>29</w:t>
        </w:r>
        <w:r>
          <w:fldChar w:fldCharType="end"/>
        </w:r>
      </w:hyperlink>
    </w:p>
    <w:p>
      <w:pPr>
        <w:pStyle w:val="TOC2"/>
        <w:tabs>
          <w:tab w:val="right" w:leader="dot" w:pos="8306"/>
        </w:tabs>
      </w:pPr>
      <w:hyperlink w:anchor="_Toc25790" w:history="1">
        <w:r>
          <w:rPr>
            <w:rFonts w:ascii="仿宋" w:eastAsia="仿宋" w:hAnsi="仿宋" w:cs="仿宋" w:hint="eastAsia"/>
            <w:lang w:eastAsia="zh-CN"/>
          </w:rPr>
          <w:t>(四)、水溶性肥项目建设对区域经济的影响</w:t>
        </w:r>
        <w:r>
          <w:tab/>
        </w:r>
        <w:r>
          <w:fldChar w:fldCharType="begin"/>
        </w:r>
        <w:r>
          <w:instrText xml:space="preserve"> PAGEREF _Toc25790 \h </w:instrText>
        </w:r>
        <w:r>
          <w:fldChar w:fldCharType="separate"/>
        </w:r>
        <w:r>
          <w:t>31</w:t>
        </w:r>
        <w:r>
          <w:fldChar w:fldCharType="end"/>
        </w:r>
      </w:hyperlink>
    </w:p>
    <w:p>
      <w:pPr>
        <w:pStyle w:val="TOC2"/>
        <w:tabs>
          <w:tab w:val="right" w:leader="dot" w:pos="8306"/>
        </w:tabs>
      </w:pPr>
      <w:hyperlink w:anchor="_Toc18619" w:history="1">
        <w:r>
          <w:rPr>
            <w:rFonts w:ascii="仿宋" w:eastAsia="仿宋" w:hAnsi="仿宋" w:cs="仿宋" w:hint="eastAsia"/>
            <w:lang w:eastAsia="zh-CN"/>
          </w:rPr>
          <w:t>(五)、废弃物处理</w:t>
        </w:r>
        <w:r>
          <w:tab/>
        </w:r>
        <w:r>
          <w:fldChar w:fldCharType="begin"/>
        </w:r>
        <w:r>
          <w:instrText xml:space="preserve"> PAGEREF _Toc18619 \h </w:instrText>
        </w:r>
        <w:r>
          <w:fldChar w:fldCharType="separate"/>
        </w:r>
        <w:r>
          <w:t>32</w:t>
        </w:r>
        <w:r>
          <w:fldChar w:fldCharType="end"/>
        </w:r>
      </w:hyperlink>
    </w:p>
    <w:p>
      <w:pPr>
        <w:pStyle w:val="TOC2"/>
        <w:tabs>
          <w:tab w:val="right" w:leader="dot" w:pos="8306"/>
        </w:tabs>
      </w:pPr>
      <w:hyperlink w:anchor="_Toc24246" w:history="1">
        <w:r>
          <w:rPr>
            <w:rFonts w:ascii="仿宋" w:eastAsia="仿宋" w:hAnsi="仿宋" w:cs="仿宋" w:hint="eastAsia"/>
            <w:lang w:eastAsia="zh-CN"/>
          </w:rPr>
          <w:t>(六)、特殊环境影响分析</w:t>
        </w:r>
        <w:r>
          <w:tab/>
        </w:r>
        <w:r>
          <w:fldChar w:fldCharType="begin"/>
        </w:r>
        <w:r>
          <w:instrText xml:space="preserve"> PAGEREF _Toc24246 \h </w:instrText>
        </w:r>
        <w:r>
          <w:fldChar w:fldCharType="separate"/>
        </w:r>
        <w:r>
          <w:t>34</w:t>
        </w:r>
        <w:r>
          <w:fldChar w:fldCharType="end"/>
        </w:r>
      </w:hyperlink>
    </w:p>
    <w:p>
      <w:pPr>
        <w:pStyle w:val="TOC2"/>
        <w:tabs>
          <w:tab w:val="right" w:leader="dot" w:pos="8306"/>
        </w:tabs>
      </w:pPr>
      <w:hyperlink w:anchor="_Toc17950" w:history="1">
        <w:r>
          <w:rPr>
            <w:rFonts w:ascii="仿宋" w:eastAsia="仿宋" w:hAnsi="仿宋" w:cs="仿宋" w:hint="eastAsia"/>
            <w:lang w:eastAsia="zh-CN"/>
          </w:rPr>
          <w:t>(七)、清洁生产</w:t>
        </w:r>
        <w:r>
          <w:tab/>
        </w:r>
        <w:r>
          <w:fldChar w:fldCharType="begin"/>
        </w:r>
        <w:r>
          <w:instrText xml:space="preserve"> PAGEREF _Toc17950 \h </w:instrText>
        </w:r>
        <w:r>
          <w:fldChar w:fldCharType="separate"/>
        </w:r>
        <w:r>
          <w:t>35</w:t>
        </w:r>
        <w:r>
          <w:fldChar w:fldCharType="end"/>
        </w:r>
      </w:hyperlink>
    </w:p>
    <w:p>
      <w:pPr>
        <w:pStyle w:val="TOC2"/>
        <w:tabs>
          <w:tab w:val="right" w:leader="dot" w:pos="8306"/>
        </w:tabs>
      </w:pPr>
      <w:hyperlink w:anchor="_Toc1610" w:history="1">
        <w:r>
          <w:rPr>
            <w:rFonts w:ascii="仿宋" w:eastAsia="仿宋" w:hAnsi="仿宋" w:cs="仿宋" w:hint="eastAsia"/>
            <w:lang w:eastAsia="zh-CN"/>
          </w:rPr>
          <w:t>(八)、环境保护综合评价</w:t>
        </w:r>
        <w:r>
          <w:tab/>
        </w:r>
        <w:r>
          <w:fldChar w:fldCharType="begin"/>
        </w:r>
        <w:r>
          <w:instrText xml:space="preserve"> PAGEREF _Toc1610 \h </w:instrText>
        </w:r>
        <w:r>
          <w:fldChar w:fldCharType="separate"/>
        </w:r>
        <w:r>
          <w:t>36</w:t>
        </w:r>
        <w:r>
          <w:fldChar w:fldCharType="end"/>
        </w:r>
      </w:hyperlink>
    </w:p>
    <w:p>
      <w:pPr>
        <w:pStyle w:val="TOC1"/>
        <w:tabs>
          <w:tab w:val="right" w:leader="dot" w:pos="8306"/>
        </w:tabs>
      </w:pPr>
      <w:hyperlink w:anchor="_Toc19279" w:history="1">
        <w:r>
          <w:rPr>
            <w:rFonts w:ascii="仿宋" w:eastAsia="仿宋" w:hAnsi="仿宋" w:cs="仿宋" w:hint="eastAsia"/>
            <w:lang w:eastAsia="zh-CN"/>
          </w:rPr>
          <w:t>九、水溶性肥项目社会影响</w:t>
        </w:r>
        <w:r>
          <w:tab/>
        </w:r>
        <w:r>
          <w:fldChar w:fldCharType="begin"/>
        </w:r>
        <w:r>
          <w:instrText xml:space="preserve"> PAGEREF _Toc19279 \h </w:instrText>
        </w:r>
        <w:r>
          <w:fldChar w:fldCharType="separate"/>
        </w:r>
        <w:r>
          <w:t>37</w:t>
        </w:r>
        <w:r>
          <w:fldChar w:fldCharType="end"/>
        </w:r>
      </w:hyperlink>
    </w:p>
    <w:p>
      <w:pPr>
        <w:pStyle w:val="TOC2"/>
        <w:tabs>
          <w:tab w:val="right" w:leader="dot" w:pos="8306"/>
        </w:tabs>
      </w:pPr>
      <w:hyperlink w:anchor="_Toc29078" w:history="1">
        <w:r>
          <w:rPr>
            <w:rFonts w:ascii="仿宋" w:eastAsia="仿宋" w:hAnsi="仿宋" w:cs="仿宋" w:hint="eastAsia"/>
            <w:lang w:eastAsia="zh-CN"/>
          </w:rPr>
          <w:t>(一)、社会责任与义务</w:t>
        </w:r>
        <w:r>
          <w:tab/>
        </w:r>
        <w:r>
          <w:fldChar w:fldCharType="begin"/>
        </w:r>
        <w:r>
          <w:instrText xml:space="preserve"> PAGEREF _Toc29078 \h </w:instrText>
        </w:r>
        <w:r>
          <w:fldChar w:fldCharType="separate"/>
        </w:r>
        <w:r>
          <w:t>37</w:t>
        </w:r>
        <w:r>
          <w:fldChar w:fldCharType="end"/>
        </w:r>
      </w:hyperlink>
    </w:p>
    <w:p>
      <w:pPr>
        <w:pStyle w:val="TOC2"/>
        <w:tabs>
          <w:tab w:val="right" w:leader="dot" w:pos="8306"/>
        </w:tabs>
      </w:pPr>
      <w:hyperlink w:anchor="_Toc19695" w:history="1">
        <w:r>
          <w:rPr>
            <w:rFonts w:ascii="仿宋" w:eastAsia="仿宋" w:hAnsi="仿宋" w:cs="仿宋" w:hint="eastAsia"/>
            <w:lang w:eastAsia="zh-CN"/>
          </w:rPr>
          <w:t>(二)、社会参与与沟通</w:t>
        </w:r>
        <w:r>
          <w:tab/>
        </w:r>
        <w:r>
          <w:fldChar w:fldCharType="begin"/>
        </w:r>
        <w:r>
          <w:instrText xml:space="preserve"> PAGEREF _Toc19695 \h </w:instrText>
        </w:r>
        <w:r>
          <w:fldChar w:fldCharType="separate"/>
        </w:r>
        <w:r>
          <w:t>38</w:t>
        </w:r>
        <w:r>
          <w:fldChar w:fldCharType="end"/>
        </w:r>
      </w:hyperlink>
    </w:p>
    <w:p>
      <w:pPr>
        <w:pStyle w:val="TOC1"/>
        <w:tabs>
          <w:tab w:val="right" w:leader="dot" w:pos="8306"/>
        </w:tabs>
      </w:pPr>
      <w:hyperlink w:anchor="_Toc1480" w:history="1">
        <w:r>
          <w:rPr>
            <w:rFonts w:ascii="仿宋" w:eastAsia="仿宋" w:hAnsi="仿宋" w:cs="仿宋" w:hint="eastAsia"/>
            <w:lang w:eastAsia="zh-CN"/>
          </w:rPr>
          <w:t>十、水溶性肥项目经营效益</w:t>
        </w:r>
        <w:r>
          <w:tab/>
        </w:r>
        <w:r>
          <w:fldChar w:fldCharType="begin"/>
        </w:r>
        <w:r>
          <w:instrText xml:space="preserve"> PAGEREF _Toc1480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21" w:history="1">
        <w:r>
          <w:rPr>
            <w:rFonts w:ascii="仿宋" w:eastAsia="仿宋" w:hAnsi="仿宋" w:cs="仿宋" w:hint="eastAsia"/>
            <w:lang w:eastAsia="zh-CN"/>
          </w:rPr>
          <w:t>(一)、经济评价财务测算</w:t>
        </w:r>
        <w:r>
          <w:tab/>
        </w:r>
        <w:r>
          <w:fldChar w:fldCharType="begin"/>
        </w:r>
        <w:r>
          <w:instrText xml:space="preserve"> PAGEREF _Toc6721 \h </w:instrText>
        </w:r>
        <w:r>
          <w:fldChar w:fldCharType="separate"/>
        </w:r>
        <w:r>
          <w:t>39</w:t>
        </w:r>
        <w:r>
          <w:fldChar w:fldCharType="end"/>
        </w:r>
      </w:hyperlink>
    </w:p>
    <w:p>
      <w:pPr>
        <w:pStyle w:val="TOC2"/>
        <w:tabs>
          <w:tab w:val="right" w:leader="dot" w:pos="8306"/>
        </w:tabs>
      </w:pPr>
      <w:hyperlink w:anchor="_Toc186" w:history="1">
        <w:r>
          <w:rPr>
            <w:rFonts w:ascii="仿宋" w:eastAsia="仿宋" w:hAnsi="仿宋" w:cs="仿宋" w:hint="eastAsia"/>
            <w:lang w:eastAsia="zh-CN"/>
          </w:rPr>
          <w:t>(二)、水溶性肥项目盈利能力分析</w:t>
        </w:r>
        <w:r>
          <w:tab/>
        </w:r>
        <w:r>
          <w:fldChar w:fldCharType="begin"/>
        </w:r>
        <w:r>
          <w:instrText xml:space="preserve"> PAGEREF _Toc186 \h </w:instrText>
        </w:r>
        <w:r>
          <w:fldChar w:fldCharType="separate"/>
        </w:r>
        <w:r>
          <w:t>40</w:t>
        </w:r>
        <w:r>
          <w:fldChar w:fldCharType="end"/>
        </w:r>
      </w:hyperlink>
    </w:p>
    <w:p>
      <w:pPr>
        <w:pStyle w:val="TOC1"/>
        <w:tabs>
          <w:tab w:val="right" w:leader="dot" w:pos="8306"/>
        </w:tabs>
      </w:pPr>
      <w:hyperlink w:anchor="_Toc32464" w:history="1">
        <w:r>
          <w:rPr>
            <w:rFonts w:ascii="仿宋" w:eastAsia="仿宋" w:hAnsi="仿宋" w:cs="仿宋" w:hint="eastAsia"/>
            <w:lang w:eastAsia="zh-CN"/>
          </w:rPr>
          <w:t>十一、水溶性肥项目计划安排</w:t>
        </w:r>
        <w:r>
          <w:tab/>
        </w:r>
        <w:r>
          <w:fldChar w:fldCharType="begin"/>
        </w:r>
        <w:r>
          <w:instrText xml:space="preserve"> PAGEREF _Toc32464 \h </w:instrText>
        </w:r>
        <w:r>
          <w:fldChar w:fldCharType="separate"/>
        </w:r>
        <w:r>
          <w:t>41</w:t>
        </w:r>
        <w:r>
          <w:fldChar w:fldCharType="end"/>
        </w:r>
      </w:hyperlink>
    </w:p>
    <w:p>
      <w:pPr>
        <w:pStyle w:val="TOC2"/>
        <w:tabs>
          <w:tab w:val="right" w:leader="dot" w:pos="8306"/>
        </w:tabs>
      </w:pPr>
      <w:hyperlink w:anchor="_Toc22654" w:history="1">
        <w:r>
          <w:rPr>
            <w:rFonts w:ascii="仿宋" w:eastAsia="仿宋" w:hAnsi="仿宋" w:cs="仿宋" w:hint="eastAsia"/>
            <w:lang w:eastAsia="zh-CN"/>
          </w:rPr>
          <w:t>(一)、建设周期</w:t>
        </w:r>
        <w:r>
          <w:tab/>
        </w:r>
        <w:r>
          <w:fldChar w:fldCharType="begin"/>
        </w:r>
        <w:r>
          <w:instrText xml:space="preserve"> PAGEREF _Toc22654 \h </w:instrText>
        </w:r>
        <w:r>
          <w:fldChar w:fldCharType="separate"/>
        </w:r>
        <w:r>
          <w:t>41</w:t>
        </w:r>
        <w:r>
          <w:fldChar w:fldCharType="end"/>
        </w:r>
      </w:hyperlink>
    </w:p>
    <w:p>
      <w:pPr>
        <w:pStyle w:val="TOC2"/>
        <w:tabs>
          <w:tab w:val="right" w:leader="dot" w:pos="8306"/>
        </w:tabs>
      </w:pPr>
      <w:hyperlink w:anchor="_Toc22094" w:history="1">
        <w:r>
          <w:rPr>
            <w:rFonts w:ascii="仿宋" w:eastAsia="仿宋" w:hAnsi="仿宋" w:cs="仿宋" w:hint="eastAsia"/>
            <w:lang w:eastAsia="zh-CN"/>
          </w:rPr>
          <w:t>(二)、建设进度</w:t>
        </w:r>
        <w:r>
          <w:tab/>
        </w:r>
        <w:r>
          <w:fldChar w:fldCharType="begin"/>
        </w:r>
        <w:r>
          <w:instrText xml:space="preserve"> PAGEREF _Toc22094 \h </w:instrText>
        </w:r>
        <w:r>
          <w:fldChar w:fldCharType="separate"/>
        </w:r>
        <w:r>
          <w:t>42</w:t>
        </w:r>
        <w:r>
          <w:fldChar w:fldCharType="end"/>
        </w:r>
      </w:hyperlink>
    </w:p>
    <w:p>
      <w:pPr>
        <w:pStyle w:val="TOC2"/>
        <w:tabs>
          <w:tab w:val="right" w:leader="dot" w:pos="8306"/>
        </w:tabs>
      </w:pPr>
      <w:hyperlink w:anchor="_Toc26688" w:history="1">
        <w:r>
          <w:rPr>
            <w:rFonts w:ascii="仿宋" w:eastAsia="仿宋" w:hAnsi="仿宋" w:cs="仿宋" w:hint="eastAsia"/>
            <w:lang w:eastAsia="zh-CN"/>
          </w:rPr>
          <w:t>(三)、进度安排注意事项</w:t>
        </w:r>
        <w:r>
          <w:tab/>
        </w:r>
        <w:r>
          <w:fldChar w:fldCharType="begin"/>
        </w:r>
        <w:r>
          <w:instrText xml:space="preserve"> PAGEREF _Toc26688 \h </w:instrText>
        </w:r>
        <w:r>
          <w:fldChar w:fldCharType="separate"/>
        </w:r>
        <w:r>
          <w:t>43</w:t>
        </w:r>
        <w:r>
          <w:fldChar w:fldCharType="end"/>
        </w:r>
      </w:hyperlink>
    </w:p>
    <w:p>
      <w:pPr>
        <w:pStyle w:val="TOC2"/>
        <w:tabs>
          <w:tab w:val="right" w:leader="dot" w:pos="8306"/>
        </w:tabs>
      </w:pPr>
      <w:hyperlink w:anchor="_Toc19575" w:history="1">
        <w:r>
          <w:rPr>
            <w:rFonts w:ascii="仿宋" w:eastAsia="仿宋" w:hAnsi="仿宋" w:cs="仿宋" w:hint="eastAsia"/>
            <w:lang w:eastAsia="zh-CN"/>
          </w:rPr>
          <w:t>(四)、人力资源配置</w:t>
        </w:r>
        <w:r>
          <w:tab/>
        </w:r>
        <w:r>
          <w:fldChar w:fldCharType="begin"/>
        </w:r>
        <w:r>
          <w:instrText xml:space="preserve"> PAGEREF _Toc19575 \h </w:instrText>
        </w:r>
        <w:r>
          <w:fldChar w:fldCharType="separate"/>
        </w:r>
        <w:r>
          <w:t>44</w:t>
        </w:r>
        <w:r>
          <w:fldChar w:fldCharType="end"/>
        </w:r>
      </w:hyperlink>
    </w:p>
    <w:p>
      <w:pPr>
        <w:pStyle w:val="TOC1"/>
        <w:tabs>
          <w:tab w:val="right" w:leader="dot" w:pos="8306"/>
        </w:tabs>
      </w:pPr>
      <w:hyperlink w:anchor="_Toc23836" w:history="1">
        <w:r>
          <w:rPr>
            <w:rFonts w:ascii="仿宋" w:eastAsia="仿宋" w:hAnsi="仿宋" w:cs="仿宋" w:hint="eastAsia"/>
            <w:lang w:eastAsia="zh-CN"/>
          </w:rPr>
          <w:t>十二、水溶性肥项目风险管理</w:t>
        </w:r>
        <w:r>
          <w:tab/>
        </w:r>
        <w:r>
          <w:fldChar w:fldCharType="begin"/>
        </w:r>
        <w:r>
          <w:instrText xml:space="preserve"> PAGEREF _Toc23836 \h </w:instrText>
        </w:r>
        <w:r>
          <w:fldChar w:fldCharType="separate"/>
        </w:r>
        <w:r>
          <w:t>45</w:t>
        </w:r>
        <w:r>
          <w:fldChar w:fldCharType="end"/>
        </w:r>
      </w:hyperlink>
    </w:p>
    <w:p>
      <w:pPr>
        <w:pStyle w:val="TOC2"/>
        <w:tabs>
          <w:tab w:val="right" w:leader="dot" w:pos="8306"/>
        </w:tabs>
      </w:pPr>
      <w:hyperlink w:anchor="_Toc4347" w:history="1">
        <w:r>
          <w:rPr>
            <w:rFonts w:ascii="仿宋" w:eastAsia="仿宋" w:hAnsi="仿宋" w:cs="仿宋" w:hint="eastAsia"/>
            <w:lang w:eastAsia="zh-CN"/>
          </w:rPr>
          <w:t>(一)、风险识别与评估</w:t>
        </w:r>
        <w:r>
          <w:tab/>
        </w:r>
        <w:r>
          <w:fldChar w:fldCharType="begin"/>
        </w:r>
        <w:r>
          <w:instrText xml:space="preserve"> PAGEREF _Toc4347 \h </w:instrText>
        </w:r>
        <w:r>
          <w:fldChar w:fldCharType="separate"/>
        </w:r>
        <w:r>
          <w:t>45</w:t>
        </w:r>
        <w:r>
          <w:fldChar w:fldCharType="end"/>
        </w:r>
      </w:hyperlink>
    </w:p>
    <w:p>
      <w:pPr>
        <w:pStyle w:val="TOC2"/>
        <w:tabs>
          <w:tab w:val="right" w:leader="dot" w:pos="8306"/>
        </w:tabs>
      </w:pPr>
      <w:hyperlink w:anchor="_Toc10984" w:history="1">
        <w:r>
          <w:rPr>
            <w:rFonts w:ascii="仿宋" w:eastAsia="仿宋" w:hAnsi="仿宋" w:cs="仿宋" w:hint="eastAsia"/>
            <w:lang w:eastAsia="zh-CN"/>
          </w:rPr>
          <w:t>(二)、风险应对策略</w:t>
        </w:r>
        <w:r>
          <w:tab/>
        </w:r>
        <w:r>
          <w:fldChar w:fldCharType="begin"/>
        </w:r>
        <w:r>
          <w:instrText xml:space="preserve"> PAGEREF _Toc10984 \h </w:instrText>
        </w:r>
        <w:r>
          <w:fldChar w:fldCharType="separate"/>
        </w:r>
        <w:r>
          <w:t>46</w:t>
        </w:r>
        <w:r>
          <w:fldChar w:fldCharType="end"/>
        </w:r>
      </w:hyperlink>
    </w:p>
    <w:p>
      <w:pPr>
        <w:pStyle w:val="TOC2"/>
        <w:tabs>
          <w:tab w:val="right" w:leader="dot" w:pos="8306"/>
        </w:tabs>
      </w:pPr>
      <w:hyperlink w:anchor="_Toc18359" w:history="1">
        <w:r>
          <w:rPr>
            <w:rFonts w:ascii="仿宋" w:eastAsia="仿宋" w:hAnsi="仿宋" w:cs="仿宋" w:hint="eastAsia"/>
            <w:lang w:eastAsia="zh-CN"/>
          </w:rPr>
          <w:t>(三)、风险监控与控制</w:t>
        </w:r>
        <w:r>
          <w:tab/>
        </w:r>
        <w:r>
          <w:fldChar w:fldCharType="begin"/>
        </w:r>
        <w:r>
          <w:instrText xml:space="preserve"> PAGEREF _Toc18359 \h </w:instrText>
        </w:r>
        <w:r>
          <w:fldChar w:fldCharType="separate"/>
        </w:r>
        <w:r>
          <w:t>48</w:t>
        </w:r>
        <w:r>
          <w:fldChar w:fldCharType="end"/>
        </w:r>
      </w:hyperlink>
    </w:p>
    <w:p>
      <w:pPr>
        <w:pStyle w:val="TOC1"/>
        <w:tabs>
          <w:tab w:val="right" w:leader="dot" w:pos="8306"/>
        </w:tabs>
      </w:pPr>
      <w:hyperlink w:anchor="_Toc20474" w:history="1">
        <w:r>
          <w:rPr>
            <w:rFonts w:ascii="仿宋" w:eastAsia="仿宋" w:hAnsi="仿宋" w:cs="仿宋" w:hint="eastAsia"/>
            <w:lang w:eastAsia="zh-CN"/>
          </w:rPr>
          <w:t>十三、水溶性肥项目实施保障措施</w:t>
        </w:r>
        <w:r>
          <w:tab/>
        </w:r>
        <w:r>
          <w:fldChar w:fldCharType="begin"/>
        </w:r>
        <w:r>
          <w:instrText xml:space="preserve"> PAGEREF _Toc20474 \h </w:instrText>
        </w:r>
        <w:r>
          <w:fldChar w:fldCharType="separate"/>
        </w:r>
        <w:r>
          <w:t>49</w:t>
        </w:r>
        <w:r>
          <w:fldChar w:fldCharType="end"/>
        </w:r>
      </w:hyperlink>
    </w:p>
    <w:p>
      <w:pPr>
        <w:pStyle w:val="TOC2"/>
        <w:tabs>
          <w:tab w:val="right" w:leader="dot" w:pos="8306"/>
        </w:tabs>
      </w:pPr>
      <w:hyperlink w:anchor="_Toc32715" w:history="1">
        <w:r>
          <w:rPr>
            <w:rFonts w:ascii="仿宋" w:eastAsia="仿宋" w:hAnsi="仿宋" w:cs="仿宋" w:hint="eastAsia"/>
            <w:lang w:eastAsia="zh-CN"/>
          </w:rPr>
          <w:t>(一)、水溶性肥项目实施保障机制</w:t>
        </w:r>
        <w:r>
          <w:tab/>
        </w:r>
        <w:r>
          <w:fldChar w:fldCharType="begin"/>
        </w:r>
        <w:r>
          <w:instrText xml:space="preserve"> PAGEREF _Toc32715 \h </w:instrText>
        </w:r>
        <w:r>
          <w:fldChar w:fldCharType="separate"/>
        </w:r>
        <w:r>
          <w:t>49</w:t>
        </w:r>
        <w:r>
          <w:fldChar w:fldCharType="end"/>
        </w:r>
      </w:hyperlink>
    </w:p>
    <w:p>
      <w:pPr>
        <w:pStyle w:val="TOC2"/>
        <w:tabs>
          <w:tab w:val="right" w:leader="dot" w:pos="8306"/>
        </w:tabs>
      </w:pPr>
      <w:hyperlink w:anchor="_Toc10357" w:history="1">
        <w:r>
          <w:rPr>
            <w:rFonts w:ascii="仿宋" w:eastAsia="仿宋" w:hAnsi="仿宋" w:cs="仿宋" w:hint="eastAsia"/>
            <w:lang w:eastAsia="zh-CN"/>
          </w:rPr>
          <w:t>(二)、水溶性肥项目法律合规要求</w:t>
        </w:r>
        <w:r>
          <w:tab/>
        </w:r>
        <w:r>
          <w:fldChar w:fldCharType="begin"/>
        </w:r>
        <w:r>
          <w:instrText xml:space="preserve"> PAGEREF _Toc10357 \h </w:instrText>
        </w:r>
        <w:r>
          <w:fldChar w:fldCharType="separate"/>
        </w:r>
        <w:r>
          <w:t>53</w:t>
        </w:r>
        <w:r>
          <w:fldChar w:fldCharType="end"/>
        </w:r>
      </w:hyperlink>
    </w:p>
    <w:p>
      <w:pPr>
        <w:pStyle w:val="TOC2"/>
        <w:tabs>
          <w:tab w:val="right" w:leader="dot" w:pos="8306"/>
        </w:tabs>
      </w:pPr>
      <w:hyperlink w:anchor="_Toc4177" w:history="1">
        <w:r>
          <w:rPr>
            <w:rFonts w:ascii="仿宋" w:eastAsia="仿宋" w:hAnsi="仿宋" w:cs="仿宋" w:hint="eastAsia"/>
            <w:lang w:eastAsia="zh-CN"/>
          </w:rPr>
          <w:t>(三)、水溶性肥项目合同管理与法律事务</w:t>
        </w:r>
        <w:r>
          <w:tab/>
        </w:r>
        <w:r>
          <w:fldChar w:fldCharType="begin"/>
        </w:r>
        <w:r>
          <w:instrText xml:space="preserve"> PAGEREF _Toc4177 \h </w:instrText>
        </w:r>
        <w:r>
          <w:fldChar w:fldCharType="separate"/>
        </w:r>
        <w:r>
          <w:t>57</w:t>
        </w:r>
        <w:r>
          <w:fldChar w:fldCharType="end"/>
        </w:r>
      </w:hyperlink>
    </w:p>
    <w:p>
      <w:pPr>
        <w:pStyle w:val="TOC2"/>
        <w:tabs>
          <w:tab w:val="right" w:leader="dot" w:pos="8306"/>
        </w:tabs>
      </w:pPr>
      <w:hyperlink w:anchor="_Toc21666" w:history="1">
        <w:r>
          <w:rPr>
            <w:rFonts w:ascii="仿宋" w:eastAsia="仿宋" w:hAnsi="仿宋" w:cs="仿宋" w:hint="eastAsia"/>
            <w:lang w:eastAsia="zh-CN"/>
          </w:rPr>
          <w:t>(四)、水溶性肥项目知识产权保护策略</w:t>
        </w:r>
        <w:r>
          <w:tab/>
        </w:r>
        <w:r>
          <w:fldChar w:fldCharType="begin"/>
        </w:r>
        <w:r>
          <w:instrText xml:space="preserve"> PAGEREF _Toc21666 \h </w:instrText>
        </w:r>
        <w:r>
          <w:fldChar w:fldCharType="separate"/>
        </w:r>
        <w:r>
          <w:t>63</w:t>
        </w:r>
        <w:r>
          <w:fldChar w:fldCharType="end"/>
        </w:r>
      </w:hyperlink>
    </w:p>
    <w:p>
      <w:pPr>
        <w:pStyle w:val="TOC1"/>
        <w:tabs>
          <w:tab w:val="right" w:leader="dot" w:pos="8306"/>
        </w:tabs>
      </w:pPr>
      <w:hyperlink w:anchor="_Toc28597" w:history="1">
        <w:r>
          <w:rPr>
            <w:rFonts w:ascii="仿宋" w:eastAsia="仿宋" w:hAnsi="仿宋" w:cs="仿宋" w:hint="eastAsia"/>
            <w:lang w:eastAsia="zh-CN"/>
          </w:rPr>
          <w:t>十四、风险识别与分类</w:t>
        </w:r>
        <w:r>
          <w:tab/>
        </w:r>
        <w:r>
          <w:fldChar w:fldCharType="begin"/>
        </w:r>
        <w:r>
          <w:instrText xml:space="preserve"> PAGEREF _Toc28597 \h </w:instrText>
        </w:r>
        <w:r>
          <w:fldChar w:fldCharType="separate"/>
        </w:r>
        <w:r>
          <w:t>65</w:t>
        </w:r>
        <w:r>
          <w:fldChar w:fldCharType="end"/>
        </w:r>
      </w:hyperlink>
    </w:p>
    <w:p>
      <w:pPr>
        <w:pStyle w:val="TOC2"/>
        <w:tabs>
          <w:tab w:val="right" w:leader="dot" w:pos="8306"/>
        </w:tabs>
      </w:pPr>
      <w:hyperlink w:anchor="_Toc4951" w:history="1">
        <w:r>
          <w:rPr>
            <w:rFonts w:ascii="仿宋" w:eastAsia="仿宋" w:hAnsi="仿宋" w:cs="仿宋" w:hint="eastAsia"/>
            <w:lang w:eastAsia="zh-CN"/>
          </w:rPr>
          <w:t>(一)、风险识别</w:t>
        </w:r>
        <w:r>
          <w:tab/>
        </w:r>
        <w:r>
          <w:fldChar w:fldCharType="begin"/>
        </w:r>
        <w:r>
          <w:instrText xml:space="preserve"> PAGEREF _Toc4951 \h </w:instrText>
        </w:r>
        <w:r>
          <w:fldChar w:fldCharType="separate"/>
        </w:r>
        <w:r>
          <w:t>65</w:t>
        </w:r>
        <w:r>
          <w:fldChar w:fldCharType="end"/>
        </w:r>
      </w:hyperlink>
    </w:p>
    <w:p>
      <w:pPr>
        <w:pStyle w:val="TOC2"/>
        <w:tabs>
          <w:tab w:val="right" w:leader="dot" w:pos="8306"/>
        </w:tabs>
      </w:pPr>
      <w:hyperlink w:anchor="_Toc780" w:history="1">
        <w:r>
          <w:rPr>
            <w:rFonts w:ascii="仿宋" w:eastAsia="仿宋" w:hAnsi="仿宋" w:cs="仿宋" w:hint="eastAsia"/>
            <w:lang w:eastAsia="zh-CN"/>
          </w:rPr>
          <w:t>(二)、风险分类</w:t>
        </w:r>
        <w:r>
          <w:tab/>
        </w:r>
        <w:r>
          <w:fldChar w:fldCharType="begin"/>
        </w:r>
        <w:r>
          <w:instrText xml:space="preserve"> PAGEREF _Toc780 \h </w:instrText>
        </w:r>
        <w:r>
          <w:fldChar w:fldCharType="separate"/>
        </w:r>
        <w:r>
          <w:t>67</w:t>
        </w:r>
        <w:r>
          <w:fldChar w:fldCharType="end"/>
        </w:r>
      </w:hyperlink>
    </w:p>
    <w:p>
      <w:pPr>
        <w:pStyle w:val="TOC1"/>
        <w:tabs>
          <w:tab w:val="right" w:leader="dot" w:pos="8306"/>
        </w:tabs>
      </w:pPr>
      <w:hyperlink w:anchor="_Toc14478" w:history="1">
        <w:r>
          <w:rPr>
            <w:rFonts w:ascii="仿宋" w:eastAsia="仿宋" w:hAnsi="仿宋" w:cs="仿宋" w:hint="eastAsia"/>
            <w:lang w:eastAsia="zh-CN"/>
          </w:rPr>
          <w:t>十五、水溶性肥项目工程方案分析</w:t>
        </w:r>
        <w:r>
          <w:tab/>
        </w:r>
        <w:r>
          <w:fldChar w:fldCharType="begin"/>
        </w:r>
        <w:r>
          <w:instrText xml:space="preserve"> PAGEREF _Toc14478 \h </w:instrText>
        </w:r>
        <w:r>
          <w:fldChar w:fldCharType="separate"/>
        </w:r>
        <w:r>
          <w:t>68</w:t>
        </w:r>
        <w:r>
          <w:fldChar w:fldCharType="end"/>
        </w:r>
      </w:hyperlink>
    </w:p>
    <w:p>
      <w:pPr>
        <w:pStyle w:val="TOC2"/>
        <w:tabs>
          <w:tab w:val="right" w:leader="dot" w:pos="8306"/>
        </w:tabs>
      </w:pPr>
      <w:hyperlink w:anchor="_Toc3285" w:history="1">
        <w:r>
          <w:rPr>
            <w:rFonts w:ascii="仿宋" w:eastAsia="仿宋" w:hAnsi="仿宋" w:cs="仿宋" w:hint="eastAsia"/>
            <w:lang w:eastAsia="zh-CN"/>
          </w:rPr>
          <w:t>(一)、建筑工程设计原则</w:t>
        </w:r>
        <w:r>
          <w:tab/>
        </w:r>
        <w:r>
          <w:fldChar w:fldCharType="begin"/>
        </w:r>
        <w:r>
          <w:instrText xml:space="preserve"> PAGEREF _Toc3285 \h </w:instrText>
        </w:r>
        <w:r>
          <w:fldChar w:fldCharType="separate"/>
        </w:r>
        <w:r>
          <w:t>68</w:t>
        </w:r>
        <w:r>
          <w:fldChar w:fldCharType="end"/>
        </w:r>
      </w:hyperlink>
    </w:p>
    <w:p>
      <w:pPr>
        <w:pStyle w:val="TOC2"/>
        <w:tabs>
          <w:tab w:val="right" w:leader="dot" w:pos="8306"/>
        </w:tabs>
      </w:pPr>
      <w:hyperlink w:anchor="_Toc27016" w:history="1">
        <w:r>
          <w:rPr>
            <w:rFonts w:ascii="仿宋" w:eastAsia="仿宋" w:hAnsi="仿宋" w:cs="仿宋" w:hint="eastAsia"/>
            <w:lang w:eastAsia="zh-CN"/>
          </w:rPr>
          <w:t>(二)、土建工程建设指标</w:t>
        </w:r>
        <w:r>
          <w:tab/>
        </w:r>
        <w:r>
          <w:fldChar w:fldCharType="begin"/>
        </w:r>
        <w:r>
          <w:instrText xml:space="preserve"> PAGEREF _Toc27016 \h </w:instrText>
        </w:r>
        <w:r>
          <w:fldChar w:fldCharType="separate"/>
        </w:r>
        <w:r>
          <w:t>72</w:t>
        </w:r>
        <w:r>
          <w:fldChar w:fldCharType="end"/>
        </w:r>
      </w:hyperlink>
    </w:p>
    <w:p>
      <w:pPr>
        <w:pStyle w:val="TOC1"/>
        <w:tabs>
          <w:tab w:val="right" w:leader="dot" w:pos="8306"/>
        </w:tabs>
      </w:pPr>
      <w:hyperlink w:anchor="_Toc24328" w:history="1">
        <w:r>
          <w:rPr>
            <w:rFonts w:ascii="仿宋" w:eastAsia="仿宋" w:hAnsi="仿宋" w:cs="仿宋" w:hint="eastAsia"/>
            <w:lang w:eastAsia="zh-CN"/>
          </w:rPr>
          <w:t>十六、供应链管理</w:t>
        </w:r>
        <w:r>
          <w:tab/>
        </w:r>
        <w:r>
          <w:fldChar w:fldCharType="begin"/>
        </w:r>
        <w:r>
          <w:instrText xml:space="preserve"> PAGEREF _Toc24328 \h </w:instrText>
        </w:r>
        <w:r>
          <w:fldChar w:fldCharType="separate"/>
        </w:r>
        <w:r>
          <w:t>73</w:t>
        </w:r>
        <w:r>
          <w:fldChar w:fldCharType="end"/>
        </w:r>
      </w:hyperlink>
    </w:p>
    <w:p>
      <w:pPr>
        <w:pStyle w:val="TOC2"/>
        <w:tabs>
          <w:tab w:val="right" w:leader="dot" w:pos="8306"/>
        </w:tabs>
      </w:pPr>
      <w:hyperlink w:anchor="_Toc21299" w:history="1">
        <w:r>
          <w:rPr>
            <w:rFonts w:ascii="仿宋" w:eastAsia="仿宋" w:hAnsi="仿宋" w:cs="仿宋" w:hint="eastAsia"/>
            <w:lang w:eastAsia="zh-CN"/>
          </w:rPr>
          <w:t>(一)、供应链战略规划</w:t>
        </w:r>
        <w:r>
          <w:tab/>
        </w:r>
        <w:r>
          <w:fldChar w:fldCharType="begin"/>
        </w:r>
        <w:r>
          <w:instrText xml:space="preserve"> PAGEREF _Toc21299 \h </w:instrText>
        </w:r>
        <w:r>
          <w:fldChar w:fldCharType="separate"/>
        </w:r>
        <w:r>
          <w:t>73</w:t>
        </w:r>
        <w:r>
          <w:fldChar w:fldCharType="end"/>
        </w:r>
      </w:hyperlink>
    </w:p>
    <w:p>
      <w:pPr>
        <w:pStyle w:val="TOC2"/>
        <w:tabs>
          <w:tab w:val="right" w:leader="dot" w:pos="8306"/>
        </w:tabs>
      </w:pPr>
      <w:hyperlink w:anchor="_Toc21090" w:history="1">
        <w:r>
          <w:rPr>
            <w:rFonts w:ascii="仿宋" w:eastAsia="仿宋" w:hAnsi="仿宋" w:cs="仿宋" w:hint="eastAsia"/>
            <w:lang w:eastAsia="zh-CN"/>
          </w:rPr>
          <w:t>(二)、供应商选择与合作</w:t>
        </w:r>
        <w:r>
          <w:tab/>
        </w:r>
        <w:r>
          <w:fldChar w:fldCharType="begin"/>
        </w:r>
        <w:r>
          <w:instrText xml:space="preserve"> PAGEREF _Toc21090 \h </w:instrText>
        </w:r>
        <w:r>
          <w:fldChar w:fldCharType="separate"/>
        </w:r>
        <w:r>
          <w:t>75</w:t>
        </w:r>
        <w:r>
          <w:fldChar w:fldCharType="end"/>
        </w:r>
      </w:hyperlink>
    </w:p>
    <w:p>
      <w:pPr>
        <w:pStyle w:val="TOC2"/>
        <w:tabs>
          <w:tab w:val="right" w:leader="dot" w:pos="8306"/>
        </w:tabs>
      </w:pPr>
      <w:hyperlink w:anchor="_Toc29876" w:history="1">
        <w:r>
          <w:rPr>
            <w:rFonts w:ascii="仿宋" w:eastAsia="仿宋" w:hAnsi="仿宋" w:cs="仿宋" w:hint="eastAsia"/>
            <w:lang w:eastAsia="zh-CN"/>
          </w:rPr>
          <w:t>(三)、物流与库存管理</w:t>
        </w:r>
        <w:r>
          <w:tab/>
        </w:r>
        <w:r>
          <w:fldChar w:fldCharType="begin"/>
        </w:r>
        <w:r>
          <w:instrText xml:space="preserve"> PAGEREF _Toc29876 \h </w:instrText>
        </w:r>
        <w:r>
          <w:fldChar w:fldCharType="separate"/>
        </w:r>
        <w:r>
          <w:t>76</w:t>
        </w:r>
        <w:r>
          <w:fldChar w:fldCharType="end"/>
        </w:r>
      </w:hyperlink>
    </w:p>
    <w:p>
      <w:pPr>
        <w:pStyle w:val="TOC1"/>
        <w:tabs>
          <w:tab w:val="right" w:leader="dot" w:pos="8306"/>
        </w:tabs>
      </w:pPr>
      <w:hyperlink w:anchor="_Toc21839" w:history="1">
        <w:r>
          <w:rPr>
            <w:rFonts w:ascii="仿宋" w:eastAsia="仿宋" w:hAnsi="仿宋" w:cs="仿宋" w:hint="eastAsia"/>
            <w:lang w:eastAsia="zh-CN"/>
          </w:rPr>
          <w:t>十七、质量管理体系</w:t>
        </w:r>
        <w:r>
          <w:tab/>
        </w:r>
        <w:r>
          <w:fldChar w:fldCharType="begin"/>
        </w:r>
        <w:r>
          <w:instrText xml:space="preserve"> PAGEREF _Toc21839 \h </w:instrText>
        </w:r>
        <w:r>
          <w:fldChar w:fldCharType="separate"/>
        </w:r>
        <w:r>
          <w:t>77</w:t>
        </w:r>
        <w:r>
          <w:fldChar w:fldCharType="end"/>
        </w:r>
      </w:hyperlink>
    </w:p>
    <w:p>
      <w:pPr>
        <w:pStyle w:val="TOC2"/>
        <w:tabs>
          <w:tab w:val="right" w:leader="dot" w:pos="8306"/>
        </w:tabs>
      </w:pPr>
      <w:hyperlink w:anchor="_Toc10046" w:history="1">
        <w:r>
          <w:rPr>
            <w:rFonts w:ascii="仿宋" w:eastAsia="仿宋" w:hAnsi="仿宋" w:cs="仿宋" w:hint="eastAsia"/>
            <w:lang w:eastAsia="zh-CN"/>
          </w:rPr>
          <w:t>(一)、质量目标与方针</w:t>
        </w:r>
        <w:r>
          <w:tab/>
        </w:r>
        <w:r>
          <w:fldChar w:fldCharType="begin"/>
        </w:r>
        <w:r>
          <w:instrText xml:space="preserve"> PAGEREF _Toc10046 \h </w:instrText>
        </w:r>
        <w:r>
          <w:fldChar w:fldCharType="separate"/>
        </w:r>
        <w:r>
          <w:t>77</w:t>
        </w:r>
        <w:r>
          <w:fldChar w:fldCharType="end"/>
        </w:r>
      </w:hyperlink>
    </w:p>
    <w:p>
      <w:pPr>
        <w:pStyle w:val="TOC2"/>
        <w:tabs>
          <w:tab w:val="right" w:leader="dot" w:pos="8306"/>
        </w:tabs>
      </w:pPr>
      <w:hyperlink w:anchor="_Toc14048" w:history="1">
        <w:r>
          <w:rPr>
            <w:rFonts w:ascii="仿宋" w:eastAsia="仿宋" w:hAnsi="仿宋" w:cs="仿宋" w:hint="eastAsia"/>
            <w:lang w:eastAsia="zh-CN"/>
          </w:rPr>
          <w:t>(二)、质量管理责任</w:t>
        </w:r>
        <w:r>
          <w:tab/>
        </w:r>
        <w:r>
          <w:fldChar w:fldCharType="begin"/>
        </w:r>
        <w:r>
          <w:instrText xml:space="preserve"> PAGEREF _Toc14048 \h </w:instrText>
        </w:r>
        <w:r>
          <w:fldChar w:fldCharType="separate"/>
        </w:r>
        <w:r>
          <w:t>78</w:t>
        </w:r>
        <w:r>
          <w:fldChar w:fldCharType="end"/>
        </w:r>
      </w:hyperlink>
    </w:p>
    <w:p>
      <w:pPr>
        <w:pStyle w:val="TOC2"/>
        <w:tabs>
          <w:tab w:val="right" w:leader="dot" w:pos="8306"/>
        </w:tabs>
      </w:pPr>
      <w:hyperlink w:anchor="_Toc5532" w:history="1">
        <w:r>
          <w:rPr>
            <w:rFonts w:ascii="仿宋" w:eastAsia="仿宋" w:hAnsi="仿宋" w:cs="仿宋" w:hint="eastAsia"/>
            <w:lang w:eastAsia="zh-CN"/>
          </w:rPr>
          <w:t>(三)、质量管理体系文件</w:t>
        </w:r>
        <w:r>
          <w:tab/>
        </w:r>
        <w:r>
          <w:fldChar w:fldCharType="begin"/>
        </w:r>
        <w:r>
          <w:instrText xml:space="preserve"> PAGEREF _Toc5532 \h </w:instrText>
        </w:r>
        <w:r>
          <w:fldChar w:fldCharType="separate"/>
        </w:r>
        <w:r>
          <w:t>80</w:t>
        </w:r>
        <w:r>
          <w:fldChar w:fldCharType="end"/>
        </w:r>
      </w:hyperlink>
    </w:p>
    <w:p>
      <w:pPr>
        <w:pStyle w:val="TOC2"/>
        <w:tabs>
          <w:tab w:val="right" w:leader="dot" w:pos="8306"/>
        </w:tabs>
      </w:pPr>
      <w:hyperlink w:anchor="_Toc13997" w:history="1">
        <w:r>
          <w:rPr>
            <w:rFonts w:ascii="仿宋" w:eastAsia="仿宋" w:hAnsi="仿宋" w:cs="仿宋" w:hint="eastAsia"/>
            <w:lang w:eastAsia="zh-CN"/>
          </w:rPr>
          <w:t>(四)、质量培训与教育</w:t>
        </w:r>
        <w:r>
          <w:tab/>
        </w:r>
        <w:r>
          <w:fldChar w:fldCharType="begin"/>
        </w:r>
        <w:r>
          <w:instrText xml:space="preserve"> PAGEREF _Toc13997 \h </w:instrText>
        </w:r>
        <w:r>
          <w:fldChar w:fldCharType="separate"/>
        </w:r>
        <w:r>
          <w:t>82</w:t>
        </w:r>
        <w:r>
          <w:fldChar w:fldCharType="end"/>
        </w:r>
      </w:hyperlink>
    </w:p>
    <w:p>
      <w:pPr>
        <w:pStyle w:val="TOC2"/>
        <w:tabs>
          <w:tab w:val="right" w:leader="dot" w:pos="8306"/>
        </w:tabs>
      </w:pPr>
      <w:hyperlink w:anchor="_Toc10525" w:history="1">
        <w:r>
          <w:rPr>
            <w:rFonts w:ascii="仿宋" w:eastAsia="仿宋" w:hAnsi="仿宋" w:cs="仿宋" w:hint="eastAsia"/>
            <w:lang w:eastAsia="zh-CN"/>
          </w:rPr>
          <w:t>(五)、质量审核与评价</w:t>
        </w:r>
        <w:r>
          <w:tab/>
        </w:r>
        <w:r>
          <w:fldChar w:fldCharType="begin"/>
        </w:r>
        <w:r>
          <w:instrText xml:space="preserve"> PAGEREF _Toc10525 \h </w:instrText>
        </w:r>
        <w:r>
          <w:fldChar w:fldCharType="separate"/>
        </w:r>
        <w:r>
          <w:t>83</w:t>
        </w:r>
        <w:r>
          <w:fldChar w:fldCharType="end"/>
        </w:r>
      </w:hyperlink>
    </w:p>
    <w:p>
      <w:pPr>
        <w:pStyle w:val="TOC2"/>
        <w:tabs>
          <w:tab w:val="right" w:leader="dot" w:pos="8306"/>
        </w:tabs>
      </w:pPr>
      <w:hyperlink w:anchor="_Toc26775" w:history="1">
        <w:r>
          <w:rPr>
            <w:rFonts w:ascii="仿宋" w:eastAsia="仿宋" w:hAnsi="仿宋" w:cs="仿宋" w:hint="eastAsia"/>
            <w:lang w:eastAsia="zh-CN"/>
          </w:rPr>
          <w:t>(六)、不符合与纠正措施</w:t>
        </w:r>
        <w:r>
          <w:tab/>
        </w:r>
        <w:r>
          <w:fldChar w:fldCharType="begin"/>
        </w:r>
        <w:r>
          <w:instrText xml:space="preserve"> PAGEREF _Toc26775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21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2993"/>
      <w:r>
        <w:rPr>
          <w:rFonts w:ascii="仿宋" w:eastAsia="仿宋" w:hAnsi="仿宋" w:cs="仿宋" w:hint="eastAsia"/>
          <w:lang w:eastAsia="zh-CN"/>
        </w:rPr>
        <w:t>(一)、水溶性肥行业分析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行业一直以来都是市场的关注焦点。行业内的发展趋势、竞争态势以及潜在机会都对水溶性肥项目的推进产生深远的影响。通过深入研究行业的整体概貌，我们将更好地理解行业的核心特征，为水溶性肥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溶性肥行业，技术一直是推动创新和发展的关键因素。我们将对当前技术趋势进行详尽分析，包括但不限于人工智能、大数据应用、先进制造技术等。这有助于水溶性肥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水溶性肥项目成功的基础。我们将对主要竞争对手进行深入研究，包括其市场份额、产品特点、市场定位等。通过全面了解竞争对手的优势和劣势，水溶性肥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1766"/>
      <w:r>
        <w:rPr>
          <w:rFonts w:ascii="仿宋" w:eastAsia="仿宋" w:hAnsi="仿宋" w:cs="仿宋" w:hint="eastAsia"/>
          <w:sz w:val="28"/>
          <w:lang w:eastAsia="zh-CN"/>
        </w:rPr>
        <w:t>(二)、水溶性肥市场分析预测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通过对市场规模的深入调研，我们将预测水溶性肥市场未来的增长趋势。这包括市场的整体规模、各细分领域的发展趋势等。水溶性肥项目可以根据市场的扩张速度和潜在机会，制定更符合市场需求的发展策略。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水溶性肥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水溶性肥项目实施过程中需要充分考虑的因素。我们将对市场风险进行全面评估，包括但不限于政策法规风险、市场竞争风险、技术变革风险等。通过对潜在风险的深入分析，水溶性肥项目可以制定相应的风险缓解策略，降低不确定性对水溶性肥项目的影响。</w:t>
      </w:r>
    </w:p>
    <w:p>
      <w:pPr>
        <w:pStyle w:val="Heading1"/>
        <w:ind w:firstLine="560" w:firstLineChars="200"/>
        <w:rPr>
          <w:rFonts w:ascii="仿宋" w:eastAsia="仿宋" w:hAnsi="仿宋" w:cs="仿宋" w:hint="eastAsia"/>
          <w:sz w:val="28"/>
          <w:lang w:eastAsia="zh-CN"/>
        </w:rPr>
      </w:pPr>
      <w:bookmarkStart w:id="5" w:name="_Toc3100"/>
      <w:r>
        <w:rPr>
          <w:rFonts w:ascii="仿宋" w:eastAsia="仿宋" w:hAnsi="仿宋" w:cs="仿宋" w:hint="eastAsia"/>
          <w:sz w:val="28"/>
          <w:lang w:eastAsia="zh-CN"/>
        </w:rPr>
        <w:t>二、水溶性肥项目建设背景及必要性分析</w:t>
      </w:r>
      <w:bookmarkEnd w:id="5"/>
    </w:p>
    <w:p>
      <w:pPr>
        <w:pStyle w:val="Heading2"/>
        <w:rPr>
          <w:rFonts w:ascii="仿宋" w:eastAsia="仿宋" w:hAnsi="仿宋" w:cs="仿宋" w:hint="eastAsia"/>
          <w:lang w:eastAsia="zh-CN"/>
        </w:rPr>
      </w:pPr>
      <w:bookmarkStart w:id="6" w:name="_Toc2218"/>
      <w:r>
        <w:rPr>
          <w:rFonts w:ascii="仿宋" w:eastAsia="仿宋" w:hAnsi="仿宋" w:cs="仿宋" w:hint="eastAsia"/>
          <w:lang w:eastAsia="zh-CN"/>
        </w:rPr>
        <w:t>(一)、水溶性肥项目背景分析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水溶性肥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水溶性肥项目在这个潮流中的定位。同时，我们将关注行业内涌现的新兴机遇，以便水溶性肥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水溶性肥项目提供了强大的发展动力。我们将聚焦于行业内最新的技术发展趋势，包括但不限于人工智能、大数据分析、物联网等领域。通过深度的技术研究，我们将确保水溶性肥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水溶性肥项目发展的源泉。我们将投入更多的精力对市场需求进行深入剖析，超越表面的需求，深入挖掘潜在的市场痛点和机遇。通过对市场需求的细致了解，水溶性肥项目将更有针对性地设计解决方案，满足市场的多样化需求，从而更好地促进水溶性肥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水溶性肥项目战略至关重要。我们将对竞争态势进行更为深入的分析，包括但不限于市场份额、产品特点、客户满意度等多个维度。通过深度的竞争分析，水溶性肥项目将能够更准确地把握市场脉搏，制定具有竞争力的水溶性肥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水溶性肥项目的发展具有直接的影响。我们将进行更为全面的法规和政策分析，了解行业发展中的潜在法律风险和合规挑战。通过充分了解和遵守相关法规，水溶性肥项目将确保在法律框架内合法合规运营，为水溶性肥项目的稳健发展提供有力支持。</w:t>
      </w:r>
    </w:p>
    <w:p>
      <w:pPr>
        <w:pStyle w:val="Heading2"/>
        <w:ind w:firstLine="560" w:firstLineChars="200"/>
        <w:rPr>
          <w:rFonts w:ascii="仿宋" w:eastAsia="仿宋" w:hAnsi="仿宋" w:cs="仿宋" w:hint="eastAsia"/>
          <w:sz w:val="28"/>
          <w:lang w:eastAsia="zh-CN"/>
        </w:rPr>
      </w:pPr>
      <w:bookmarkStart w:id="7" w:name="_Toc31496"/>
      <w:r>
        <w:rPr>
          <w:rFonts w:ascii="仿宋" w:eastAsia="仿宋" w:hAnsi="仿宋" w:cs="仿宋" w:hint="eastAsia"/>
          <w:sz w:val="28"/>
          <w:lang w:eastAsia="zh-CN"/>
        </w:rPr>
        <w:t>(二)、水溶性肥项目建设必要性分析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水溶性肥项目建设的迫切性源于对行业发展趋势的深刻洞察。我们正处于一个行业变革的时代，科技创新、数字化转型成为企业发展的关键动力。水溶性肥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建设不仅仅是为了跟上潮流，更是为了通过技术创新推动企业的持续发展。通过引入先进的技术和解决方案，水溶性肥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水溶性肥项目的建设成为必然选择，通过提高产品质量、拓展服务领域，从而在竞争中获得更多的机会。水溶性肥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水溶性肥项目建设的必要性体现在对客户需求更精准的满足。通过水溶性肥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水溶性肥项目建设的背后是对企业持续创新的追求。只有通过不断创新，企业才能在竞争中立于不败之地。水溶性肥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5095"/>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053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的技术管理特点体现在其创新导向。通过引入最先进的技术趋势和解决方案，水溶性肥项目致力于提升科技含量、提高质量和效率水平。这意味着我们将采用最新的工具和方法，确保水溶性肥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溶性肥项目技术管理的显著特征。通过整合不同领域的技术资源，我们实现了跨学科的协同工作。这有助于优化技术架构，提高整体效能。此外，整合性策略还促进了不同技术团队之间的紧密沟通和高效合作，确保水溶性肥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溶性肥项目所采用的技术。通过不断优化技术方案，水溶性肥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水溶性肥项目团队将在水溶性肥项目初期识别可能的技术风险，并采取相应的预防和应对措施。通过建立健全的风险评估机制，水溶性肥项目能够在实施过程中及时发现并解决潜在的技术问题，保障水溶性肥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溶性肥项目中，技术将成为水溶性肥项目成功的有力支持。这一深度剖析揭示了技术管理在水溶性肥项目实施中的关键作用，为水溶性肥项目的技术基础奠定了坚实的基础。</w:t>
      </w:r>
    </w:p>
    <w:p>
      <w:pPr>
        <w:pStyle w:val="Heading2"/>
        <w:ind w:firstLine="560" w:firstLineChars="200"/>
        <w:rPr>
          <w:rFonts w:ascii="仿宋" w:eastAsia="仿宋" w:hAnsi="仿宋" w:cs="仿宋" w:hint="eastAsia"/>
          <w:sz w:val="28"/>
          <w:lang w:eastAsia="zh-CN"/>
        </w:rPr>
      </w:pPr>
      <w:bookmarkStart w:id="10" w:name="_Toc17390"/>
      <w:r>
        <w:rPr>
          <w:rFonts w:ascii="仿宋" w:eastAsia="仿宋" w:hAnsi="仿宋" w:cs="仿宋" w:hint="eastAsia"/>
          <w:sz w:val="28"/>
          <w:lang w:eastAsia="zh-CN"/>
        </w:rPr>
        <w:t>(二)、水溶性肥项目工艺技术设计方案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溶性肥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水溶性肥项目将严格按照相关行业规范要求进行组织。通过有效控制产品质量，水溶性肥项目将致力于为顾客提供优质的水溶性肥项目产品和良好的服务。这体现了水溶性肥项目对于生产活动合规性和质量标准的高度重视，为水溶性肥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工艺技术方面，水溶性肥项目注重生态效益和清洁生产原则。水溶性肥项目建设将紧密结合地方特色经济发展，与社会经济发展规划和区域环境保护规划方案相协调一致。通过与当地区域自然生态系统的结合，水溶性肥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水溶性肥项目产品具有多样化的客户需求和个性化的特点。因此，水溶性肥项目产品规格品种多样，且单批生产数量较小。为满足这一特点，水溶性肥项目承办单位将建设先进的柔性制造生产线。通过广泛应用柔性制造技术，水溶性肥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水溶性肥项目采用的技术具有较高的技术含量和自动化水平，处于国内先进水平。这一技术选用不仅体现了对生产效率、质量和环境友好性的高标准要求，同时为水溶性肥项目的可持续发展奠定了坚实的基础。</w:t>
      </w:r>
    </w:p>
    <w:p>
      <w:pPr>
        <w:pStyle w:val="Heading2"/>
        <w:ind w:firstLine="560" w:firstLineChars="200"/>
        <w:rPr>
          <w:rFonts w:ascii="仿宋" w:eastAsia="仿宋" w:hAnsi="仿宋" w:cs="仿宋" w:hint="eastAsia"/>
          <w:sz w:val="28"/>
          <w:lang w:eastAsia="zh-CN"/>
        </w:rPr>
      </w:pPr>
      <w:bookmarkStart w:id="11" w:name="_Toc30449"/>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为确保水溶性肥项目的高效生产和技术实施，我们制定了一套精心设计的设备选型方案，以满足水溶性肥项目生产、质量和环保的要求。该方案的主要特点如下：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水溶性肥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针对水溶性肥项目产品的多样性和小批量生产的特点，我们将建设柔性制造生产线。通过在设备选型中考虑柔性制造技术，可以灵活应对不同产品规格和生产需求，实现生产线的高度灵活性和适应性。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6258"/>
      <w:r>
        <w:rPr>
          <w:rFonts w:ascii="仿宋" w:eastAsia="仿宋" w:hAnsi="仿宋" w:cs="仿宋" w:hint="eastAsia"/>
          <w:sz w:val="28"/>
          <w:lang w:eastAsia="zh-CN"/>
        </w:rPr>
        <w:t>四、水溶性肥项目可持续发展</w:t>
      </w:r>
      <w:bookmarkEnd w:id="12"/>
    </w:p>
    <w:p>
      <w:pPr>
        <w:pStyle w:val="Heading2"/>
        <w:rPr>
          <w:rFonts w:ascii="仿宋" w:eastAsia="仿宋" w:hAnsi="仿宋" w:cs="仿宋" w:hint="eastAsia"/>
          <w:lang w:eastAsia="zh-CN"/>
        </w:rPr>
      </w:pPr>
      <w:bookmarkStart w:id="13" w:name="_Toc5316"/>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水溶性肥项目中，水溶性肥项目团队着眼于未来，明确了可持续发展的战略方向。制定的具体可持续发展目标包括降低资源使用、采用环保技术、最大化社会效益等。这一步骤不仅有助于水溶性肥项目在环保和社会责任方面达到最高标准，也为未来提供了明确的指引，确保水溶性肥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可持续实践的融入水溶性肥项目管理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水溶性肥项目管理周期。从水溶性肥项目规划开始，水溶性肥项目团队就考虑了环境和社会的因素。在执行阶段，水溶性肥项目团队积极推动绿色技术的应用，优化资源利用。此外，关注员工的社会责任，通过培训和沟通活动提高员工对可持续发展的认知，使他们能够在日常工作中践行可持续实践。这些举措不仅为水溶性肥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3072"/>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扎根于水溶性肥项目的可持续发展理念，我们深信环保与社会责任是水溶性肥项目成功的关键支柱。在水溶性肥项目的每一步，我们都致力于通过创新和实践，履行对环境和社会的坚定责任。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团队通过引入先进的环保技术、建立高效的废物处理系统以及推动能源节约措施，积极履行环保责任。定期的环保监测和评估确保水溶性肥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不仅致力于自身可持续发展，还注重对社会的回馈。通过支持社区水溶性肥项目、参与慈善事业、提供培训机会等方式，水溶性肥项目积极履行社会责任。与当地社区建立积极互动，关注员工的工作与生活平衡，以及员工的身心健康，是水溶性肥项目在社会责任层面的关键举措。这样的实践不仅增强了水溶性肥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30111"/>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20218"/>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水溶性肥项目的主要产品是XXXX，预计年产值为XXX万元。这一产品在市场中占据着重要的地位，其广泛的应用范围使得该水溶性肥项目的市场前景非常广阔。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水溶性肥项目的xxx产品作为重要的原材料之一，将在多个领域发挥关键作用。其在建筑、交通、能源等方面的广泛应用将为整个产业链提供强大的支持，形成产业协同效应。水溶性肥项目的年产值XXX万XXX万XXX万万元不仅反映了其在市场上的巨大潜力，更预示着它对国民经济的积极贡献。这种关联度高、涉及面广的产业关系，使得该水溶性肥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3239"/>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总征地面积为XXXX平方米，相当于约XX.XX亩，其中净用地面积为XXXX平方米，红线范围内相当于约XX.XX亩。这一用地规模充分考虑了水溶性肥项目的建设需求，保障了水溶性肥项目在合适的空间内得以充分发展。水溶性肥项目规划的总建筑面积为XXXX平方米，其中主体工程建设占XXXX平方米，计容建筑面积达XXXX平方米。预计建筑工程的投资将达到XXXX万元，为水溶性肥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计划购置的设备共计XXXX台（套），设备购置费用为XXXX万元。这一设备购置计划充分考虑到水溶性肥项目的生产需求和技术要求，确保了水溶性肥项目在生产运营中具备先进的技术装备和高效的生产能力。设备的合理配置将为水溶性肥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计划总投资为XXXX万元，预计年实现营业收入为XXXX万元。这一产能规模的设定旨在确保水溶性肥项目能够在投资与回报之间取得平衡，实现长期可持续的发展。水溶性肥项目的总投资充分考虑到各个方面的需求，包括用地建设、设备购置等多个环节，以确保水溶性肥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2725"/>
      <w:r>
        <w:rPr>
          <w:rFonts w:ascii="仿宋" w:eastAsia="仿宋" w:hAnsi="仿宋" w:cs="仿宋" w:hint="eastAsia"/>
          <w:sz w:val="28"/>
          <w:lang w:eastAsia="zh-CN"/>
        </w:rPr>
        <w:t>六、水溶性肥项目概论</w:t>
      </w:r>
      <w:bookmarkEnd w:id="18"/>
    </w:p>
    <w:p>
      <w:pPr>
        <w:pStyle w:val="Heading2"/>
        <w:rPr>
          <w:rFonts w:ascii="仿宋" w:eastAsia="仿宋" w:hAnsi="仿宋" w:cs="仿宋" w:hint="eastAsia"/>
          <w:lang w:eastAsia="zh-CN"/>
        </w:rPr>
      </w:pPr>
      <w:bookmarkStart w:id="19" w:name="_Toc16055"/>
      <w:r>
        <w:rPr>
          <w:rFonts w:ascii="仿宋" w:eastAsia="仿宋" w:hAnsi="仿宋" w:cs="仿宋" w:hint="eastAsia"/>
          <w:lang w:eastAsia="zh-CN"/>
        </w:rPr>
        <w:t>(一)、水溶性肥项目概况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的起源追溯至对市场的深入洞察。市场的不断演变与变革为水溶性肥项目提供了难得的机遇。当前市场存在的需求缺口和变革的大环境共同构成了水溶性肥项目的背景。这个水溶性肥项目旨在充分利用市场机遇，填补行业中尚未满足的需求，为客户提供全新的解决方案。市场的变革和需求的增长使得这个水溶性肥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水溶性肥项目名称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正式命名为水溶性肥。这个名称不仅仅是一个标识，更代表了水溶性肥项目的核心理念和愿景。它蕴含着水溶性肥项目所要解决问题的关键字，具有强烈的表达和辨识度，为水溶性肥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水溶性肥项目目标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的核心目标是提供一种全新、高效的解决方案，满足客户日益增长的需求。水溶性肥项目追求的不仅仅是满足市场需求，更是在市场中获得卓越的竞争优势。通过不断提升产品或服务的质量和创新水平，水溶性肥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水溶性肥项目范围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全面涵盖了产品研发、制造、市场推广和售后服务，确保从产品设计到最终用户体验的全方位关注。这一全面的水溶性肥项目范围是为了确保水溶性肥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水溶性肥项目时间表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水溶性肥项目计划在未来18个月内完成，包括研发、测试、市场试点和正式推出等不同阶段。这个时间表的合理设计是为了确保水溶性肥项目各个阶段的顺利推进，以便按时交付高质量的成果。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水溶性肥项目预算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水溶性肥项目总预算估算为XX百万美元，主要分配在研发、市场推广、人员培训和运营等方面。这一充足的预算为水溶性肥项目提供了充足的资源，确保水溶性肥项目在各个方面都能取得优异的表现。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水溶性肥项目风险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水溶性肥项目可能面临的风险包括市场接受度低、技术难题、竞争激烈等。水溶性肥项目团队已经制定了相应的风险应对计划，通过前瞻性的风险管理，确保水溶性肥项目在面对不确定性时能够迅速做出应对。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水溶性肥项目团队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https://d.book118.com/707022062135006052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1B6BB3"/>
    <w:rsid w:val="5F1B6B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7022062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2024-03-02T00:36:00Z</dcterms:created>
  <dcterms:modified xsi:type="dcterms:W3CDTF">2024-03-02T00:36:34Z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E937CE9D2D9849CCA90DA14BA021A6D0_11</vt:lpwstr>
  </property>
  <property fmtid="{D5CDD505-2E9C-101B-9397-08002B2CF9AE}" pid="3" name="KSOProductBuildVer">
    <vt:lpwstr>2052-12.1.0.16388</vt:lpwstr>
  </property>
</Properties>
</file>