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高低压开关项目招商引资报告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一、项目风险说明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二、投资估算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(一)、高低压开关项目总投资估算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三、高低压开关项目进度计划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(六)、高低压开关项目实施保障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四、原材料及成品管理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eastAsia="zh-CN"/>
          </w:rPr>
          <w:t>(一)、高低压开关项目建设期原辅材料供应情况</w:t>
        </w:r>
        <w:r>
          <w:tab/>
        </w:r>
        <w:r>
          <w:fldChar w:fldCharType="begin"/>
        </w:r>
        <w:r>
          <w:instrText xml:space="preserve"> PAGEREF _Toc2324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(二)、高低压开关项目运营期原辅材料供应及质量管理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五、国际目标市场选择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六、高低压开关项目风险应对说明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_Toc23564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七、高低压开关项目概论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(一)、高低压开关项目基本信息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(二)、高低压开关项目提出的理由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(三)、高低压开关项目建设目标和任务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(四)、高低压开关项目建设规模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(五)、高低压开关项目建设工期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_Toc30423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九、高低压开关项目可持续性分析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十、项目实施与进度安排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4" w:history="1">
        <w:r>
          <w:rPr>
            <w:rFonts w:ascii="仿宋" w:eastAsia="仿宋" w:hAnsi="仿宋" w:cs="仿宋" w:hint="eastAsia"/>
            <w:lang w:eastAsia="zh-CN"/>
          </w:rPr>
          <w:t>十二、风险评估分析</w:t>
        </w:r>
        <w:r>
          <w:tab/>
        </w:r>
        <w:r>
          <w:fldChar w:fldCharType="begin"/>
        </w:r>
        <w:r>
          <w:instrText xml:space="preserve"> PAGEREF _Toc13924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(一)、高低压开关项目风险分析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8" w:history="1">
        <w:r>
          <w:rPr>
            <w:rFonts w:ascii="仿宋" w:eastAsia="仿宋" w:hAnsi="仿宋" w:cs="仿宋" w:hint="eastAsia"/>
            <w:lang w:eastAsia="zh-CN"/>
          </w:rPr>
          <w:t>十三、团队和合作伙伴</w:t>
        </w:r>
        <w:r>
          <w:tab/>
        </w:r>
        <w:r>
          <w:fldChar w:fldCharType="begin"/>
        </w:r>
        <w:r>
          <w:instrText xml:space="preserve"> PAGEREF _Toc7378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(一)、高低压开关项目团队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十四、环境和生态影响分析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3" w:history="1">
        <w:r>
          <w:rPr>
            <w:rFonts w:ascii="仿宋" w:eastAsia="仿宋" w:hAnsi="仿宋" w:cs="仿宋" w:hint="eastAsia"/>
            <w:lang w:eastAsia="zh-CN"/>
          </w:rPr>
          <w:t>十五、投资规划</w:t>
        </w:r>
        <w:r>
          <w:tab/>
        </w:r>
        <w:r>
          <w:fldChar w:fldCharType="begin"/>
        </w:r>
        <w:r>
          <w:instrText xml:space="preserve"> PAGEREF _Toc20723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(一)、高低压开关项目估算说明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(二)、高低压开关项目总投资估算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十七、战略合作伙伴与投资者关系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十九、高低压开关数字化发展方案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二十、知识管理与技术创新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8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二十一、国际化战略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二十二利益相关者分析与沟通计划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二十三、高低压开关行业企业内外不同利益主体的影响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(一)、高低压开关行业企业内外不同利益主体的影响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36"/>
      <w:r>
        <w:rPr>
          <w:rFonts w:ascii="仿宋" w:eastAsia="仿宋" w:hAnsi="仿宋" w:cs="仿宋" w:hint="eastAsia"/>
          <w:sz w:val="28"/>
          <w:lang w:eastAsia="zh-CN"/>
        </w:rPr>
        <w:t>一、项目风险说明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08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高低压开关项目的区域选择需考虑自然、经济、社会和投资环境的整体优势。在我国国内政局稳定且制度完善的背景下，投资项目与国家产业发展政策相符合，政策风险较低。针对政策风险，项目承办单位需关注国家宏观调控、财政货币和税收政策的变动，避免对企业经济利益产生负面影响。承办单位应密切关注政府的调整，包括税收、金融、环境保护和产业发展政策等，并采取相应措施争取政策支持。加强企业内部信息化建设和战略制定，有助于项目应对政策变动，确保高低压开关项目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84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https://d.book118.com/707115063053006052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947AE6"/>
    <w:rsid w:val="41947AE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115063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2024-03-13T12:23:00Z</dcterms:created>
  <dcterms:modified xsi:type="dcterms:W3CDTF">2024-03-13T12:23:21Z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8153BB8E4C034B1CBAB7C8717C6E2255_11</vt:lpwstr>
  </property>
  <property fmtid="{D5CDD505-2E9C-101B-9397-08002B2CF9AE}" pid="3" name="KSOProductBuildVer">
    <vt:lpwstr>2052-12.1.0.16399</vt:lpwstr>
  </property>
</Properties>
</file>