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2024年在线企业资源规划行</w:t>
      </w:r>
      <w:r>
        <w:rPr>
          <w:rFonts w:ascii="微软雅黑" w:eastAsia="微软雅黑" w:hAnsi="微软雅黑" w:cs="微软雅黑"/>
          <w:b/>
          <w:bCs/>
          <w:color w:val="2D54A0"/>
          <w:spacing w:val="8"/>
          <w:sz w:val="59"/>
          <w:szCs w:val="59"/>
        </w:rPr>
        <w:t>业趋势报告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26739"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_Toc26739 \h </w:instrText>
        </w:r>
        <w:r>
          <w:fldChar w:fldCharType="separate"/>
        </w:r>
        <w:r>
          <w:t>4</w:t>
        </w:r>
        <w:r>
          <w:fldChar w:fldCharType="end"/>
        </w:r>
      </w:hyperlink>
    </w:p>
    <w:p>
      <w:pPr>
        <w:pStyle w:val="TOC1"/>
        <w:tabs>
          <w:tab w:val="right" w:leader="dot" w:pos="8306"/>
        </w:tabs>
      </w:pPr>
      <w:hyperlink w:anchor="_Toc5757" w:history="1">
        <w:r>
          <w:rPr>
            <w:rFonts w:ascii="微软雅黑" w:eastAsia="微软雅黑" w:hAnsi="微软雅黑" w:cs="微软雅黑" w:hint="eastAsia"/>
            <w:color w:val="001CAC" w:themeColor="hyperlink" w:themeShade="BF"/>
            <w:szCs w:val="32"/>
            <w:lang w:eastAsia="zh-CN"/>
          </w:rPr>
          <w:t>一、环境与社会责任</w:t>
        </w:r>
        <w:r>
          <w:tab/>
        </w:r>
        <w:r>
          <w:fldChar w:fldCharType="begin"/>
        </w:r>
        <w:r>
          <w:instrText xml:space="preserve"> PAGEREF _Toc5757 \h </w:instrText>
        </w:r>
        <w:r>
          <w:fldChar w:fldCharType="separate"/>
        </w:r>
        <w:r>
          <w:t>4</w:t>
        </w:r>
        <w:r>
          <w:fldChar w:fldCharType="end"/>
        </w:r>
      </w:hyperlink>
    </w:p>
    <w:p>
      <w:pPr>
        <w:pStyle w:val="TOC2"/>
        <w:tabs>
          <w:tab w:val="right" w:leader="dot" w:pos="8306"/>
        </w:tabs>
      </w:pPr>
      <w:hyperlink w:anchor="_Toc13310" w:history="1">
        <w:r>
          <w:rPr>
            <w:rFonts w:ascii="宋体" w:eastAsia="宋体" w:hAnsi="宋体" w:cs="宋体" w:hint="eastAsia"/>
            <w:bCs w:val="0"/>
            <w:szCs w:val="28"/>
            <w:lang w:eastAsia="zh-CN"/>
          </w:rPr>
          <w:t>(一)、环境影响评估</w:t>
        </w:r>
        <w:r>
          <w:tab/>
        </w:r>
        <w:r>
          <w:fldChar w:fldCharType="begin"/>
        </w:r>
        <w:r>
          <w:instrText xml:space="preserve"> PAGEREF _Toc13310 \h </w:instrText>
        </w:r>
        <w:r>
          <w:fldChar w:fldCharType="separate"/>
        </w:r>
        <w:r>
          <w:t>4</w:t>
        </w:r>
        <w:r>
          <w:fldChar w:fldCharType="end"/>
        </w:r>
      </w:hyperlink>
    </w:p>
    <w:p>
      <w:pPr>
        <w:pStyle w:val="TOC2"/>
        <w:tabs>
          <w:tab w:val="right" w:leader="dot" w:pos="8306"/>
        </w:tabs>
      </w:pPr>
      <w:hyperlink w:anchor="_Toc28428" w:history="1">
        <w:r>
          <w:rPr>
            <w:rFonts w:ascii="宋体" w:eastAsia="宋体" w:hAnsi="宋体" w:cs="宋体" w:hint="eastAsia"/>
            <w:bCs w:val="0"/>
            <w:szCs w:val="28"/>
            <w:lang w:eastAsia="zh-CN"/>
          </w:rPr>
          <w:t>(二)、社会责任与可持续发展</w:t>
        </w:r>
        <w:r>
          <w:tab/>
        </w:r>
        <w:r>
          <w:fldChar w:fldCharType="begin"/>
        </w:r>
        <w:r>
          <w:instrText xml:space="preserve"> PAGEREF _Toc28428 \h </w:instrText>
        </w:r>
        <w:r>
          <w:fldChar w:fldCharType="separate"/>
        </w:r>
        <w:r>
          <w:t>5</w:t>
        </w:r>
        <w:r>
          <w:fldChar w:fldCharType="end"/>
        </w:r>
      </w:hyperlink>
    </w:p>
    <w:p>
      <w:pPr>
        <w:pStyle w:val="TOC1"/>
        <w:tabs>
          <w:tab w:val="right" w:leader="dot" w:pos="8306"/>
        </w:tabs>
      </w:pPr>
      <w:hyperlink w:anchor="_Toc9186" w:history="1">
        <w:r>
          <w:rPr>
            <w:rFonts w:ascii="微软雅黑" w:eastAsia="微软雅黑" w:hAnsi="微软雅黑" w:cs="微软雅黑" w:hint="eastAsia"/>
            <w:color w:val="001CAC" w:themeColor="hyperlink" w:themeShade="BF"/>
            <w:szCs w:val="32"/>
            <w:lang w:eastAsia="zh-CN"/>
          </w:rPr>
          <w:t>二、资金筹措与投资分析</w:t>
        </w:r>
        <w:r>
          <w:tab/>
        </w:r>
        <w:r>
          <w:fldChar w:fldCharType="begin"/>
        </w:r>
        <w:r>
          <w:instrText xml:space="preserve"> PAGEREF _Toc9186 \h </w:instrText>
        </w:r>
        <w:r>
          <w:fldChar w:fldCharType="separate"/>
        </w:r>
        <w:r>
          <w:t>5</w:t>
        </w:r>
        <w:r>
          <w:fldChar w:fldCharType="end"/>
        </w:r>
      </w:hyperlink>
    </w:p>
    <w:p>
      <w:pPr>
        <w:pStyle w:val="TOC2"/>
        <w:tabs>
          <w:tab w:val="right" w:leader="dot" w:pos="8306"/>
        </w:tabs>
      </w:pPr>
      <w:hyperlink w:anchor="_Toc12628" w:history="1">
        <w:r>
          <w:rPr>
            <w:rFonts w:ascii="宋体" w:eastAsia="宋体" w:hAnsi="宋体" w:cs="宋体" w:hint="eastAsia"/>
            <w:bCs w:val="0"/>
            <w:szCs w:val="28"/>
            <w:lang w:eastAsia="zh-CN"/>
          </w:rPr>
          <w:t>(一)、资金需求与筹措计划</w:t>
        </w:r>
        <w:r>
          <w:tab/>
        </w:r>
        <w:r>
          <w:fldChar w:fldCharType="begin"/>
        </w:r>
        <w:r>
          <w:instrText xml:space="preserve"> PAGEREF _Toc12628 \h </w:instrText>
        </w:r>
        <w:r>
          <w:fldChar w:fldCharType="separate"/>
        </w:r>
        <w:r>
          <w:t>5</w:t>
        </w:r>
        <w:r>
          <w:fldChar w:fldCharType="end"/>
        </w:r>
      </w:hyperlink>
    </w:p>
    <w:p>
      <w:pPr>
        <w:pStyle w:val="TOC2"/>
        <w:tabs>
          <w:tab w:val="right" w:leader="dot" w:pos="8306"/>
        </w:tabs>
      </w:pPr>
      <w:hyperlink w:anchor="_Toc11090" w:history="1">
        <w:r>
          <w:rPr>
            <w:rFonts w:ascii="宋体" w:eastAsia="宋体" w:hAnsi="宋体" w:cs="宋体" w:hint="eastAsia"/>
            <w:bCs w:val="0"/>
            <w:szCs w:val="28"/>
            <w:lang w:eastAsia="zh-CN"/>
          </w:rPr>
          <w:t>(二)、投资分析与回报预期</w:t>
        </w:r>
        <w:r>
          <w:tab/>
        </w:r>
        <w:r>
          <w:fldChar w:fldCharType="begin"/>
        </w:r>
        <w:r>
          <w:instrText xml:space="preserve"> PAGEREF _Toc11090 \h </w:instrText>
        </w:r>
        <w:r>
          <w:fldChar w:fldCharType="separate"/>
        </w:r>
        <w:r>
          <w:t>6</w:t>
        </w:r>
        <w:r>
          <w:fldChar w:fldCharType="end"/>
        </w:r>
      </w:hyperlink>
    </w:p>
    <w:p>
      <w:pPr>
        <w:pStyle w:val="TOC1"/>
        <w:tabs>
          <w:tab w:val="right" w:leader="dot" w:pos="8306"/>
        </w:tabs>
      </w:pPr>
      <w:hyperlink w:anchor="_Toc9160" w:history="1">
        <w:r>
          <w:rPr>
            <w:rFonts w:ascii="微软雅黑" w:eastAsia="微软雅黑" w:hAnsi="微软雅黑" w:cs="微软雅黑" w:hint="eastAsia"/>
            <w:color w:val="001CAC" w:themeColor="hyperlink" w:themeShade="BF"/>
            <w:szCs w:val="32"/>
            <w:lang w:eastAsia="zh-CN"/>
          </w:rPr>
          <w:t>三、在线企业资源规划行业运营管理及商业模式分析</w:t>
        </w:r>
        <w:r>
          <w:tab/>
        </w:r>
        <w:r>
          <w:fldChar w:fldCharType="begin"/>
        </w:r>
        <w:r>
          <w:instrText xml:space="preserve"> PAGEREF _Toc9160 \h </w:instrText>
        </w:r>
        <w:r>
          <w:fldChar w:fldCharType="separate"/>
        </w:r>
        <w:r>
          <w:t>6</w:t>
        </w:r>
        <w:r>
          <w:fldChar w:fldCharType="end"/>
        </w:r>
      </w:hyperlink>
    </w:p>
    <w:p>
      <w:pPr>
        <w:pStyle w:val="TOC2"/>
        <w:tabs>
          <w:tab w:val="right" w:leader="dot" w:pos="8306"/>
        </w:tabs>
      </w:pPr>
      <w:hyperlink w:anchor="_Toc24256" w:history="1">
        <w:r>
          <w:rPr>
            <w:rFonts w:ascii="宋体" w:eastAsia="宋体" w:hAnsi="宋体" w:cs="宋体" w:hint="eastAsia"/>
            <w:bCs w:val="0"/>
            <w:szCs w:val="28"/>
            <w:lang w:eastAsia="zh-CN"/>
          </w:rPr>
          <w:t>(一)、在线企业资源规划行业数字化发展方案</w:t>
        </w:r>
        <w:r>
          <w:tab/>
        </w:r>
        <w:r>
          <w:fldChar w:fldCharType="begin"/>
        </w:r>
        <w:r>
          <w:instrText xml:space="preserve"> PAGEREF _Toc24256 \h </w:instrText>
        </w:r>
        <w:r>
          <w:fldChar w:fldCharType="separate"/>
        </w:r>
        <w:r>
          <w:t>6</w:t>
        </w:r>
        <w:r>
          <w:fldChar w:fldCharType="end"/>
        </w:r>
      </w:hyperlink>
    </w:p>
    <w:p>
      <w:pPr>
        <w:pStyle w:val="TOC2"/>
        <w:tabs>
          <w:tab w:val="right" w:leader="dot" w:pos="8306"/>
        </w:tabs>
      </w:pPr>
      <w:hyperlink w:anchor="_Toc31165" w:history="1">
        <w:r>
          <w:rPr>
            <w:rFonts w:ascii="宋体" w:eastAsia="宋体" w:hAnsi="宋体" w:cs="宋体" w:hint="eastAsia"/>
            <w:bCs w:val="0"/>
            <w:szCs w:val="28"/>
            <w:lang w:eastAsia="zh-CN"/>
          </w:rPr>
          <w:t>(二)、在线企业资源规划行业新型运营方式</w:t>
        </w:r>
        <w:r>
          <w:tab/>
        </w:r>
        <w:r>
          <w:fldChar w:fldCharType="begin"/>
        </w:r>
        <w:r>
          <w:instrText xml:space="preserve"> PAGEREF _Toc31165 \h </w:instrText>
        </w:r>
        <w:r>
          <w:fldChar w:fldCharType="separate"/>
        </w:r>
        <w:r>
          <w:t>10</w:t>
        </w:r>
        <w:r>
          <w:fldChar w:fldCharType="end"/>
        </w:r>
      </w:hyperlink>
    </w:p>
    <w:p>
      <w:pPr>
        <w:pStyle w:val="TOC2"/>
        <w:tabs>
          <w:tab w:val="right" w:leader="dot" w:pos="8306"/>
        </w:tabs>
      </w:pPr>
      <w:hyperlink w:anchor="_Toc23116" w:history="1">
        <w:r>
          <w:rPr>
            <w:rFonts w:ascii="宋体" w:eastAsia="宋体" w:hAnsi="宋体" w:cs="宋体" w:hint="eastAsia"/>
            <w:bCs w:val="0"/>
            <w:szCs w:val="28"/>
            <w:lang w:eastAsia="zh-CN"/>
          </w:rPr>
          <w:t>(三)、在线企业资源规划行业风险管理</w:t>
        </w:r>
        <w:r>
          <w:tab/>
        </w:r>
        <w:r>
          <w:fldChar w:fldCharType="begin"/>
        </w:r>
        <w:r>
          <w:instrText xml:space="preserve"> PAGEREF _Toc23116 \h </w:instrText>
        </w:r>
        <w:r>
          <w:fldChar w:fldCharType="separate"/>
        </w:r>
        <w:r>
          <w:t>13</w:t>
        </w:r>
        <w:r>
          <w:fldChar w:fldCharType="end"/>
        </w:r>
      </w:hyperlink>
    </w:p>
    <w:p>
      <w:pPr>
        <w:pStyle w:val="TOC1"/>
        <w:tabs>
          <w:tab w:val="right" w:leader="dot" w:pos="8306"/>
        </w:tabs>
      </w:pPr>
      <w:hyperlink w:anchor="_Toc9341" w:history="1">
        <w:r>
          <w:rPr>
            <w:rFonts w:ascii="微软雅黑" w:eastAsia="微软雅黑" w:hAnsi="微软雅黑" w:cs="微软雅黑" w:hint="eastAsia"/>
            <w:color w:val="001CAC" w:themeColor="hyperlink" w:themeShade="BF"/>
            <w:szCs w:val="32"/>
            <w:lang w:eastAsia="zh-CN"/>
          </w:rPr>
          <w:t>四、在线企业资源规划行业人力资源管理策略</w:t>
        </w:r>
        <w:r>
          <w:tab/>
        </w:r>
        <w:r>
          <w:fldChar w:fldCharType="begin"/>
        </w:r>
        <w:r>
          <w:instrText xml:space="preserve"> PAGEREF _Toc9341 \h </w:instrText>
        </w:r>
        <w:r>
          <w:fldChar w:fldCharType="separate"/>
        </w:r>
        <w:r>
          <w:t>17</w:t>
        </w:r>
        <w:r>
          <w:fldChar w:fldCharType="end"/>
        </w:r>
      </w:hyperlink>
    </w:p>
    <w:p>
      <w:pPr>
        <w:pStyle w:val="TOC2"/>
        <w:tabs>
          <w:tab w:val="right" w:leader="dot" w:pos="8306"/>
        </w:tabs>
      </w:pPr>
      <w:hyperlink w:anchor="_Toc16635" w:history="1">
        <w:r>
          <w:rPr>
            <w:rFonts w:ascii="宋体" w:eastAsia="宋体" w:hAnsi="宋体" w:cs="宋体" w:hint="eastAsia"/>
            <w:bCs w:val="0"/>
            <w:szCs w:val="28"/>
            <w:lang w:eastAsia="zh-CN"/>
          </w:rPr>
          <w:t>(一)、在线企业资源规划行业人力资源管理原则</w:t>
        </w:r>
        <w:r>
          <w:tab/>
        </w:r>
        <w:r>
          <w:fldChar w:fldCharType="begin"/>
        </w:r>
        <w:r>
          <w:instrText xml:space="preserve"> PAGEREF _Toc16635 \h </w:instrText>
        </w:r>
        <w:r>
          <w:fldChar w:fldCharType="separate"/>
        </w:r>
        <w:r>
          <w:t>17</w:t>
        </w:r>
        <w:r>
          <w:fldChar w:fldCharType="end"/>
        </w:r>
      </w:hyperlink>
    </w:p>
    <w:p>
      <w:pPr>
        <w:pStyle w:val="TOC2"/>
        <w:tabs>
          <w:tab w:val="right" w:leader="dot" w:pos="8306"/>
        </w:tabs>
      </w:pPr>
      <w:hyperlink w:anchor="_Toc32320" w:history="1">
        <w:r>
          <w:rPr>
            <w:rFonts w:ascii="宋体" w:eastAsia="宋体" w:hAnsi="宋体" w:cs="宋体" w:hint="eastAsia"/>
            <w:bCs w:val="0"/>
            <w:szCs w:val="28"/>
            <w:lang w:eastAsia="zh-CN"/>
          </w:rPr>
          <w:t>(二)、在线企业资源规划行业劳动关系管理</w:t>
        </w:r>
        <w:r>
          <w:tab/>
        </w:r>
        <w:r>
          <w:fldChar w:fldCharType="begin"/>
        </w:r>
        <w:r>
          <w:instrText xml:space="preserve"> PAGEREF _Toc32320 \h </w:instrText>
        </w:r>
        <w:r>
          <w:fldChar w:fldCharType="separate"/>
        </w:r>
        <w:r>
          <w:t>20</w:t>
        </w:r>
        <w:r>
          <w:fldChar w:fldCharType="end"/>
        </w:r>
      </w:hyperlink>
    </w:p>
    <w:p>
      <w:pPr>
        <w:pStyle w:val="TOC2"/>
        <w:tabs>
          <w:tab w:val="right" w:leader="dot" w:pos="8306"/>
        </w:tabs>
      </w:pPr>
      <w:hyperlink w:anchor="_Toc16996" w:history="1">
        <w:r>
          <w:rPr>
            <w:rFonts w:ascii="宋体" w:eastAsia="宋体" w:hAnsi="宋体" w:cs="宋体" w:hint="eastAsia"/>
            <w:bCs w:val="0"/>
            <w:szCs w:val="28"/>
            <w:lang w:eastAsia="zh-CN"/>
          </w:rPr>
          <w:t>(三)、在线企业资源规划行业人员配置方案</w:t>
        </w:r>
        <w:r>
          <w:tab/>
        </w:r>
        <w:r>
          <w:fldChar w:fldCharType="begin"/>
        </w:r>
        <w:r>
          <w:instrText xml:space="preserve"> PAGEREF _Toc16996 \h </w:instrText>
        </w:r>
        <w:r>
          <w:fldChar w:fldCharType="separate"/>
        </w:r>
        <w:r>
          <w:t>21</w:t>
        </w:r>
        <w:r>
          <w:fldChar w:fldCharType="end"/>
        </w:r>
      </w:hyperlink>
    </w:p>
    <w:p>
      <w:pPr>
        <w:pStyle w:val="TOC2"/>
        <w:tabs>
          <w:tab w:val="right" w:leader="dot" w:pos="8306"/>
        </w:tabs>
      </w:pPr>
      <w:hyperlink w:anchor="_Toc9618" w:history="1">
        <w:r>
          <w:rPr>
            <w:rFonts w:ascii="宋体" w:eastAsia="宋体" w:hAnsi="宋体" w:cs="宋体" w:hint="eastAsia"/>
            <w:bCs w:val="0"/>
            <w:szCs w:val="28"/>
            <w:lang w:eastAsia="zh-CN"/>
          </w:rPr>
          <w:t>(四)、在线企业资源规划行业员工招聘方案</w:t>
        </w:r>
        <w:r>
          <w:tab/>
        </w:r>
        <w:r>
          <w:fldChar w:fldCharType="begin"/>
        </w:r>
        <w:r>
          <w:instrText xml:space="preserve"> PAGEREF _Toc9618 \h </w:instrText>
        </w:r>
        <w:r>
          <w:fldChar w:fldCharType="separate"/>
        </w:r>
        <w:r>
          <w:t>22</w:t>
        </w:r>
        <w:r>
          <w:fldChar w:fldCharType="end"/>
        </w:r>
      </w:hyperlink>
    </w:p>
    <w:p>
      <w:pPr>
        <w:pStyle w:val="TOC2"/>
        <w:tabs>
          <w:tab w:val="right" w:leader="dot" w:pos="8306"/>
        </w:tabs>
      </w:pPr>
      <w:hyperlink w:anchor="_Toc17131" w:history="1">
        <w:r>
          <w:rPr>
            <w:rFonts w:ascii="宋体" w:eastAsia="宋体" w:hAnsi="宋体" w:cs="宋体" w:hint="eastAsia"/>
            <w:bCs w:val="0"/>
            <w:szCs w:val="28"/>
            <w:lang w:eastAsia="zh-CN"/>
          </w:rPr>
          <w:t>(五)、在线企业资源规划行业绩效和薪酬管理方案</w:t>
        </w:r>
        <w:r>
          <w:tab/>
        </w:r>
        <w:r>
          <w:fldChar w:fldCharType="begin"/>
        </w:r>
        <w:r>
          <w:instrText xml:space="preserve"> PAGEREF _Toc17131 \h </w:instrText>
        </w:r>
        <w:r>
          <w:fldChar w:fldCharType="separate"/>
        </w:r>
        <w:r>
          <w:t>23</w:t>
        </w:r>
        <w:r>
          <w:fldChar w:fldCharType="end"/>
        </w:r>
      </w:hyperlink>
    </w:p>
    <w:p>
      <w:pPr>
        <w:pStyle w:val="TOC2"/>
        <w:tabs>
          <w:tab w:val="right" w:leader="dot" w:pos="8306"/>
        </w:tabs>
      </w:pPr>
      <w:hyperlink w:anchor="_Toc21799" w:history="1">
        <w:r>
          <w:rPr>
            <w:rFonts w:ascii="宋体" w:eastAsia="宋体" w:hAnsi="宋体" w:cs="宋体" w:hint="eastAsia"/>
            <w:bCs w:val="0"/>
            <w:szCs w:val="28"/>
            <w:lang w:eastAsia="zh-CN"/>
          </w:rPr>
          <w:t>(六)、在线企业资源规划行业员工福利管理方案</w:t>
        </w:r>
        <w:r>
          <w:tab/>
        </w:r>
        <w:r>
          <w:fldChar w:fldCharType="begin"/>
        </w:r>
        <w:r>
          <w:instrText xml:space="preserve"> PAGEREF _Toc21799 \h </w:instrText>
        </w:r>
        <w:r>
          <w:fldChar w:fldCharType="separate"/>
        </w:r>
        <w:r>
          <w:t>25</w:t>
        </w:r>
        <w:r>
          <w:fldChar w:fldCharType="end"/>
        </w:r>
      </w:hyperlink>
    </w:p>
    <w:p>
      <w:pPr>
        <w:pStyle w:val="TOC1"/>
        <w:tabs>
          <w:tab w:val="right" w:leader="dot" w:pos="8306"/>
        </w:tabs>
      </w:pPr>
      <w:hyperlink w:anchor="_Toc25293" w:history="1">
        <w:r>
          <w:rPr>
            <w:rFonts w:ascii="微软雅黑" w:eastAsia="微软雅黑" w:hAnsi="微软雅黑" w:cs="微软雅黑" w:hint="eastAsia"/>
            <w:color w:val="001CAC" w:themeColor="hyperlink" w:themeShade="BF"/>
            <w:szCs w:val="32"/>
            <w:lang w:eastAsia="zh-CN"/>
          </w:rPr>
          <w:t>五、项目技术流程</w:t>
        </w:r>
        <w:r>
          <w:tab/>
        </w:r>
        <w:r>
          <w:fldChar w:fldCharType="begin"/>
        </w:r>
        <w:r>
          <w:instrText xml:space="preserve"> PAGEREF _Toc25293 \h </w:instrText>
        </w:r>
        <w:r>
          <w:fldChar w:fldCharType="separate"/>
        </w:r>
        <w:r>
          <w:t>27</w:t>
        </w:r>
        <w:r>
          <w:fldChar w:fldCharType="end"/>
        </w:r>
      </w:hyperlink>
    </w:p>
    <w:p>
      <w:pPr>
        <w:pStyle w:val="TOC2"/>
        <w:tabs>
          <w:tab w:val="right" w:leader="dot" w:pos="8306"/>
        </w:tabs>
      </w:pPr>
      <w:hyperlink w:anchor="_Toc9018" w:history="1">
        <w:r>
          <w:rPr>
            <w:rFonts w:ascii="宋体" w:eastAsia="宋体" w:hAnsi="宋体" w:cs="宋体" w:hint="eastAsia"/>
            <w:bCs w:val="0"/>
            <w:szCs w:val="28"/>
            <w:lang w:eastAsia="zh-CN"/>
          </w:rPr>
          <w:t>(一)、技术方案选择</w:t>
        </w:r>
        <w:r>
          <w:tab/>
        </w:r>
        <w:r>
          <w:fldChar w:fldCharType="begin"/>
        </w:r>
        <w:r>
          <w:instrText xml:space="preserve"> PAGEREF _Toc9018 \h </w:instrText>
        </w:r>
        <w:r>
          <w:fldChar w:fldCharType="separate"/>
        </w:r>
        <w:r>
          <w:t>27</w:t>
        </w:r>
        <w:r>
          <w:fldChar w:fldCharType="end"/>
        </w:r>
      </w:hyperlink>
    </w:p>
    <w:p>
      <w:pPr>
        <w:pStyle w:val="TOC2"/>
        <w:tabs>
          <w:tab w:val="right" w:leader="dot" w:pos="8306"/>
        </w:tabs>
      </w:pPr>
      <w:hyperlink w:anchor="_Toc17029" w:history="1">
        <w:r>
          <w:rPr>
            <w:rFonts w:ascii="宋体" w:eastAsia="宋体" w:hAnsi="宋体" w:cs="宋体" w:hint="eastAsia"/>
            <w:bCs w:val="0"/>
            <w:szCs w:val="28"/>
            <w:lang w:eastAsia="zh-CN"/>
          </w:rPr>
          <w:t>(二)、设备选型方案</w:t>
        </w:r>
        <w:r>
          <w:tab/>
        </w:r>
        <w:r>
          <w:fldChar w:fldCharType="begin"/>
        </w:r>
        <w:r>
          <w:instrText xml:space="preserve"> PAGEREF _Toc17029 \h </w:instrText>
        </w:r>
        <w:r>
          <w:fldChar w:fldCharType="separate"/>
        </w:r>
        <w:r>
          <w:t>27</w:t>
        </w:r>
        <w:r>
          <w:fldChar w:fldCharType="end"/>
        </w:r>
      </w:hyperlink>
    </w:p>
    <w:p>
      <w:pPr>
        <w:pStyle w:val="TOC2"/>
        <w:tabs>
          <w:tab w:val="right" w:leader="dot" w:pos="8306"/>
        </w:tabs>
      </w:pPr>
      <w:hyperlink w:anchor="_Toc11488" w:history="1">
        <w:r>
          <w:rPr>
            <w:rFonts w:ascii="宋体" w:eastAsia="宋体" w:hAnsi="宋体" w:cs="宋体" w:hint="eastAsia"/>
            <w:bCs w:val="0"/>
            <w:szCs w:val="28"/>
            <w:lang w:eastAsia="zh-CN"/>
          </w:rPr>
          <w:t>(三)、技术流程与工艺设计</w:t>
        </w:r>
        <w:r>
          <w:tab/>
        </w:r>
        <w:r>
          <w:fldChar w:fldCharType="begin"/>
        </w:r>
        <w:r>
          <w:instrText xml:space="preserve"> PAGEREF _Toc11488 \h </w:instrText>
        </w:r>
        <w:r>
          <w:fldChar w:fldCharType="separate"/>
        </w:r>
        <w:r>
          <w:t>28</w:t>
        </w:r>
        <w:r>
          <w:fldChar w:fldCharType="end"/>
        </w:r>
      </w:hyperlink>
    </w:p>
    <w:p>
      <w:pPr>
        <w:pStyle w:val="TOC1"/>
        <w:tabs>
          <w:tab w:val="right" w:leader="dot" w:pos="8306"/>
        </w:tabs>
      </w:pPr>
      <w:hyperlink w:anchor="_Toc5965" w:history="1">
        <w:r>
          <w:rPr>
            <w:rFonts w:ascii="微软雅黑" w:eastAsia="微软雅黑" w:hAnsi="微软雅黑" w:cs="微软雅黑" w:hint="eastAsia"/>
            <w:color w:val="001CAC" w:themeColor="hyperlink" w:themeShade="BF"/>
            <w:szCs w:val="32"/>
            <w:lang w:eastAsia="zh-CN"/>
          </w:rPr>
          <w:t>六、项目管理与团队协作</w:t>
        </w:r>
        <w:r>
          <w:tab/>
        </w:r>
        <w:r>
          <w:fldChar w:fldCharType="begin"/>
        </w:r>
        <w:r>
          <w:instrText xml:space="preserve"> PAGEREF _Toc5965 \h </w:instrText>
        </w:r>
        <w:r>
          <w:fldChar w:fldCharType="separate"/>
        </w:r>
        <w:r>
          <w:t>29</w:t>
        </w:r>
        <w:r>
          <w:fldChar w:fldCharType="end"/>
        </w:r>
      </w:hyperlink>
    </w:p>
    <w:p>
      <w:pPr>
        <w:pStyle w:val="TOC2"/>
        <w:tabs>
          <w:tab w:val="right" w:leader="dot" w:pos="8306"/>
        </w:tabs>
      </w:pPr>
      <w:hyperlink w:anchor="_Toc5369" w:history="1">
        <w:r>
          <w:rPr>
            <w:rFonts w:ascii="宋体" w:eastAsia="宋体" w:hAnsi="宋体" w:cs="宋体" w:hint="eastAsia"/>
            <w:bCs w:val="0"/>
            <w:szCs w:val="28"/>
            <w:lang w:eastAsia="zh-CN"/>
          </w:rPr>
          <w:t>(一)、项目管理方法论</w:t>
        </w:r>
        <w:r>
          <w:tab/>
        </w:r>
        <w:r>
          <w:fldChar w:fldCharType="begin"/>
        </w:r>
        <w:r>
          <w:instrText xml:space="preserve"> PAGEREF _Toc5369 \h </w:instrText>
        </w:r>
        <w:r>
          <w:fldChar w:fldCharType="separate"/>
        </w:r>
        <w:r>
          <w:t>29</w:t>
        </w:r>
        <w:r>
          <w:fldChar w:fldCharType="end"/>
        </w:r>
      </w:hyperlink>
    </w:p>
    <w:p>
      <w:pPr>
        <w:pStyle w:val="TOC2"/>
        <w:tabs>
          <w:tab w:val="right" w:leader="dot" w:pos="8306"/>
        </w:tabs>
      </w:pPr>
      <w:hyperlink w:anchor="_Toc30929" w:history="1">
        <w:r>
          <w:rPr>
            <w:rFonts w:ascii="宋体" w:eastAsia="宋体" w:hAnsi="宋体" w:cs="宋体" w:hint="eastAsia"/>
            <w:bCs w:val="0"/>
            <w:szCs w:val="28"/>
            <w:lang w:eastAsia="zh-CN"/>
          </w:rPr>
          <w:t>(二)、团队组建与角色分工</w:t>
        </w:r>
        <w:r>
          <w:tab/>
        </w:r>
        <w:r>
          <w:fldChar w:fldCharType="begin"/>
        </w:r>
        <w:r>
          <w:instrText xml:space="preserve"> PAGEREF _Toc30929 \h </w:instrText>
        </w:r>
        <w:r>
          <w:fldChar w:fldCharType="separate"/>
        </w:r>
        <w:r>
          <w:t>30</w:t>
        </w:r>
        <w:r>
          <w:fldChar w:fldCharType="end"/>
        </w:r>
      </w:hyperlink>
    </w:p>
    <w:p>
      <w:pPr>
        <w:pStyle w:val="TOC2"/>
        <w:tabs>
          <w:tab w:val="right" w:leader="dot" w:pos="8306"/>
        </w:tabs>
      </w:pPr>
      <w:hyperlink w:anchor="_Toc15268" w:history="1">
        <w:r>
          <w:rPr>
            <w:rFonts w:ascii="宋体" w:eastAsia="宋体" w:hAnsi="宋体" w:cs="宋体" w:hint="eastAsia"/>
            <w:bCs w:val="0"/>
            <w:szCs w:val="28"/>
            <w:lang w:eastAsia="zh-CN"/>
          </w:rPr>
          <w:t>(三)、团队沟通与协作机制</w:t>
        </w:r>
        <w:r>
          <w:tab/>
        </w:r>
        <w:r>
          <w:fldChar w:fldCharType="begin"/>
        </w:r>
        <w:r>
          <w:instrText xml:space="preserve"> PAGEREF _Toc15268 \h </w:instrText>
        </w:r>
        <w:r>
          <w:fldChar w:fldCharType="separate"/>
        </w:r>
        <w:r>
          <w:t>31</w:t>
        </w:r>
        <w:r>
          <w:fldChar w:fldCharType="end"/>
        </w:r>
      </w:hyperlink>
    </w:p>
    <w:p>
      <w:pPr>
        <w:pStyle w:val="TOC2"/>
        <w:tabs>
          <w:tab w:val="right" w:leader="dot" w:pos="8306"/>
        </w:tabs>
      </w:pPr>
      <w:hyperlink w:anchor="_Toc22859" w:history="1">
        <w:r>
          <w:rPr>
            <w:rFonts w:ascii="宋体" w:eastAsia="宋体" w:hAnsi="宋体" w:cs="宋体" w:hint="eastAsia"/>
            <w:bCs w:val="0"/>
            <w:szCs w:val="28"/>
            <w:lang w:eastAsia="zh-CN"/>
          </w:rPr>
          <w:t>(四)、项目风险管理与应对</w:t>
        </w:r>
        <w:r>
          <w:tab/>
        </w:r>
        <w:r>
          <w:fldChar w:fldCharType="begin"/>
        </w:r>
        <w:r>
          <w:instrText xml:space="preserve"> PAGEREF _Toc22859 \h </w:instrText>
        </w:r>
        <w:r>
          <w:fldChar w:fldCharType="separate"/>
        </w:r>
        <w:r>
          <w:t>32</w:t>
        </w:r>
        <w:r>
          <w:fldChar w:fldCharType="end"/>
        </w:r>
      </w:hyperlink>
    </w:p>
    <w:p>
      <w:pPr>
        <w:pStyle w:val="TOC1"/>
        <w:tabs>
          <w:tab w:val="right" w:leader="dot" w:pos="8306"/>
        </w:tabs>
      </w:pPr>
      <w:hyperlink w:anchor="_Toc31332" w:history="1">
        <w:r>
          <w:rPr>
            <w:rFonts w:ascii="微软雅黑" w:eastAsia="微软雅黑" w:hAnsi="微软雅黑" w:cs="微软雅黑" w:hint="eastAsia"/>
            <w:color w:val="001CAC" w:themeColor="hyperlink" w:themeShade="BF"/>
            <w:szCs w:val="32"/>
            <w:lang w:eastAsia="zh-CN"/>
          </w:rPr>
          <w:t>七、制度建设与管理</w:t>
        </w:r>
        <w:r>
          <w:tab/>
        </w:r>
        <w:r>
          <w:fldChar w:fldCharType="begin"/>
        </w:r>
        <w:r>
          <w:instrText xml:space="preserve"> PAGEREF _Toc31332 \h </w:instrText>
        </w:r>
        <w:r>
          <w:fldChar w:fldCharType="separate"/>
        </w:r>
        <w:r>
          <w:t>33</w:t>
        </w:r>
        <w:r>
          <w:fldChar w:fldCharType="end"/>
        </w:r>
      </w:hyperlink>
    </w:p>
    <w:p>
      <w:pPr>
        <w:pStyle w:val="TOC2"/>
        <w:tabs>
          <w:tab w:val="right" w:leader="dot" w:pos="8306"/>
        </w:tabs>
      </w:pPr>
      <w:hyperlink w:anchor="_Toc25502" w:history="1">
        <w:r>
          <w:rPr>
            <w:rFonts w:ascii="宋体" w:eastAsia="宋体" w:hAnsi="宋体" w:cs="宋体" w:hint="eastAsia"/>
            <w:bCs w:val="0"/>
            <w:szCs w:val="28"/>
            <w:lang w:eastAsia="zh-CN"/>
          </w:rPr>
          <w:t>(一)、公司治理结构</w:t>
        </w:r>
        <w:r>
          <w:tab/>
        </w:r>
        <w:r>
          <w:fldChar w:fldCharType="begin"/>
        </w:r>
        <w:r>
          <w:instrText xml:space="preserve"> PAGEREF _Toc25502 \h </w:instrText>
        </w:r>
        <w:r>
          <w:fldChar w:fldCharType="separate"/>
        </w:r>
        <w:r>
          <w:t>33</w:t>
        </w:r>
        <w:r>
          <w:fldChar w:fldCharType="end"/>
        </w:r>
      </w:hyperlink>
    </w:p>
    <w:p>
      <w:pPr>
        <w:pStyle w:val="TOC2"/>
        <w:tabs>
          <w:tab w:val="right" w:leader="dot" w:pos="8306"/>
        </w:tabs>
      </w:pPr>
      <w:hyperlink w:anchor="_Toc21078" w:history="1">
        <w:r>
          <w:rPr>
            <w:rFonts w:ascii="宋体" w:eastAsia="宋体" w:hAnsi="宋体" w:cs="宋体" w:hint="eastAsia"/>
            <w:bCs w:val="0"/>
            <w:szCs w:val="28"/>
            <w:lang w:eastAsia="zh-CN"/>
          </w:rPr>
          <w:t>(二)、内部控制与审计</w:t>
        </w:r>
        <w:r>
          <w:tab/>
        </w:r>
        <w:r>
          <w:fldChar w:fldCharType="begin"/>
        </w:r>
        <w:r>
          <w:instrText xml:space="preserve"> PAGEREF _Toc21078 \h </w:instrText>
        </w:r>
        <w:r>
          <w:fldChar w:fldCharType="separate"/>
        </w:r>
        <w:r>
          <w:t>34</w:t>
        </w:r>
        <w:r>
          <w:fldChar w:fldCharType="end"/>
        </w:r>
      </w:hyperlink>
    </w:p>
    <w:p>
      <w:pPr>
        <w:pStyle w:val="TOC2"/>
        <w:tabs>
          <w:tab w:val="right" w:leader="dot" w:pos="8306"/>
        </w:tabs>
      </w:pPr>
      <w:hyperlink w:anchor="_Toc5930" w:history="1">
        <w:r>
          <w:rPr>
            <w:rFonts w:ascii="宋体" w:eastAsia="宋体" w:hAnsi="宋体" w:cs="宋体" w:hint="eastAsia"/>
            <w:bCs w:val="0"/>
            <w:szCs w:val="28"/>
            <w:lang w:eastAsia="zh-CN"/>
          </w:rPr>
          <w:t>(三)、法律法规合规体系</w:t>
        </w:r>
        <w:r>
          <w:tab/>
        </w:r>
        <w:r>
          <w:fldChar w:fldCharType="begin"/>
        </w:r>
        <w:r>
          <w:instrText xml:space="preserve"> PAGEREF _Toc5930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12" w:history="1">
        <w:r>
          <w:rPr>
            <w:rFonts w:ascii="微软雅黑" w:eastAsia="微软雅黑" w:hAnsi="微软雅黑" w:cs="微软雅黑" w:hint="eastAsia"/>
            <w:color w:val="001CAC" w:themeColor="hyperlink" w:themeShade="BF"/>
            <w:szCs w:val="32"/>
            <w:lang w:eastAsia="zh-CN"/>
          </w:rPr>
          <w:t>八、项目实施与进度安排</w:t>
        </w:r>
        <w:r>
          <w:tab/>
        </w:r>
        <w:r>
          <w:fldChar w:fldCharType="begin"/>
        </w:r>
        <w:r>
          <w:instrText xml:space="preserve"> PAGEREF _Toc9512 \h </w:instrText>
        </w:r>
        <w:r>
          <w:fldChar w:fldCharType="separate"/>
        </w:r>
        <w:r>
          <w:t>36</w:t>
        </w:r>
        <w:r>
          <w:fldChar w:fldCharType="end"/>
        </w:r>
      </w:hyperlink>
    </w:p>
    <w:p>
      <w:pPr>
        <w:pStyle w:val="TOC2"/>
        <w:tabs>
          <w:tab w:val="right" w:leader="dot" w:pos="8306"/>
        </w:tabs>
      </w:pPr>
      <w:hyperlink w:anchor="_Toc30580" w:history="1">
        <w:r>
          <w:rPr>
            <w:rFonts w:ascii="宋体" w:eastAsia="宋体" w:hAnsi="宋体" w:cs="宋体" w:hint="eastAsia"/>
            <w:bCs w:val="0"/>
            <w:szCs w:val="28"/>
            <w:lang w:eastAsia="zh-CN"/>
          </w:rPr>
          <w:t>(一)、项目计划与时间节点</w:t>
        </w:r>
        <w:r>
          <w:tab/>
        </w:r>
        <w:r>
          <w:fldChar w:fldCharType="begin"/>
        </w:r>
        <w:r>
          <w:instrText xml:space="preserve"> PAGEREF _Toc30580 \h </w:instrText>
        </w:r>
        <w:r>
          <w:fldChar w:fldCharType="separate"/>
        </w:r>
        <w:r>
          <w:t>36</w:t>
        </w:r>
        <w:r>
          <w:fldChar w:fldCharType="end"/>
        </w:r>
      </w:hyperlink>
    </w:p>
    <w:p>
      <w:pPr>
        <w:pStyle w:val="TOC2"/>
        <w:tabs>
          <w:tab w:val="right" w:leader="dot" w:pos="8306"/>
        </w:tabs>
      </w:pPr>
      <w:hyperlink w:anchor="_Toc5806" w:history="1">
        <w:r>
          <w:rPr>
            <w:rFonts w:ascii="宋体" w:eastAsia="宋体" w:hAnsi="宋体" w:cs="宋体" w:hint="eastAsia"/>
            <w:bCs w:val="0"/>
            <w:szCs w:val="28"/>
            <w:lang w:eastAsia="zh-CN"/>
          </w:rPr>
          <w:t>(二)、项目进度安排</w:t>
        </w:r>
        <w:r>
          <w:tab/>
        </w:r>
        <w:r>
          <w:fldChar w:fldCharType="begin"/>
        </w:r>
        <w:r>
          <w:instrText xml:space="preserve"> PAGEREF _Toc5806 \h </w:instrText>
        </w:r>
        <w:r>
          <w:fldChar w:fldCharType="separate"/>
        </w:r>
        <w:r>
          <w:t>37</w:t>
        </w:r>
        <w:r>
          <w:fldChar w:fldCharType="end"/>
        </w:r>
      </w:hyperlink>
    </w:p>
    <w:p>
      <w:pPr>
        <w:pStyle w:val="TOC2"/>
        <w:tabs>
          <w:tab w:val="right" w:leader="dot" w:pos="8306"/>
        </w:tabs>
      </w:pPr>
      <w:hyperlink w:anchor="_Toc5589" w:history="1">
        <w:r>
          <w:rPr>
            <w:rFonts w:ascii="宋体" w:eastAsia="宋体" w:hAnsi="宋体" w:cs="宋体" w:hint="eastAsia"/>
            <w:bCs w:val="0"/>
            <w:szCs w:val="28"/>
            <w:lang w:eastAsia="zh-CN"/>
          </w:rPr>
          <w:t>(三)、风险管理与对策</w:t>
        </w:r>
        <w:r>
          <w:tab/>
        </w:r>
        <w:r>
          <w:fldChar w:fldCharType="begin"/>
        </w:r>
        <w:r>
          <w:instrText xml:space="preserve"> PAGEREF _Toc5589 \h </w:instrText>
        </w:r>
        <w:r>
          <w:fldChar w:fldCharType="separate"/>
        </w:r>
        <w:r>
          <w:t>39</w:t>
        </w:r>
        <w:r>
          <w:fldChar w:fldCharType="end"/>
        </w:r>
      </w:hyperlink>
    </w:p>
    <w:p>
      <w:pPr>
        <w:pStyle w:val="TOC1"/>
        <w:tabs>
          <w:tab w:val="right" w:leader="dot" w:pos="8306"/>
        </w:tabs>
      </w:pPr>
      <w:hyperlink w:anchor="_Toc25677" w:history="1">
        <w:r>
          <w:rPr>
            <w:rFonts w:ascii="微软雅黑" w:eastAsia="微软雅黑" w:hAnsi="微软雅黑" w:cs="微软雅黑" w:hint="eastAsia"/>
            <w:color w:val="001CAC" w:themeColor="hyperlink" w:themeShade="BF"/>
            <w:szCs w:val="32"/>
            <w:lang w:eastAsia="zh-CN"/>
          </w:rPr>
          <w:t>九、质量管理与持续改进</w:t>
        </w:r>
        <w:r>
          <w:tab/>
        </w:r>
        <w:r>
          <w:fldChar w:fldCharType="begin"/>
        </w:r>
        <w:r>
          <w:instrText xml:space="preserve"> PAGEREF _Toc25677 \h </w:instrText>
        </w:r>
        <w:r>
          <w:fldChar w:fldCharType="separate"/>
        </w:r>
        <w:r>
          <w:t>40</w:t>
        </w:r>
        <w:r>
          <w:fldChar w:fldCharType="end"/>
        </w:r>
      </w:hyperlink>
    </w:p>
    <w:p>
      <w:pPr>
        <w:pStyle w:val="TOC2"/>
        <w:tabs>
          <w:tab w:val="right" w:leader="dot" w:pos="8306"/>
        </w:tabs>
      </w:pPr>
      <w:hyperlink w:anchor="_Toc11722" w:history="1">
        <w:r>
          <w:rPr>
            <w:rFonts w:ascii="宋体" w:eastAsia="宋体" w:hAnsi="宋体" w:cs="宋体" w:hint="eastAsia"/>
            <w:bCs w:val="0"/>
            <w:szCs w:val="28"/>
            <w:lang w:eastAsia="zh-CN"/>
          </w:rPr>
          <w:t>(一)、质量管理体系建设</w:t>
        </w:r>
        <w:r>
          <w:tab/>
        </w:r>
        <w:r>
          <w:fldChar w:fldCharType="begin"/>
        </w:r>
        <w:r>
          <w:instrText xml:space="preserve"> PAGEREF _Toc11722 \h </w:instrText>
        </w:r>
        <w:r>
          <w:fldChar w:fldCharType="separate"/>
        </w:r>
        <w:r>
          <w:t>40</w:t>
        </w:r>
        <w:r>
          <w:fldChar w:fldCharType="end"/>
        </w:r>
      </w:hyperlink>
    </w:p>
    <w:p>
      <w:pPr>
        <w:pStyle w:val="TOC2"/>
        <w:tabs>
          <w:tab w:val="right" w:leader="dot" w:pos="8306"/>
        </w:tabs>
      </w:pPr>
      <w:hyperlink w:anchor="_Toc10390" w:history="1">
        <w:r>
          <w:rPr>
            <w:rFonts w:ascii="宋体" w:eastAsia="宋体" w:hAnsi="宋体" w:cs="宋体" w:hint="eastAsia"/>
            <w:bCs w:val="0"/>
            <w:szCs w:val="28"/>
            <w:lang w:eastAsia="zh-CN"/>
          </w:rPr>
          <w:t>(二)、生产过程控制与优化</w:t>
        </w:r>
        <w:r>
          <w:tab/>
        </w:r>
        <w:r>
          <w:fldChar w:fldCharType="begin"/>
        </w:r>
        <w:r>
          <w:instrText xml:space="preserve"> PAGEREF _Toc10390 \h </w:instrText>
        </w:r>
        <w:r>
          <w:fldChar w:fldCharType="separate"/>
        </w:r>
        <w:r>
          <w:t>41</w:t>
        </w:r>
        <w:r>
          <w:fldChar w:fldCharType="end"/>
        </w:r>
      </w:hyperlink>
    </w:p>
    <w:p>
      <w:pPr>
        <w:pStyle w:val="TOC2"/>
        <w:tabs>
          <w:tab w:val="right" w:leader="dot" w:pos="8306"/>
        </w:tabs>
      </w:pPr>
      <w:hyperlink w:anchor="_Toc4251" w:history="1">
        <w:r>
          <w:rPr>
            <w:rFonts w:ascii="宋体" w:eastAsia="宋体" w:hAnsi="宋体" w:cs="宋体" w:hint="eastAsia"/>
            <w:bCs w:val="0"/>
            <w:szCs w:val="28"/>
            <w:lang w:eastAsia="zh-CN"/>
          </w:rPr>
          <w:t>(三)、产品质量检验与测试</w:t>
        </w:r>
        <w:r>
          <w:tab/>
        </w:r>
        <w:r>
          <w:fldChar w:fldCharType="begin"/>
        </w:r>
        <w:r>
          <w:instrText xml:space="preserve"> PAGEREF _Toc4251 \h </w:instrText>
        </w:r>
        <w:r>
          <w:fldChar w:fldCharType="separate"/>
        </w:r>
        <w:r>
          <w:t>42</w:t>
        </w:r>
        <w:r>
          <w:fldChar w:fldCharType="end"/>
        </w:r>
      </w:hyperlink>
    </w:p>
    <w:p>
      <w:pPr>
        <w:pStyle w:val="TOC2"/>
        <w:tabs>
          <w:tab w:val="right" w:leader="dot" w:pos="8306"/>
        </w:tabs>
      </w:pPr>
      <w:hyperlink w:anchor="_Toc29884" w:history="1">
        <w:r>
          <w:rPr>
            <w:rFonts w:ascii="宋体" w:eastAsia="宋体" w:hAnsi="宋体" w:cs="宋体" w:hint="eastAsia"/>
            <w:bCs w:val="0"/>
            <w:szCs w:val="28"/>
            <w:lang w:eastAsia="zh-CN"/>
          </w:rPr>
          <w:t>(四)、用户反馈与质量改进</w:t>
        </w:r>
        <w:r>
          <w:tab/>
        </w:r>
        <w:r>
          <w:fldChar w:fldCharType="begin"/>
        </w:r>
        <w:r>
          <w:instrText xml:space="preserve"> PAGEREF _Toc29884 \h </w:instrText>
        </w:r>
        <w:r>
          <w:fldChar w:fldCharType="separate"/>
        </w:r>
        <w:r>
          <w:t>42</w:t>
        </w:r>
        <w:r>
          <w:fldChar w:fldCharType="end"/>
        </w:r>
      </w:hyperlink>
    </w:p>
    <w:p>
      <w:pPr>
        <w:pStyle w:val="TOC1"/>
        <w:tabs>
          <w:tab w:val="right" w:leader="dot" w:pos="8306"/>
        </w:tabs>
      </w:pPr>
      <w:hyperlink w:anchor="_Toc17273" w:history="1">
        <w:r>
          <w:rPr>
            <w:rFonts w:ascii="微软雅黑" w:eastAsia="微软雅黑" w:hAnsi="微软雅黑" w:cs="微软雅黑" w:hint="eastAsia"/>
            <w:color w:val="001CAC" w:themeColor="hyperlink" w:themeShade="BF"/>
            <w:szCs w:val="32"/>
            <w:lang w:eastAsia="zh-CN"/>
          </w:rPr>
          <w:t>十、在线企业资源规划行业背景及市场分析</w:t>
        </w:r>
        <w:r>
          <w:tab/>
        </w:r>
        <w:r>
          <w:fldChar w:fldCharType="begin"/>
        </w:r>
        <w:r>
          <w:instrText xml:space="preserve"> PAGEREF _Toc17273 \h </w:instrText>
        </w:r>
        <w:r>
          <w:fldChar w:fldCharType="separate"/>
        </w:r>
        <w:r>
          <w:t>43</w:t>
        </w:r>
        <w:r>
          <w:fldChar w:fldCharType="end"/>
        </w:r>
      </w:hyperlink>
    </w:p>
    <w:p>
      <w:pPr>
        <w:pStyle w:val="TOC2"/>
        <w:tabs>
          <w:tab w:val="right" w:leader="dot" w:pos="8306"/>
        </w:tabs>
      </w:pPr>
      <w:hyperlink w:anchor="_Toc14036" w:history="1">
        <w:r>
          <w:rPr>
            <w:rFonts w:ascii="宋体" w:eastAsia="宋体" w:hAnsi="宋体" w:cs="宋体" w:hint="eastAsia"/>
            <w:bCs w:val="0"/>
            <w:szCs w:val="28"/>
            <w:lang w:eastAsia="zh-CN"/>
          </w:rPr>
          <w:t>(一)、在线企业资源规划行业创新驱动</w:t>
        </w:r>
        <w:r>
          <w:tab/>
        </w:r>
        <w:r>
          <w:fldChar w:fldCharType="begin"/>
        </w:r>
        <w:r>
          <w:instrText xml:space="preserve"> PAGEREF _Toc14036 \h </w:instrText>
        </w:r>
        <w:r>
          <w:fldChar w:fldCharType="separate"/>
        </w:r>
        <w:r>
          <w:t>43</w:t>
        </w:r>
        <w:r>
          <w:fldChar w:fldCharType="end"/>
        </w:r>
      </w:hyperlink>
    </w:p>
    <w:p>
      <w:pPr>
        <w:pStyle w:val="TOC2"/>
        <w:tabs>
          <w:tab w:val="right" w:leader="dot" w:pos="8306"/>
        </w:tabs>
      </w:pPr>
      <w:hyperlink w:anchor="_Toc2878" w:history="1">
        <w:r>
          <w:rPr>
            <w:rFonts w:ascii="宋体" w:eastAsia="宋体" w:hAnsi="宋体" w:cs="宋体" w:hint="eastAsia"/>
            <w:bCs w:val="0"/>
            <w:szCs w:val="28"/>
            <w:lang w:eastAsia="zh-CN"/>
          </w:rPr>
          <w:t>(二)、在线企业资源规划行业发展现状</w:t>
        </w:r>
        <w:r>
          <w:tab/>
        </w:r>
        <w:r>
          <w:fldChar w:fldCharType="begin"/>
        </w:r>
        <w:r>
          <w:instrText xml:space="preserve"> PAGEREF _Toc2878 \h </w:instrText>
        </w:r>
        <w:r>
          <w:fldChar w:fldCharType="separate"/>
        </w:r>
        <w:r>
          <w:t>44</w:t>
        </w:r>
        <w:r>
          <w:fldChar w:fldCharType="end"/>
        </w:r>
      </w:hyperlink>
    </w:p>
    <w:p>
      <w:pPr>
        <w:pStyle w:val="TOC2"/>
        <w:tabs>
          <w:tab w:val="right" w:leader="dot" w:pos="8306"/>
        </w:tabs>
      </w:pPr>
      <w:hyperlink w:anchor="_Toc23295" w:history="1">
        <w:r>
          <w:rPr>
            <w:rFonts w:ascii="宋体" w:eastAsia="宋体" w:hAnsi="宋体" w:cs="宋体" w:hint="eastAsia"/>
            <w:bCs w:val="0"/>
            <w:szCs w:val="28"/>
            <w:lang w:eastAsia="zh-CN"/>
          </w:rPr>
          <w:t>(三)、在线企业资源规划行业高质量发展</w:t>
        </w:r>
        <w:r>
          <w:tab/>
        </w:r>
        <w:r>
          <w:fldChar w:fldCharType="begin"/>
        </w:r>
        <w:r>
          <w:instrText xml:space="preserve"> PAGEREF _Toc23295 \h </w:instrText>
        </w:r>
        <w:r>
          <w:fldChar w:fldCharType="separate"/>
        </w:r>
        <w:r>
          <w:t>45</w:t>
        </w:r>
        <w:r>
          <w:fldChar w:fldCharType="end"/>
        </w:r>
      </w:hyperlink>
    </w:p>
    <w:p>
      <w:pPr>
        <w:pStyle w:val="TOC2"/>
        <w:tabs>
          <w:tab w:val="right" w:leader="dot" w:pos="8306"/>
        </w:tabs>
      </w:pPr>
      <w:hyperlink w:anchor="_Toc15217" w:history="1">
        <w:r>
          <w:rPr>
            <w:rFonts w:ascii="宋体" w:eastAsia="宋体" w:hAnsi="宋体" w:cs="宋体" w:hint="eastAsia"/>
            <w:bCs w:val="0"/>
            <w:szCs w:val="28"/>
            <w:lang w:eastAsia="zh-CN"/>
          </w:rPr>
          <w:t>(四)、在线企业资源规划行业产业链分析</w:t>
        </w:r>
        <w:r>
          <w:tab/>
        </w:r>
        <w:r>
          <w:fldChar w:fldCharType="begin"/>
        </w:r>
        <w:r>
          <w:instrText xml:space="preserve"> PAGEREF _Toc15217 \h </w:instrText>
        </w:r>
        <w:r>
          <w:fldChar w:fldCharType="separate"/>
        </w:r>
        <w:r>
          <w:t>46</w:t>
        </w:r>
        <w:r>
          <w:fldChar w:fldCharType="end"/>
        </w:r>
      </w:hyperlink>
    </w:p>
    <w:p>
      <w:pPr>
        <w:pStyle w:val="TOC2"/>
        <w:tabs>
          <w:tab w:val="right" w:leader="dot" w:pos="8306"/>
        </w:tabs>
      </w:pPr>
      <w:hyperlink w:anchor="_Toc18154" w:history="1">
        <w:r>
          <w:rPr>
            <w:rFonts w:ascii="宋体" w:eastAsia="宋体" w:hAnsi="宋体" w:cs="宋体" w:hint="eastAsia"/>
            <w:bCs w:val="0"/>
            <w:szCs w:val="28"/>
            <w:lang w:eastAsia="zh-CN"/>
          </w:rPr>
          <w:t>(五)、在线企业资源规划行业发展方向</w:t>
        </w:r>
        <w:r>
          <w:tab/>
        </w:r>
        <w:r>
          <w:fldChar w:fldCharType="begin"/>
        </w:r>
        <w:r>
          <w:instrText xml:space="preserve"> PAGEREF _Toc18154 \h </w:instrText>
        </w:r>
        <w:r>
          <w:fldChar w:fldCharType="separate"/>
        </w:r>
        <w:r>
          <w:t>47</w:t>
        </w:r>
        <w:r>
          <w:fldChar w:fldCharType="end"/>
        </w:r>
      </w:hyperlink>
    </w:p>
    <w:p>
      <w:pPr>
        <w:pStyle w:val="TOC2"/>
        <w:tabs>
          <w:tab w:val="right" w:leader="dot" w:pos="8306"/>
        </w:tabs>
      </w:pPr>
      <w:hyperlink w:anchor="_Toc2630" w:history="1">
        <w:r>
          <w:rPr>
            <w:rFonts w:ascii="宋体" w:eastAsia="宋体" w:hAnsi="宋体" w:cs="宋体" w:hint="eastAsia"/>
            <w:bCs w:val="0"/>
            <w:szCs w:val="28"/>
            <w:lang w:eastAsia="zh-CN"/>
          </w:rPr>
          <w:t>(六)、在线企业资源规划行业前景</w:t>
        </w:r>
        <w:r>
          <w:tab/>
        </w:r>
        <w:r>
          <w:fldChar w:fldCharType="begin"/>
        </w:r>
        <w:r>
          <w:instrText xml:space="preserve"> PAGEREF _Toc2630 \h </w:instrText>
        </w:r>
        <w:r>
          <w:fldChar w:fldCharType="separate"/>
        </w:r>
        <w:r>
          <w:t>49</w:t>
        </w:r>
        <w:r>
          <w:fldChar w:fldCharType="end"/>
        </w:r>
      </w:hyperlink>
    </w:p>
    <w:p>
      <w:pPr>
        <w:pStyle w:val="TOC2"/>
        <w:tabs>
          <w:tab w:val="right" w:leader="dot" w:pos="8306"/>
        </w:tabs>
      </w:pPr>
      <w:hyperlink w:anchor="_Toc2633" w:history="1">
        <w:r>
          <w:rPr>
            <w:rFonts w:ascii="宋体" w:eastAsia="宋体" w:hAnsi="宋体" w:cs="宋体" w:hint="eastAsia"/>
            <w:bCs w:val="0"/>
            <w:szCs w:val="28"/>
            <w:lang w:eastAsia="zh-CN"/>
          </w:rPr>
          <w:t>(七)、在线企业资源规划行业发展趋势</w:t>
        </w:r>
        <w:r>
          <w:tab/>
        </w:r>
        <w:r>
          <w:fldChar w:fldCharType="begin"/>
        </w:r>
        <w:r>
          <w:instrText xml:space="preserve"> PAGEREF _Toc2633 \h </w:instrText>
        </w:r>
        <w:r>
          <w:fldChar w:fldCharType="separate"/>
        </w:r>
        <w:r>
          <w:t>51</w:t>
        </w:r>
        <w:r>
          <w:fldChar w:fldCharType="end"/>
        </w:r>
      </w:hyperlink>
    </w:p>
    <w:p>
      <w:pPr>
        <w:pStyle w:val="TOC1"/>
        <w:tabs>
          <w:tab w:val="right" w:leader="dot" w:pos="8306"/>
        </w:tabs>
      </w:pPr>
      <w:hyperlink w:anchor="_Toc31146" w:history="1">
        <w:r>
          <w:rPr>
            <w:rFonts w:ascii="微软雅黑" w:eastAsia="微软雅黑" w:hAnsi="微软雅黑" w:cs="微软雅黑" w:hint="eastAsia"/>
            <w:color w:val="001CAC" w:themeColor="hyperlink" w:themeShade="BF"/>
            <w:szCs w:val="32"/>
            <w:lang w:eastAsia="zh-CN"/>
          </w:rPr>
          <w:t>十一、市场营销与推广策略</w:t>
        </w:r>
        <w:r>
          <w:tab/>
        </w:r>
        <w:r>
          <w:fldChar w:fldCharType="begin"/>
        </w:r>
        <w:r>
          <w:instrText xml:space="preserve"> PAGEREF _Toc31146 \h </w:instrText>
        </w:r>
        <w:r>
          <w:fldChar w:fldCharType="separate"/>
        </w:r>
        <w:r>
          <w:t>53</w:t>
        </w:r>
        <w:r>
          <w:fldChar w:fldCharType="end"/>
        </w:r>
      </w:hyperlink>
    </w:p>
    <w:p>
      <w:pPr>
        <w:pStyle w:val="TOC2"/>
        <w:tabs>
          <w:tab w:val="right" w:leader="dot" w:pos="8306"/>
        </w:tabs>
      </w:pPr>
      <w:hyperlink w:anchor="_Toc13370" w:history="1">
        <w:r>
          <w:rPr>
            <w:rFonts w:ascii="宋体" w:eastAsia="宋体" w:hAnsi="宋体" w:cs="宋体" w:hint="eastAsia"/>
            <w:bCs w:val="0"/>
            <w:szCs w:val="28"/>
            <w:lang w:eastAsia="zh-CN"/>
          </w:rPr>
          <w:t>(一)、目标市场分析</w:t>
        </w:r>
        <w:r>
          <w:tab/>
        </w:r>
        <w:r>
          <w:fldChar w:fldCharType="begin"/>
        </w:r>
        <w:r>
          <w:instrText xml:space="preserve"> PAGEREF _Toc13370 \h </w:instrText>
        </w:r>
        <w:r>
          <w:fldChar w:fldCharType="separate"/>
        </w:r>
        <w:r>
          <w:t>53</w:t>
        </w:r>
        <w:r>
          <w:fldChar w:fldCharType="end"/>
        </w:r>
      </w:hyperlink>
    </w:p>
    <w:p>
      <w:pPr>
        <w:pStyle w:val="TOC2"/>
        <w:tabs>
          <w:tab w:val="right" w:leader="dot" w:pos="8306"/>
        </w:tabs>
      </w:pPr>
      <w:hyperlink w:anchor="_Toc9627" w:history="1">
        <w:r>
          <w:rPr>
            <w:rFonts w:ascii="宋体" w:eastAsia="宋体" w:hAnsi="宋体" w:cs="宋体" w:hint="eastAsia"/>
            <w:bCs w:val="0"/>
            <w:szCs w:val="28"/>
            <w:lang w:eastAsia="zh-CN"/>
          </w:rPr>
          <w:t>(二)、市场定位与竞争分析</w:t>
        </w:r>
        <w:r>
          <w:tab/>
        </w:r>
        <w:r>
          <w:fldChar w:fldCharType="begin"/>
        </w:r>
        <w:r>
          <w:instrText xml:space="preserve"> PAGEREF _Toc9627 \h </w:instrText>
        </w:r>
        <w:r>
          <w:fldChar w:fldCharType="separate"/>
        </w:r>
        <w:r>
          <w:t>53</w:t>
        </w:r>
        <w:r>
          <w:fldChar w:fldCharType="end"/>
        </w:r>
      </w:hyperlink>
    </w:p>
    <w:p>
      <w:pPr>
        <w:pStyle w:val="TOC2"/>
        <w:tabs>
          <w:tab w:val="right" w:leader="dot" w:pos="8306"/>
        </w:tabs>
      </w:pPr>
      <w:hyperlink w:anchor="_Toc31926" w:history="1">
        <w:r>
          <w:rPr>
            <w:rFonts w:ascii="宋体" w:eastAsia="宋体" w:hAnsi="宋体" w:cs="宋体" w:hint="eastAsia"/>
            <w:bCs w:val="0"/>
            <w:szCs w:val="28"/>
            <w:lang w:eastAsia="zh-CN"/>
          </w:rPr>
          <w:t>(三)、推广与宣传策略</w:t>
        </w:r>
        <w:r>
          <w:tab/>
        </w:r>
        <w:r>
          <w:fldChar w:fldCharType="begin"/>
        </w:r>
        <w:r>
          <w:instrText xml:space="preserve"> PAGEREF _Toc31926 \h </w:instrText>
        </w:r>
        <w:r>
          <w:fldChar w:fldCharType="separate"/>
        </w:r>
        <w:r>
          <w:t>54</w:t>
        </w:r>
        <w:r>
          <w:fldChar w:fldCharType="end"/>
        </w:r>
      </w:hyperlink>
    </w:p>
    <w:p>
      <w:pPr>
        <w:pStyle w:val="TOC1"/>
        <w:tabs>
          <w:tab w:val="right" w:leader="dot" w:pos="8306"/>
        </w:tabs>
      </w:pPr>
      <w:hyperlink w:anchor="_Toc2654" w:history="1">
        <w:r>
          <w:rPr>
            <w:rFonts w:ascii="微软雅黑" w:eastAsia="微软雅黑" w:hAnsi="微软雅黑" w:cs="微软雅黑" w:hint="eastAsia"/>
            <w:color w:val="001CAC" w:themeColor="hyperlink" w:themeShade="BF"/>
            <w:szCs w:val="32"/>
            <w:lang w:eastAsia="zh-CN"/>
          </w:rPr>
          <w:t>十二、在线企业资源规划行业制度建设与执行</w:t>
        </w:r>
        <w:r>
          <w:tab/>
        </w:r>
        <w:r>
          <w:fldChar w:fldCharType="begin"/>
        </w:r>
        <w:r>
          <w:instrText xml:space="preserve"> PAGEREF _Toc2654 \h </w:instrText>
        </w:r>
        <w:r>
          <w:fldChar w:fldCharType="separate"/>
        </w:r>
        <w:r>
          <w:t>54</w:t>
        </w:r>
        <w:r>
          <w:fldChar w:fldCharType="end"/>
        </w:r>
      </w:hyperlink>
    </w:p>
    <w:p>
      <w:pPr>
        <w:pStyle w:val="TOC2"/>
        <w:tabs>
          <w:tab w:val="right" w:leader="dot" w:pos="8306"/>
        </w:tabs>
      </w:pPr>
      <w:hyperlink w:anchor="_Toc10862" w:history="1">
        <w:r>
          <w:rPr>
            <w:rFonts w:ascii="宋体" w:eastAsia="宋体" w:hAnsi="宋体" w:cs="宋体" w:hint="eastAsia"/>
            <w:bCs w:val="0"/>
            <w:szCs w:val="28"/>
            <w:lang w:eastAsia="zh-CN"/>
          </w:rPr>
          <w:t>(一)、公司制度体系规划</w:t>
        </w:r>
        <w:r>
          <w:tab/>
        </w:r>
        <w:r>
          <w:fldChar w:fldCharType="begin"/>
        </w:r>
        <w:r>
          <w:instrText xml:space="preserve"> PAGEREF _Toc10862 \h </w:instrText>
        </w:r>
        <w:r>
          <w:fldChar w:fldCharType="separate"/>
        </w:r>
        <w:r>
          <w:t>54</w:t>
        </w:r>
        <w:r>
          <w:fldChar w:fldCharType="end"/>
        </w:r>
      </w:hyperlink>
    </w:p>
    <w:p>
      <w:pPr>
        <w:pStyle w:val="TOC2"/>
        <w:tabs>
          <w:tab w:val="right" w:leader="dot" w:pos="8306"/>
        </w:tabs>
      </w:pPr>
      <w:hyperlink w:anchor="_Toc10579" w:history="1">
        <w:r>
          <w:rPr>
            <w:rFonts w:ascii="宋体" w:eastAsia="宋体" w:hAnsi="宋体" w:cs="宋体" w:hint="eastAsia"/>
            <w:bCs w:val="0"/>
            <w:szCs w:val="28"/>
            <w:lang w:eastAsia="zh-CN"/>
          </w:rPr>
          <w:t>(二)、员工手册编制与更新</w:t>
        </w:r>
        <w:r>
          <w:tab/>
        </w:r>
        <w:r>
          <w:fldChar w:fldCharType="begin"/>
        </w:r>
        <w:r>
          <w:instrText xml:space="preserve"> PAGEREF _Toc10579 \h </w:instrText>
        </w:r>
        <w:r>
          <w:fldChar w:fldCharType="separate"/>
        </w:r>
        <w:r>
          <w:t>57</w:t>
        </w:r>
        <w:r>
          <w:fldChar w:fldCharType="end"/>
        </w:r>
      </w:hyperlink>
    </w:p>
    <w:p>
      <w:pPr>
        <w:pStyle w:val="TOC2"/>
        <w:tabs>
          <w:tab w:val="right" w:leader="dot" w:pos="8306"/>
        </w:tabs>
      </w:pPr>
      <w:hyperlink w:anchor="_Toc8403" w:history="1">
        <w:r>
          <w:rPr>
            <w:rFonts w:ascii="宋体" w:eastAsia="宋体" w:hAnsi="宋体" w:cs="宋体" w:hint="eastAsia"/>
            <w:bCs w:val="0"/>
            <w:szCs w:val="28"/>
            <w:lang w:eastAsia="zh-CN"/>
          </w:rPr>
          <w:t>(三)、制度宣导与培训</w:t>
        </w:r>
        <w:r>
          <w:tab/>
        </w:r>
        <w:r>
          <w:fldChar w:fldCharType="begin"/>
        </w:r>
        <w:r>
          <w:instrText xml:space="preserve"> PAGEREF _Toc8403 \h </w:instrText>
        </w:r>
        <w:r>
          <w:fldChar w:fldCharType="separate"/>
        </w:r>
        <w:r>
          <w:t>58</w:t>
        </w:r>
        <w:r>
          <w:fldChar w:fldCharType="end"/>
        </w:r>
      </w:hyperlink>
    </w:p>
    <w:p>
      <w:pPr>
        <w:pStyle w:val="TOC2"/>
        <w:tabs>
          <w:tab w:val="right" w:leader="dot" w:pos="8306"/>
        </w:tabs>
      </w:pPr>
      <w:hyperlink w:anchor="_Toc26998" w:history="1">
        <w:r>
          <w:rPr>
            <w:rFonts w:ascii="宋体" w:eastAsia="宋体" w:hAnsi="宋体" w:cs="宋体" w:hint="eastAsia"/>
            <w:bCs w:val="0"/>
            <w:szCs w:val="28"/>
            <w:lang w:eastAsia="zh-CN"/>
          </w:rPr>
          <w:t>(四)、主要防范措施</w:t>
        </w:r>
        <w:r>
          <w:tab/>
        </w:r>
        <w:r>
          <w:fldChar w:fldCharType="begin"/>
        </w:r>
        <w:r>
          <w:instrText xml:space="preserve"> PAGEREF _Toc26998 \h </w:instrText>
        </w:r>
        <w:r>
          <w:fldChar w:fldCharType="separate"/>
        </w:r>
        <w:r>
          <w:t>58</w:t>
        </w:r>
        <w:r>
          <w:fldChar w:fldCharType="end"/>
        </w:r>
      </w:hyperlink>
    </w:p>
    <w:p>
      <w:pPr>
        <w:pStyle w:val="TOC2"/>
        <w:tabs>
          <w:tab w:val="right" w:leader="dot" w:pos="8306"/>
        </w:tabs>
      </w:pPr>
      <w:hyperlink w:anchor="_Toc7959" w:history="1">
        <w:r>
          <w:rPr>
            <w:rFonts w:ascii="宋体" w:eastAsia="宋体" w:hAnsi="宋体" w:cs="宋体" w:hint="eastAsia"/>
            <w:bCs w:val="0"/>
            <w:szCs w:val="28"/>
            <w:lang w:eastAsia="zh-CN"/>
          </w:rPr>
          <w:t>(五)、制度优化与更新</w:t>
        </w:r>
        <w:r>
          <w:tab/>
        </w:r>
        <w:r>
          <w:fldChar w:fldCharType="begin"/>
        </w:r>
        <w:r>
          <w:instrText xml:space="preserve"> PAGEREF _Toc7959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26739"/>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在线企业资源规划行业研究报告是对在线企业资源规划行业深入剖析的结果，旨在为在线企业资源规划行业从业人员提供参考和借鉴。该报告所涉及的内容仅供学术研究和学习交流,不可用于商业用途。通过对在线企业资源规划行业现状、市场规模和发展趋势的综合分析,以及对竞争格局和影响因素的评估，本报告旨在为读者提供全面的行业了解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5757"/>
      <w:r>
        <w:rPr>
          <w:rFonts w:ascii="微软雅黑" w:eastAsia="微软雅黑" w:hAnsi="微软雅黑" w:cs="微软雅黑" w:hint="eastAsia"/>
          <w:color w:val="2E54A1" w:themeColor="accent1" w:themeShade="BF"/>
          <w:sz w:val="32"/>
          <w:szCs w:val="32"/>
          <w:lang w:eastAsia="zh-CN"/>
        </w:rPr>
        <w:t>一、环境与社会责任</w:t>
      </w:r>
      <w:bookmarkEnd w:id="2"/>
    </w:p>
    <w:p>
      <w:pPr>
        <w:pStyle w:val="Heading2"/>
        <w:spacing w:line="480" w:lineRule="auto"/>
        <w:rPr>
          <w:rFonts w:ascii="宋体" w:eastAsia="宋体" w:hAnsi="宋体" w:cs="宋体" w:hint="eastAsia"/>
          <w:bCs w:val="0"/>
          <w:sz w:val="28"/>
          <w:szCs w:val="28"/>
          <w:lang w:eastAsia="zh-CN"/>
        </w:rPr>
      </w:pPr>
      <w:bookmarkStart w:id="3" w:name="_Toc13310"/>
      <w:r>
        <w:rPr>
          <w:rFonts w:ascii="宋体" w:eastAsia="宋体" w:hAnsi="宋体" w:cs="宋体" w:hint="eastAsia"/>
          <w:b/>
          <w:bCs w:val="0"/>
          <w:sz w:val="28"/>
          <w:szCs w:val="28"/>
          <w:lang w:eastAsia="zh-CN"/>
        </w:rPr>
        <w:t>(一)、环境影响评估</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线企业资源规划行业项目在实施过程中，积极进行环境影响评估，以确保项目对周边环境的最小化影响。首先，我们对项目的各个阶段进行了详细分析，包括生产、运输、使用和废弃等环节。通过对各项活动的影响进行评估,制定了一系列的环保措施,以减少对自然环境的不利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在生产环节，我们采用了先进的生产工艺和环保技术，以提高资源利用效率，减少排放物的产生。对于可能产生的废弃物，我们制定了科学合理的处理方案，以确保废弃物不对周边环境造成负面影响。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在运输和使用阶段，我们通过优化供应链和产品设计，降低能耗和排放,减少对空气和水质的污染。同时,我们倡导并实施绿色运输，推动可再生能源的使用，以减缓气候变化对环境的不利影响。</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在废弃阶段，我们致力于实现产品的循环利用和资源回收。通过建立回收网络和合作伙伴关系,最大限度地减少产品废弃对环境的压力，推动可持续发展理念的实施。</w:t>
      </w:r>
    </w:p>
    <w:p>
      <w:pPr>
        <w:pStyle w:val="Heading2"/>
        <w:spacing w:line="480" w:lineRule="auto"/>
        <w:rPr>
          <w:rFonts w:ascii="宋体" w:eastAsia="宋体" w:hAnsi="宋体" w:cs="宋体" w:hint="eastAsia"/>
          <w:bCs w:val="0"/>
          <w:sz w:val="28"/>
          <w:szCs w:val="28"/>
          <w:lang w:eastAsia="zh-CN"/>
        </w:rPr>
      </w:pPr>
      <w:bookmarkStart w:id="4" w:name="_Toc28428"/>
      <w:r>
        <w:rPr>
          <w:rFonts w:ascii="宋体" w:eastAsia="宋体" w:hAnsi="宋体" w:cs="宋体" w:hint="eastAsia"/>
          <w:b/>
          <w:bCs w:val="0"/>
          <w:sz w:val="28"/>
          <w:szCs w:val="28"/>
          <w:lang w:eastAsia="zh-CN"/>
        </w:rPr>
        <w:t>(二)、社会责任与可持续发展</w:t>
      </w:r>
      <w:bookmarkEnd w:id="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会责任是在线企业资源规划行业项目的重要组成部分，我们致力于在项目实施过程中履行企业的社会责任，实现可持续发展。首先，我们积极参与社区建设和公益事业，回馈社会，提高当地居民的生活水平。通过与当地社区建立紧密联系，听取各方意见，确保项目的实施符合当地的社会文化和价值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在员工方面，我们注重提供良好的工作环境和培训机会，关注员工的职业发展和福祉。通过建立公平的薪酬体系和激励机制，激发员工的工作积极性，增强团队凝聚力。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此外,我们在项目中推崇绿色供应链理念，与合作伙伴共同致力于推动可持续发展。通过与供应商建立长期稳定的合作伙伴关系，共同探索环保型材料和生产工艺，共同追求绿色、低碳的发展方向。</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5" w:name="_Toc9186"/>
      <w:r>
        <w:rPr>
          <w:rFonts w:ascii="微软雅黑" w:eastAsia="微软雅黑" w:hAnsi="微软雅黑" w:cs="微软雅黑" w:hint="eastAsia"/>
          <w:color w:val="2E54A1" w:themeColor="accent1" w:themeShade="BF"/>
          <w:sz w:val="32"/>
          <w:szCs w:val="32"/>
          <w:lang w:eastAsia="zh-CN"/>
        </w:rPr>
        <w:t>二、资金筹措与投资分析</w:t>
      </w:r>
      <w:bookmarkEnd w:id="5"/>
    </w:p>
    <w:p>
      <w:pPr>
        <w:pStyle w:val="Heading2"/>
        <w:spacing w:line="480" w:lineRule="auto"/>
        <w:rPr>
          <w:rFonts w:ascii="宋体" w:eastAsia="宋体" w:hAnsi="宋体" w:cs="宋体" w:hint="eastAsia"/>
          <w:bCs w:val="0"/>
          <w:sz w:val="28"/>
          <w:szCs w:val="28"/>
          <w:lang w:eastAsia="zh-CN"/>
        </w:rPr>
      </w:pPr>
      <w:bookmarkStart w:id="6" w:name="_Toc12628"/>
      <w:r>
        <w:rPr>
          <w:rFonts w:ascii="宋体" w:eastAsia="宋体" w:hAnsi="宋体" w:cs="宋体" w:hint="eastAsia"/>
          <w:b/>
          <w:bCs w:val="0"/>
          <w:sz w:val="28"/>
          <w:szCs w:val="28"/>
          <w:lang w:eastAsia="zh-CN"/>
        </w:rPr>
        <w:t>(一)、资金需求与筹措计划</w:t>
      </w:r>
      <w:bookmarkEnd w:id="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在线企业资源规划行业项目启动之初,充足的资金是确保项目成功实施的关键要素。首先，我们进行了详细的资金需求分析，考虑到项目的各个阶段，包括研发、市场推广、运营等方面的费用。通过制定合理的预算，明确了项目整体的资金需求。为了筹措这些资金，我们制定了多元化的筹资计划。</w:t>
      </w:r>
    </w:p>
    <w:p>
      <w:pPr>
        <w:spacing w:line="480" w:lineRule="auto"/>
        <w:ind w:firstLine="420" w:firstLineChars="0"/>
        <w:rPr>
          <w:rFonts w:ascii="宋体" w:eastAsia="宋体" w:hAnsi="宋体" w:cs="宋体" w:hint="eastAsia"/>
          <w:sz w:val="24"/>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金的筹措途径主要包括银行贷款、股权融资以及可能的政府补助。通过与多家银行洽谈贷款条件，我们力求获得较低利率和灵活的还款期限,以确保项目在财务方面的可持续性。同时,开展股权融资，吸引潜在投资者，为项目引入更多的资金。此外，积极了解相关的政府支持政策，争取符合条件的项目获得更多的补助和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在资金的使用方面，我们将资金重点用于项目的关键节点，如研发和市场推广阶段。通过科学合理的资金分配，确保了项目在关键领域的竞争力，提高了项目整体的成功概率。</w:t>
      </w:r>
    </w:p>
    <w:p>
      <w:pPr>
        <w:pStyle w:val="Heading2"/>
        <w:spacing w:line="480" w:lineRule="auto"/>
        <w:rPr>
          <w:rFonts w:ascii="宋体" w:eastAsia="宋体" w:hAnsi="宋体" w:cs="宋体" w:hint="eastAsia"/>
          <w:bCs w:val="0"/>
          <w:sz w:val="28"/>
          <w:szCs w:val="28"/>
          <w:lang w:eastAsia="zh-CN"/>
        </w:rPr>
      </w:pPr>
      <w:bookmarkStart w:id="7" w:name="_Toc11090"/>
      <w:r>
        <w:rPr>
          <w:rFonts w:ascii="宋体" w:eastAsia="宋体" w:hAnsi="宋体" w:cs="宋体" w:hint="eastAsia"/>
          <w:b/>
          <w:bCs w:val="0"/>
          <w:sz w:val="28"/>
          <w:szCs w:val="28"/>
          <w:lang w:eastAsia="zh-CN"/>
        </w:rPr>
        <w:t>(二)、投资分析与回报预期</w:t>
      </w:r>
      <w:bookmarkEnd w:id="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进行了全面的投资分析，考虑了项目的风险与回报。首先，通过对在线企业资源规划行业趋势和市场规模的深入研究,我们对项目的市场地位和前景进行了合理的估算。同时，对竞争对手进行深入分析，识别了项目可能面临的潜在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在资金投入方面，我们对各个阶段的成本进行了详细的估算，包括初期投资、运营费用和市场推广费用等。通过制定详细的财务计划，我们清晰地了解了项目在不同时间段内的资金流动情况。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在回报预期方面，我们通过制定合理的商业计划和财务模型，对项目的盈利能力进行了全面的评估。考虑到市场的不确定性，我们在回报预期中进行了风险分析,确保投资者能够清晰了解潜在的风险和回报比。</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8" w:name="_Toc9160"/>
      <w:r>
        <w:rPr>
          <w:rFonts w:ascii="微软雅黑" w:eastAsia="微软雅黑" w:hAnsi="微软雅黑" w:cs="微软雅黑" w:hint="eastAsia"/>
          <w:color w:val="2E54A1" w:themeColor="accent1" w:themeShade="BF"/>
          <w:sz w:val="32"/>
          <w:szCs w:val="32"/>
          <w:lang w:eastAsia="zh-CN"/>
        </w:rPr>
        <w:t>三、在线企业资源规划行业运营管理及商业模式分析</w:t>
      </w:r>
      <w:bookmarkEnd w:id="8"/>
    </w:p>
    <w:p>
      <w:pPr>
        <w:pStyle w:val="Heading2"/>
        <w:spacing w:line="480" w:lineRule="auto"/>
        <w:rPr>
          <w:rFonts w:ascii="宋体" w:eastAsia="宋体" w:hAnsi="宋体" w:cs="宋体" w:hint="eastAsia"/>
          <w:bCs w:val="0"/>
          <w:sz w:val="28"/>
          <w:szCs w:val="28"/>
          <w:lang w:eastAsia="zh-CN"/>
        </w:rPr>
      </w:pPr>
      <w:bookmarkStart w:id="9" w:name="_Toc24256"/>
      <w:r>
        <w:rPr>
          <w:rFonts w:ascii="宋体" w:eastAsia="宋体" w:hAnsi="宋体" w:cs="宋体" w:hint="eastAsia"/>
          <w:b/>
          <w:bCs w:val="0"/>
          <w:sz w:val="28"/>
          <w:szCs w:val="28"/>
          <w:lang w:eastAsia="zh-CN"/>
        </w:rPr>
        <w:t>(一)、在线企业资源规划行业数字化发展方案</w:t>
      </w:r>
      <w:bookmarkEnd w:id="9"/>
    </w:p>
    <w:p>
      <w:pPr>
        <w:spacing w:line="480" w:lineRule="auto"/>
        <w:ind w:firstLine="420" w:firstLineChars="0"/>
        <w:rPr>
          <w:rFonts w:ascii="宋体" w:eastAsia="宋体" w:hAnsi="宋体" w:cs="宋体" w:hint="eastAsia"/>
          <w:sz w:val="24"/>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sz w:val="24"/>
          <w:szCs w:val="24"/>
          <w:lang w:eastAsia="zh-CN"/>
        </w:rPr>
        <w:t>(一)线上销售平台构建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伴随着互联网的高速蓬勃发展，在线企业资源规划行业计划构建一体化的线上销售平台，以拓展销售渠道，为消费者提供更为便捷的购物体验。此平台的关键特点包括：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1.产品展示：在该平台上展示在线企业资源规划行业多款式、多颜色和不同材质的产品，以迎合各类消费者的个性需求。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2.在线购买：消费者可直接在平台上选择并购买产品，提供多样支付方式，并提供可靠的物流服务。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3.个性化定制：在线企业资源规划行业将提供个性化定制服务，使消费者可以根据需求选择产品的尺寸、颜色和款式，满足其独特的装饰要求。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4.用户评价和推荐：平台将开放用户对购买产品的评价和推荐功能，为其他消费者提供可信的购物建议。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5.促销活动：通过平台进行促销活动，吸引消费者关注，提高销售额，例如限时特惠、打折促销等。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(二)数据分析技术在运营中的应用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在线企业资源规划行业将充分运用数据分析技术,深入了解消费者的购物习惯、偏好和需求，以更有效地管理和运营业务。核心的数据分析技术应用有：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1.人工智能和机器学习：运用人工智能和机器学习算法，分析消费者的购物历史和行为模式，预测未来购买倾向，为消费者提供个性化的推荐和服务。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2.用户数据收集：在线企业资源规划行业将收集并分析消费者在平台上的浏览、购买和评价等数据，深入了解产品受欢迎度和需求，以优化产品策略和市场定位。</w:t>
      </w:r>
    </w:p>
    <w:p>
      <w:pPr>
        <w:spacing w:line="480" w:lineRule="auto"/>
        <w:ind w:firstLine="420" w:firstLineChars="0"/>
        <w:rPr>
          <w:rFonts w:ascii="宋体" w:eastAsia="宋体" w:hAnsi="宋体" w:cs="宋体" w:hint="eastAsia"/>
          <w:sz w:val="24"/>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3.运营效率提升：通过分析供应链和物流数据，在线企业资源规划行业将优化库存管理和订单处理流程，提升运营效率和客户满意度。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4.市场趋势分析：敏锐分析市场趋势和竞争对手动态，及时调整产品策略和定价，以保持市场的高度敏感性。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(三)线上线下体验的整合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尽管数字化发展为在线企业资源规划行业带来更多销售机会,但由于产品的独特性，线上线下体验的有机整合仍然至关重要：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1.实体店展示：在实体店内设置样品展示区，呈现出不同风格和材质的产品，使消费者亲身感受产品的品质和设计。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2.虚拟试装：发展虚拟试装应用程序，让消费者通过上传个人照片，在应用程序中试穿不同款式的产品，更好地了解搭配效果，辅助购物决策。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3.线上预约与线下服务：提供线上预约服务，使消费者在实体店内享受更个性化的服务,例如专业的装饰建议和对定制需求的深入沟通。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4.活动整合：将线上线下活动有机结合，如线上促销活动与实体店联动，提升品牌曝光度，加深消费者对在线企业资源规划行业的认知。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(四)提升用户互动体验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为了进一步增强与消费者之间的互动和黏性，在线企业资源规划行业将采取以下措施：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1.社交媒体整合：将线上销售平台与主要社交媒体整合，通过分享、评论和点赞等社交功能，扩大品牌影响力，增加用户互动。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2.品牌故事传播：通过生动有趣的品牌故事，向用户传达在线企业资源规划行业的核心价值和文化，激发用户对品牌的情感认同，提升用户黏性。</w:t>
      </w:r>
    </w:p>
    <w:p>
      <w:pPr>
        <w:spacing w:line="480" w:lineRule="auto"/>
        <w:ind w:firstLine="420" w:firstLineChars="0"/>
        <w:rPr>
          <w:rFonts w:ascii="宋体" w:eastAsia="宋体" w:hAnsi="宋体" w:cs="宋体" w:hint="eastAsia"/>
          <w:sz w:val="24"/>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3.虚拟活动举办：在线上平台定期举办虚拟活动，如线上时装秀、明星见面会等，吸引用户参与，拉近品牌与用户之间的距离。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(五)持续优化用户体验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在线企业资源规划行业将不断优化用户体验，提高用户满意度，为此将进行以下方面的改进：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1.界面设计升级：不断升级线上销售平台的界面设计，使其更加直观、易用，提高用户在平台上的浏览和购物体验。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2.客户服务完善：建立全方位的客户服务体系，包括在线咨询、投诉处理等，确保用户在购物过程中能够获得及时、有效的帮助。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3.物流配送优化：与可靠的物流公司合作，优化配送流程，提高配送速度，确保产品及时送达，增强用户对在线企业资源规划行业的信赖度。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(六)品牌社会责任推动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为深化品牌影响力，在线企业资源规划行业将积极履行社会责任，推动可持续发展：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1.环保倡导：强调产品的环保特性，积极推动环保理念，关注原材料的可持续性，减少对环境的不良影响。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2.慈善合作：与慈善机构合作，进行公益活动，履行企业社会责任，为社会做出积极贡献。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3.员工培训：通过为员工提供培训，提高其社会责任意识，</w:t>
      </w:r>
    </w:p>
    <w:p>
      <w:pPr>
        <w:spacing w:line="480" w:lineRule="auto"/>
        <w:ind w:firstLine="420" w:firstLineChars="0"/>
        <w:rPr>
          <w:rFonts w:ascii="宋体" w:eastAsia="宋体" w:hAnsi="宋体" w:cs="宋体" w:hint="eastAsia"/>
          <w:sz w:val="24"/>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sz w:val="24"/>
          <w:szCs w:val="24"/>
          <w:lang w:eastAsia="zh-CN"/>
        </w:rPr>
        <w:t>通过以上持续优化的措施，在线企业资源规划行业旨在建立一个全方位、可持续发展的数字化体验，提升用户的购物满意度，巩固并扩大品牌的市场份额。</w:t>
      </w:r>
    </w:p>
    <w:p>
      <w:pPr>
        <w:pStyle w:val="Heading2"/>
        <w:spacing w:line="480" w:lineRule="auto"/>
        <w:rPr>
          <w:rFonts w:ascii="宋体" w:eastAsia="宋体" w:hAnsi="宋体" w:cs="宋体" w:hint="eastAsia"/>
          <w:bCs w:val="0"/>
          <w:sz w:val="28"/>
          <w:szCs w:val="28"/>
          <w:lang w:eastAsia="zh-CN"/>
        </w:rPr>
      </w:pPr>
      <w:bookmarkStart w:id="10" w:name="_Toc31165"/>
      <w:r>
        <w:rPr>
          <w:rFonts w:ascii="宋体" w:eastAsia="宋体" w:hAnsi="宋体" w:cs="宋体" w:hint="eastAsia"/>
          <w:b/>
          <w:bCs w:val="0"/>
          <w:sz w:val="28"/>
          <w:szCs w:val="28"/>
          <w:lang w:eastAsia="zh-CN"/>
        </w:rPr>
        <w:t>(二)、在线企业资源规划行业新型运营方式</w:t>
      </w:r>
      <w:bookmarkEnd w:id="1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(一)智能化产品推广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为适应市场趋势，在线企业资源规划行业致力于采用智能化的产品推广方式，通过创新手段提升产品曝光和推广效果：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1.精准广告策略：运用先进的人工智能技术，制定精准的广告投放策略，确保广告更精准地触达目标受众，提高点击率和转化率。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2.虚拟购物助手升级：深化虚拟购物助手应用，引入更先进的对话系统和推荐算法，使其成为用户在购物过程中的智能伙伴，提供个性化推荐和定制建议。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3.沉浸式体验技术：进一步整合增强现实(AR)和虚拟现实(VR)技术，为消费者创造沉浸式的产品展示体验，使其更全面地了解产品特色与优势。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4.社交媒体创新宣传：在社交媒体平台上探索创新宣传形式，如短视频、互动内容等，增加用户参与度，形成有趣且引人注目的品牌形象。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(二)线上线下结合销售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在线企业资源规划行业将深化线上线下融合，通过巧妙结合实现销售渠道的多元化和销售效果的互补：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1.全渠道互动体验：搭建全渠道互动平台，通过线上引流，线下店铺体验,实现全方位的产品展示与销售，提升用户购物的多样性体验。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2.智能化购物引导：利用智能化技术，在线上平台为消费者提供个性化的购物引导,同时引导线下店铺的销售人员更好地满足顾客需求。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3.数据共享与互通：优化线上线下数据管理系统，实现销售数据的实时共享，确保库存、订单等信息的及时互通，提升供应链效率。</w:t>
      </w:r>
    </w:p>
    <w:p>
      <w:pPr>
        <w:spacing w:line="480" w:lineRule="auto"/>
        <w:ind w:firstLine="420" w:firstLineChars="0"/>
        <w:rPr>
          <w:rFonts w:ascii="宋体" w:eastAsia="宋体" w:hAnsi="宋体" w:cs="宋体" w:hint="eastAsia"/>
          <w:sz w:val="24"/>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sz w:val="24"/>
          <w:szCs w:val="24"/>
          <w:lang w:eastAsia="zh-CN"/>
        </w:rPr>
        <w:t>(三)增值服务和个性定制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为满足不断升级的消费者需求，在线企业资源规划行业将不断升级增值服务和个性定制方案：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1.全方位个性化定制：拓展个性化定制服务，提供更多元化的选择，如个性化包装、刻字定制等，满足不同层次的个性需求。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2.Al驱动的增值体验：引入人工智能技术，通过对消费者行为的深度分析，提供更具针对性的增值服务，如个性化推荐、定期产品更新等。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3.增值服务会员计划：推出更完善的增值服务会员计划，为会员提供独特的福利和服务，提高会员忠诚度。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(四)绿色环保理念倡导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作为社会责任的践行者，在线企业资源规划行业将进一步倡导绿色环保理念，通过以下方式积极实践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1.可持续包装创新：不断创新绿色包装设计，采用可降解、可回收的材料，降低对环境的影响。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2.供应链绿色标准：要求供应商符合绿色生产标准，选择环保材料，推动整个供应链的绿色化。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3.员工环保培训：通过培训员工环保理念，提高员工对环保问题的认识，使其成为绿色生产的积极推动者。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(五)品牌联合和跨界合作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为扩大品牌影响力，在线企业资源规划行业将积极寻求品牌联合和跨界合作的机会：</w:t>
      </w:r>
    </w:p>
    <w:p>
      <w:pPr>
        <w:spacing w:line="480" w:lineRule="auto"/>
        <w:ind w:firstLine="420" w:firstLineChars="0"/>
        <w:rPr>
          <w:rFonts w:ascii="宋体" w:eastAsia="宋体" w:hAnsi="宋体" w:cs="宋体" w:hint="eastAsia"/>
          <w:sz w:val="24"/>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sz w:val="24"/>
          <w:szCs w:val="24"/>
          <w:lang w:eastAsia="zh-CN"/>
        </w:rPr>
        <w:t>1.全球设计师合作：寻求与国际知名设计师的合作，共同推出独特的设计系列产品，提升品牌设计水平。</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2.在线企业资源规划行业创新合作：与其他在线企业资源规划行业进行更深度的创新合作，如科技、艺术等，推出更具前瞻性的产品。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3.社交媒体平台深度合作：与社交媒体平台展开深度合作，通过社交媒体渠道推动品牌传播，提高品牌知名度和用户黏性。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(六)新型运营方式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为推动在线企业资源规划行业的全面发展,新型运营方式将进一步塑造品牌形象和提升市场竞争力：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1.智能化产品推广：强化智能化产品推广，通过人工智能技术提高广告的个性化和用户体验。引入语音搜索技术，使消费者可以更便捷地搜索和了解产品信息。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2.线上线下结合销售：深入挖掘线上线下结合的潜力，通过大数据分析，调整产品在不同渠道的定位，实现更精准的销售策略。引入虚拟现实(VR)和实际体验相结合的线下展示，营造独特购物氛围。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3.增值服务和个性定制：拓展增值服务范围，包括定期更新的增值服务包，为消费者提供更多专属福利。推出更多Al智能建议，根据用户的购物历史和喜好，提供个性化产品推荐。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4.绿色环保理念倡导：深化绿色环保理念，建立全球环保倡议，与其他企业合作推动产业的绿色升级。积极参与环保公益活动，提高品牌的社会责任感。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5.品牌联合和跨界合作：不断寻求创新性的品牌联合和跨界合作，与环保组织、艺术家和科技公司等展开深度合作，推动品牌更多元化的发展。</w:t>
      </w:r>
    </w:p>
    <w:p>
      <w:pPr>
        <w:spacing w:line="480" w:lineRule="auto"/>
        <w:ind w:firstLine="420" w:firstLineChars="0"/>
        <w:rPr>
          <w:rFonts w:ascii="宋体" w:eastAsia="宋体" w:hAnsi="宋体" w:cs="宋体" w:hint="eastAsia"/>
          <w:sz w:val="24"/>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在线企业资源规划行业将巩固其在市场上的地位，实现品牌的可持续增长和全球化发展。这不仅有助于满足消费者多元化的需求，同时也将促使企业在在线企业资源规划行业中更具领导力和创新力。</w:t>
      </w:r>
    </w:p>
    <w:p>
      <w:pPr>
        <w:pStyle w:val="Heading2"/>
        <w:spacing w:line="480" w:lineRule="auto"/>
        <w:rPr>
          <w:rFonts w:ascii="宋体" w:eastAsia="宋体" w:hAnsi="宋体" w:cs="宋体" w:hint="eastAsia"/>
          <w:bCs w:val="0"/>
          <w:sz w:val="28"/>
          <w:szCs w:val="28"/>
          <w:lang w:eastAsia="zh-CN"/>
        </w:rPr>
      </w:pPr>
      <w:bookmarkStart w:id="11" w:name="_Toc23116"/>
      <w:r>
        <w:rPr>
          <w:rFonts w:ascii="宋体" w:eastAsia="宋体" w:hAnsi="宋体" w:cs="宋体" w:hint="eastAsia"/>
          <w:b/>
          <w:bCs w:val="0"/>
          <w:sz w:val="28"/>
          <w:szCs w:val="28"/>
          <w:lang w:eastAsia="zh-CN"/>
        </w:rPr>
        <w:t>(三)、在线企业资源规划行业风险管理</w:t>
      </w:r>
      <w:bookmarkEnd w:id="1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1.市场风险管理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市场的不确定性对在线企业资源规划行业构成了潜在威胁。为了降低市场风险，公司将采用以下策略：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市场调研与趋势分析：定期进行全面的市场调研，深入了解客户需求和竞争态势，及时调整产品策略以适应市场变化。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多元化产品线：提供多样化的产品线，以迎合不同客户群体的需求，减轻单一产品或市场的风险。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快速响应机制：设立灵活的生产和供应链体系，使公司能够迅速应对市场变化，保持竞争力。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2.供应链风险管理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在线企业资源规划行业的制品涉及复杂的供应链，因此对供应链的风险进行全面管理至关重要：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供应商多元化：建立多个供应商合作关系，减少对单一供应商的依赖，降低由供应链中断引起的潜在风险。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紧急计划和备货：制定完善的紧急计划，确保公司在面临供应链问题时能够及时调整，并保持足够的备货水平。</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3.技术风险管理</w:t>
      </w:r>
    </w:p>
    <w:p>
      <w:pPr>
        <w:spacing w:line="480" w:lineRule="auto"/>
        <w:ind w:firstLine="420" w:firstLineChars="0"/>
        <w:rPr>
          <w:rFonts w:ascii="宋体" w:eastAsia="宋体" w:hAnsi="宋体" w:cs="宋体" w:hint="eastAsia"/>
          <w:sz w:val="24"/>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sz w:val="24"/>
          <w:szCs w:val="24"/>
          <w:lang w:eastAsia="zh-CN"/>
        </w:rPr>
        <w:t>随着科技的快速发展，在线企业资源规划行业需要不断创新以维持竞争优势。技术风险管理措施包括：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技术团队建设：拥有高效的技术团队，持续跟踪在线企业资源规划行业技术发展，确保产品技术水平和生产工艺的先进性。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技术创新投资：将资金投入研发和创新，引入最新技术，提高产品的技术含量，以适应市场的技术需求。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4.品牌声誉风险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管理品牌声誉是在线企业资源规划行业最为珍贵的资产之一。为保护品牌声誉，公司将采取以下手段：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危机管理团队：建立专业的危机管理团队，制定详尽的危机管理计划，能够在危机发生时迅速做出反应。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透明沟通机制：建立透明的沟通渠道，及时向客户和合作伙伴传递准确信息，减少虚假信息传播对品牌声誉的负面影响。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5.法律合规风险管理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在线企业资源规划行业在国际市场运营，因此法律合规风险管理尤为关键：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全球法务团队：组建专业的全球法务团队，及时了解并遵守各地法规，确保企业运营合法性。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合规培训：为员工提供法律合规培训，确保其在工作中能够识别和遵守相关法规。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法律风险评估：定期进行法律风险评估，以便及时应对潜在法律风险，确保公司的经营活动不受到不必要的法律纠纷。</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6.金融风险管理</w:t>
      </w:r>
    </w:p>
    <w:p>
      <w:pPr>
        <w:spacing w:line="480" w:lineRule="auto"/>
        <w:ind w:firstLine="420" w:firstLineChars="0"/>
        <w:rPr>
          <w:rFonts w:ascii="宋体" w:eastAsia="宋体" w:hAnsi="宋体" w:cs="宋体" w:hint="eastAsia"/>
          <w:sz w:val="24"/>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sz w:val="24"/>
          <w:szCs w:val="24"/>
          <w:lang w:eastAsia="zh-CN"/>
        </w:rPr>
        <w:t>由于金融市场的波动，在线企业资源规划行业可能面临着多种金融风险。为了有效管理这些风险，公司将采取以下措施：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财务管理团队：组建专业的财务管理团队，密切关注汇率、利率等金融市场变化，及时制定应对方案。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风险对冲：使用金融工具进行风险对冲，降低由于外汇波动和利率变化带来的财务风险。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灵活财务计划：制定灵活的财务计划，根据市场环境变化，调整资金结构，确保公司的资金链畅通。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7.环境和社会责任风险管理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随着社会对环境和社会责任的关注不断提高，在线企业资源规划行业将积极管理相关风险：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环保生产实践：推行环保生产政策，选择环保材料，减少生产过程中的环境污染。</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社会责任项目：推动社会责任项目，参与公益活动,回馈社会，树立积极的企业形象。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员工培训：通过员工培训，提高员工对环境保护和社会责任的认识，促进全员参与公司的环保实践。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8.人才管理风险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在线企业资源规划行业在业务运营中依赖于高素质的人才。为了有效管理人才风险，公司将采取以下策略：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人才招聘与培训：确保拥有招聘渠道多元化，同时注重培训和发展内部人才，以满足业务的不断发展需求。</w:t>
      </w:r>
    </w:p>
    <w:p>
      <w:pPr>
        <w:spacing w:line="480" w:lineRule="auto"/>
        <w:ind w:firstLine="420" w:firstLineChars="0"/>
        <w:rPr>
          <w:rFonts w:ascii="宋体" w:eastAsia="宋体" w:hAnsi="宋体" w:cs="宋体" w:hint="eastAsia"/>
          <w:sz w:val="24"/>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sz w:val="24"/>
          <w:szCs w:val="24"/>
          <w:lang w:eastAsia="zh-CN"/>
        </w:rPr>
        <w:t>员工福利与激励：提供有竞争力的员工福利和激励计划，以留住关键人才，确保业务的连续性和稳健性。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绩效评估与晋升机制：建立科学的绩效评估和晋升机制，激发员工的潜力，提高整体团队的执行力和竞争力。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9.数据安全与隐私风险管理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随着数字化的推进，在线企业资源规划行业在业务中处理大量敏感数据。为了保护数据安全与隐私，公司将采用以下措施：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信息安全政策：制定和实施严格的信息安全政策，确保数据在采集、传输和存储的过程中得到充分的保护。</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员工培训与意识提升：向员工提供关于数据安全和隐私的培训，提高其对安全风险的认识，降低因人为因素引起的潜在风险。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技术防护措施：部署先进的技术防护手段，如加密技术和安全审计系统，以防范外部攻击和数据泄漏。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10.全球政治与地缘风险管理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在线企业资源规划行业在国际市场运营，因此全球政治和地缘风险可能对业务产生影响。为了应对这些风险，公司将采取以下举措：</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政治风险评估：定期评估全球各地的政治形势，了解可能对业务造成的政治风险，并制定相应的因应计划。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多元化市场布局：分散业务在不同地区的依赖，以降低因特定地区政治不稳定性而带来的潜在风险。</w:t>
      </w:r>
    </w:p>
    <w:p>
      <w:pPr>
        <w:spacing w:line="480" w:lineRule="auto"/>
        <w:ind w:firstLine="420" w:firstLineChars="0"/>
        <w:rPr>
          <w:rFonts w:ascii="宋体" w:eastAsia="宋体" w:hAnsi="宋体" w:cs="宋体" w:hint="eastAsia"/>
          <w:sz w:val="24"/>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sz w:val="24"/>
          <w:szCs w:val="24"/>
          <w:lang w:eastAsia="zh-CN"/>
        </w:rPr>
        <w:t>国际合作与关系建设：积极参与国际合作，建立良好的国际关系，以提高在不同地区的稳定性和可持续性。</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2" w:name="_Toc9341"/>
      <w:r>
        <w:rPr>
          <w:rFonts w:ascii="微软雅黑" w:eastAsia="微软雅黑" w:hAnsi="微软雅黑" w:cs="微软雅黑" w:hint="eastAsia"/>
          <w:color w:val="2E54A1" w:themeColor="accent1" w:themeShade="BF"/>
          <w:sz w:val="32"/>
          <w:szCs w:val="32"/>
          <w:lang w:eastAsia="zh-CN"/>
        </w:rPr>
        <w:t>四、在线企业资源规划行业人力资源管理策略</w:t>
      </w:r>
      <w:bookmarkEnd w:id="12"/>
    </w:p>
    <w:p>
      <w:pPr>
        <w:pStyle w:val="Heading2"/>
        <w:spacing w:line="480" w:lineRule="auto"/>
        <w:rPr>
          <w:rFonts w:ascii="宋体" w:eastAsia="宋体" w:hAnsi="宋体" w:cs="宋体" w:hint="eastAsia"/>
          <w:bCs w:val="0"/>
          <w:sz w:val="28"/>
          <w:szCs w:val="28"/>
          <w:lang w:eastAsia="zh-CN"/>
        </w:rPr>
      </w:pPr>
      <w:bookmarkStart w:id="13" w:name="_Toc16635"/>
      <w:r>
        <w:rPr>
          <w:rFonts w:ascii="宋体" w:eastAsia="宋体" w:hAnsi="宋体" w:cs="宋体" w:hint="eastAsia"/>
          <w:b/>
          <w:bCs w:val="0"/>
          <w:sz w:val="28"/>
          <w:szCs w:val="28"/>
          <w:lang w:eastAsia="zh-CN"/>
        </w:rPr>
        <w:t>(一)、在线企业资源规划行业人力资源管理原则</w:t>
      </w:r>
      <w:bookmarkEnd w:id="1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1.择优而用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人才招聘中，择优而用是确保企业长期成功的首要原则。通过细致入微的面试和评估流程,我们能够识别并吸引具备适应力、技能娴熟、经验丰富的候选人。这种选择最适合职位需求的方法，将为团队的协同工作和业务目标的实现翼定坚实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2.培养与发展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注重员工培训与发展是建设富有创造力和创新力团队的关键步骤。我们制定个性化的培训计划，以提高员工的专业技能，并通过提供职业发展通道,激发员工的学习热情,使其在职业生涯中持续进步。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3.公平薪酬体系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建立公平合理的薪酬体系，是对员工贡献和表现的公正回报。我们致力于确保薪酬结构的透明度，以便员工理解薪酬决策的依据，激发其更高的工作积极性和创造力。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4.激励与奖励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激励机制和奖励制度是激发员工积极性的有效手段。通过设立晋升机会、提供年终奖金、优厚的员工福利等，我们努力确保员工在公司取得显著成就时能够得到公平而有力的回报。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5.平等对待</w:t>
      </w:r>
    </w:p>
    <w:p>
      <w:pPr>
        <w:spacing w:line="480" w:lineRule="auto"/>
        <w:ind w:firstLine="420" w:firstLineChars="0"/>
        <w:rPr>
          <w:rFonts w:ascii="宋体" w:eastAsia="宋体" w:hAnsi="宋体" w:cs="宋体" w:hint="eastAsia"/>
          <w:sz w:val="24"/>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在招聘、晋升、薪酬等决策中，我们始终坚持平等对待的原则，不受性别、年龄、种族、宗教信仰等因素的干扰。这有助于建立一个公正、平等的工作环境，吸引并留住多样化的人才。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6.工作生活平衡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我们关注员工的工作生活平衡，通过灵活的工作时间和假期政策，帮助员工更好地平衡工作和生活。这种关心有助于提高员工的工作满意度，增强员工对公司的忠诚度。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7.沟通透明</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保持沟通的透明度对于员工的投入和理解至关重要。我们建立开放的沟通渠道，及时与员工分享公司的发展战略、目标和变化，以确保员工始终了解公司的方向和决策过程。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8.多元团队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我们鼓励多元团队的建设，通过招聘具有不同背景、经验和观点的人才，创造一个充满创造力和创新力的工作环境。多元团队有助于更好地适应市场变化，提高公司的灵活性和竞争力。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9.员工参与与反馈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择优而用的原则中，员工参与与反馈是关键的环节。我们鼓励员工积极参与公司决策的过程,通过员工意见收集、定期座谈会等方式，倾听他们的声音，了解他们的需求和期望。这不仅有助于更好地满足员工的个体差异，还增加了员工对公司决策的理解和认同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10.灵活工作制度</w:t>
      </w:r>
    </w:p>
    <w:p>
      <w:pPr>
        <w:spacing w:line="480" w:lineRule="auto"/>
        <w:ind w:firstLine="420" w:firstLineChars="0"/>
        <w:rPr>
          <w:rFonts w:ascii="宋体" w:eastAsia="宋体" w:hAnsi="宋体" w:cs="宋体" w:hint="eastAsia"/>
          <w:sz w:val="24"/>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培养与发展的过程中，我们致力于建立灵活的工作制度。理解每个员工的工作风格和生活需求,我们提供弹性的工作时间和远程办公选项。这种灵活性有助于员工更好地平衡工作和生活，提高他们的工作效率和满意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11.精神健康关怀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平薪酬体系的建立不仅涉及物质回报,也关乎员工的整体幸福感。因此，我们注重员工的精神健康。提供心理健康支持、灵活的工作安排以及定期的团队活动，有助于维护员工的心理健康，提高他们的工作积极性和生活品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12.创新激励机制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激励与奖励不仅体现在薪酬上，还包括对员工创新的认可。我们设立创新激励机制，奖励提出创意和优化方案的员工。这激发了员工的创造力，推动公司在不断变化的市场中保持竞争优势。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13.持续学习文化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在平等对待的基础上,我们倡导持续学习的文化。为员工提供不断学习的机会，包括专业培训、知识分享平台等。这有助于员工不断提升自己的专业技能，适应在线企业资源规划行业和市场的快速变化。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14.领导力培养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激励与奖励制度中，注重对内部领导力的培养。通过领导力培训计划、mentor制度等，我们培养和提升公司内部的领导层。强大的领导团队是公司持续发展的重要支撑。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15.社会责任</w:t>
      </w:r>
    </w:p>
    <w:p>
      <w:pPr>
        <w:spacing w:line="480" w:lineRule="auto"/>
        <w:ind w:firstLine="420" w:firstLineChars="0"/>
        <w:rPr>
          <w:rFonts w:ascii="宋体" w:eastAsia="宋体" w:hAnsi="宋体" w:cs="宋体" w:hint="eastAsia"/>
          <w:sz w:val="24"/>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sz w:val="24"/>
          <w:szCs w:val="24"/>
          <w:lang w:eastAsia="zh-CN"/>
        </w:rPr>
        <w:t>平等对待的原则承载了公司的社会责任。我们将社会责任融入企业文化，通过参与公益活动、环保倡议等方式，使员工参与到社会责任的实践中。这不仅有助于树立公司的良好社会形象，也让员工感到自己是一个更有意义的组织的一部分。</w:t>
      </w:r>
    </w:p>
    <w:p>
      <w:pPr>
        <w:pStyle w:val="Heading2"/>
        <w:spacing w:line="480" w:lineRule="auto"/>
        <w:rPr>
          <w:rFonts w:ascii="宋体" w:eastAsia="宋体" w:hAnsi="宋体" w:cs="宋体" w:hint="eastAsia"/>
          <w:bCs w:val="0"/>
          <w:sz w:val="28"/>
          <w:szCs w:val="28"/>
          <w:lang w:eastAsia="zh-CN"/>
        </w:rPr>
      </w:pPr>
      <w:bookmarkStart w:id="14" w:name="_Toc32320"/>
      <w:r>
        <w:rPr>
          <w:rFonts w:ascii="宋体" w:eastAsia="宋体" w:hAnsi="宋体" w:cs="宋体" w:hint="eastAsia"/>
          <w:b/>
          <w:bCs w:val="0"/>
          <w:sz w:val="28"/>
          <w:szCs w:val="28"/>
          <w:lang w:eastAsia="zh-CN"/>
        </w:rPr>
        <w:t>(二)、在线企业资源规划行业劳动关系管理</w:t>
      </w:r>
      <w:bookmarkEnd w:id="1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1.招聘与录用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设计在线企业资源规划行业人员配置方案时,我们首先聚焦于招聘与录用的关键步骤。明确每个职位的技能要求和角色职责,我们通过多渠道的招聘，如招聘网站、社交平台以及校园招聘，寻找适应性强、经验丰富、专业技能突出的候选人。通过细致的面试和评估程序，确保新员工的优质加入，为团队的多元化和协同工作翼定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2.员工培训与发展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确保团队的专业素养和创新能力，我们关注员工培训与发展。制定全面的培训计划，结合内外部培训资源、专业课程和团队活动，提高员工的专业技能和团队协作水平。鼓励员工参与职业发展规划，为其提供晋升通道和跨部门学习机会,推动员工在职业生涯中的不断进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3.薪酬与福利管理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制定公平透明的薪酬与福利管理是吸引和留住优秀人才的关键。建立绩效考核体系，将薪酬与员工贡献直接挂钩，确保员工对薪酬结构的理解和认同。提供丰富多样的福利待遇，包括灵活的工作制度、健康保险和员工活动,关注员工的全面福祉，提升员工对企业的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4.绩效激励与奖励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关注绩效激励与奖励机制，我们通过设立明确的绩效评估标准，激发员工的工作积极性。每年的绩效评估中，提供公正的晋升机会、奖金和其他形式的奖励，以回报员工的出色表现，同时建立起积极的工作激励氛围。</w:t>
      </w:r>
    </w:p>
    <w:p>
      <w:pPr>
        <w:spacing w:line="480" w:lineRule="auto"/>
        <w:ind w:firstLine="420" w:firstLineChars="0"/>
        <w:rPr>
          <w:rFonts w:ascii="宋体" w:eastAsia="宋体" w:hAnsi="宋体" w:cs="宋体" w:hint="eastAsia"/>
          <w:sz w:val="24"/>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sz w:val="24"/>
          <w:szCs w:val="24"/>
          <w:lang w:eastAsia="zh-CN"/>
        </w:rPr>
        <w:t>5.团队建设与沟通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打造一个协调高效的在线企业资源规划行业团队,我们实施了多层次的团队建设与沟通机制。定期组织团队活动、培训课程和座谈会，促进团队成员之间的相互了解和信任。建立了开放透明的沟通渠道，确保领导与团队之间能够进行有效的信息共享，提高团队的协同工作效率，推动整体业务发展。</w:t>
      </w:r>
    </w:p>
    <w:p>
      <w:pPr>
        <w:pStyle w:val="Heading2"/>
        <w:spacing w:line="480" w:lineRule="auto"/>
        <w:rPr>
          <w:rFonts w:ascii="宋体" w:eastAsia="宋体" w:hAnsi="宋体" w:cs="宋体" w:hint="eastAsia"/>
          <w:bCs w:val="0"/>
          <w:sz w:val="28"/>
          <w:szCs w:val="28"/>
          <w:lang w:eastAsia="zh-CN"/>
        </w:rPr>
      </w:pPr>
      <w:bookmarkStart w:id="15" w:name="_Toc16996"/>
      <w:r>
        <w:rPr>
          <w:rFonts w:ascii="宋体" w:eastAsia="宋体" w:hAnsi="宋体" w:cs="宋体" w:hint="eastAsia"/>
          <w:b/>
          <w:bCs w:val="0"/>
          <w:sz w:val="28"/>
          <w:szCs w:val="28"/>
          <w:lang w:eastAsia="zh-CN"/>
        </w:rPr>
        <w:t>(三)、在线企业资源规划行业人员配置方案</w:t>
      </w:r>
      <w:bookmarkEnd w:id="1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1.项目经理：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职责：负责项目的整体规划、执行和监控，协调项目团队的工作，确保项目目标的达成。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技能：项目管理经验、领导能力、沟通协调能力。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2.项目团队成员(根据项目需求而定，可能包括):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业务分析师：负责收集和分析业务需求，协助制定项目计划。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开发人员：负责系统或产品的开发工作。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测试人员：负责测试和验证产品的功能和质量。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设计师：负责项目相关设计工作，可能包括图形设计、系统架构设计等。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3.技术支持团队：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职责：提供项目实施后的技术支持和维护服务。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技能：技术专业知识、解决问题的能力。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4.财务专员：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职责：负责项目预算的编制和监控，处理财务事务。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技能：财务管理知识、预算编制能力。</w:t>
      </w:r>
    </w:p>
    <w:p>
      <w:pPr>
        <w:spacing w:line="480" w:lineRule="auto"/>
        <w:ind w:firstLine="420" w:firstLineChars="0"/>
        <w:rPr>
          <w:rFonts w:ascii="宋体" w:eastAsia="宋体" w:hAnsi="宋体" w:cs="宋体" w:hint="eastAsia"/>
          <w:sz w:val="24"/>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宋体" w:eastAsia="宋体" w:hAnsi="宋体" w:cs="宋体" w:hint="eastAsia"/>
          <w:sz w:val="24"/>
          <w:szCs w:val="24"/>
          <w:lang w:eastAsia="zh-CN"/>
        </w:rPr>
        <w:t>5.沟通协调员：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职责：负责内外部沟通，协调项目各方面工作。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技能：良好的沟通能力、团队协作能力。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请注意,具体的人员配置方案应该根据项目的具体情况进行调整和完善。</w:t>
      </w:r>
    </w:p>
    <w:p>
      <w:pPr>
        <w:pStyle w:val="Heading2"/>
        <w:spacing w:line="480" w:lineRule="auto"/>
        <w:rPr>
          <w:rFonts w:ascii="宋体" w:eastAsia="宋体" w:hAnsi="宋体" w:cs="宋体" w:hint="eastAsia"/>
          <w:bCs w:val="0"/>
          <w:sz w:val="28"/>
          <w:szCs w:val="28"/>
          <w:lang w:eastAsia="zh-CN"/>
        </w:rPr>
      </w:pPr>
      <w:bookmarkStart w:id="16" w:name="_Toc9618"/>
      <w:r>
        <w:rPr>
          <w:rFonts w:ascii="宋体" w:eastAsia="宋体" w:hAnsi="宋体" w:cs="宋体" w:hint="eastAsia"/>
          <w:b/>
          <w:bCs w:val="0"/>
          <w:sz w:val="28"/>
          <w:szCs w:val="28"/>
          <w:lang w:eastAsia="zh-CN"/>
        </w:rPr>
        <w:t>(四)、在线企业资源规划行业员工招聘方案</w:t>
      </w:r>
      <w:bookmarkEnd w:id="1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1.招聘需求分析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招聘需求分析阶段,我们深入了解各部门的工作需求和业务规划，与部门经理和团队领导密切合作。通过详细的职位描述，我们明确每个职位的职责、技能要求和所需经验。这有助于确保招聘计划与公司的长期战略和短期目标保持一致。我们通过员工评估、团队规模评估和未来业务发展预测，量化招聘需求，确保新员工的加入对公司整体业务目标的达成起到积极作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2.制定招聘渠道</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制定招聘渠道时,我们采取多管齐下的策略,以确保覆盖面广，吸引到多样化的人才。除了利用传统的招聘网站和社交媒体平台，我们还积极参与在线企业资源规划行业相关的招聘会和专业活动,以建立更紧密的原油行业联系。与此同时，我们与高校建立紧密的合作关系，通过校园招聘和实习项目，吸引优秀的新毕业生。通过这样的多渠道招聘策略，我们确保了招聘过程的多样性和全面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3.招聘流程设计</w:t>
      </w:r>
    </w:p>
    <w:p>
      <w:pPr>
        <w:spacing w:line="480" w:lineRule="auto"/>
        <w:ind w:firstLine="420" w:firstLineChars="0"/>
        <w:rPr>
          <w:rFonts w:ascii="宋体" w:eastAsia="宋体" w:hAnsi="宋体" w:cs="宋体" w:hint="eastAsia"/>
          <w:sz w:val="24"/>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注重招聘流程的设计，以确保高效而有序的招聘过程。我们引入了招聘管理系统，通过自动化和信息化的手段，优化了招聘流程的各个环节。从简历筛选、面试安排到最终录用，每个步骤都有明确的流程和标准。我们注重与候选人的沟通，提供实时的反馈，以提升整体招聘体验。通过这样的设计，我们旨在降低招聘周期，吸引更多优秀的候选人加入我们的团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4.员工培训计划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确保新员工能够快速适应公司文化和工作环境,我们制定了全面的员工培训计划。入职培训包括公司历史、价值观和团队文化的介绍，以及基础的工作规范培训。此外，我们提供专业技能培训，以帮助员工提高在特定领域的能力。我们强调团队协作和沟通技能的培养，以促进整个团队的协同工作。培训计划不仅关注新员工，也为现有员工提供定期的职业发展机会,确保每个员工在职业生涯中都能持续学习和成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5.薪酬福利设计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薪酬福利设计方面，我们根据市场调研和员工需求，制定了灵活而具有竞争力的薪酬体系。我们关注在线企业资源规划行业薪酬水平，确保员工的薪酬符合市场标准。同时，我们提供全面的福利待遇，包括健康保险、弹性工作制度、员工活动和奖励计划等。这样的薪酬福利体系有助于吸引高素质的人才，并提高员工的工作满意度，增强员工对公司的忠诚度。</w:t>
      </w:r>
    </w:p>
    <w:p>
      <w:pPr>
        <w:pStyle w:val="Heading2"/>
        <w:spacing w:line="480" w:lineRule="auto"/>
        <w:rPr>
          <w:rFonts w:ascii="宋体" w:eastAsia="宋体" w:hAnsi="宋体" w:cs="宋体" w:hint="eastAsia"/>
          <w:bCs w:val="0"/>
          <w:sz w:val="28"/>
          <w:szCs w:val="28"/>
          <w:lang w:eastAsia="zh-CN"/>
        </w:rPr>
      </w:pPr>
      <w:bookmarkStart w:id="17" w:name="_Toc17131"/>
      <w:r>
        <w:rPr>
          <w:rFonts w:ascii="宋体" w:eastAsia="宋体" w:hAnsi="宋体" w:cs="宋体" w:hint="eastAsia"/>
          <w:b/>
          <w:bCs w:val="0"/>
          <w:sz w:val="28"/>
          <w:szCs w:val="28"/>
          <w:lang w:eastAsia="zh-CN"/>
        </w:rPr>
        <w:t>(五)、在线企业资源规划行业绩效和薪酬管理方案</w:t>
      </w:r>
      <w:bookmarkEnd w:id="1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1.绩效管理方案</w:t>
      </w:r>
    </w:p>
    <w:p>
      <w:pPr>
        <w:spacing w:line="480" w:lineRule="auto"/>
        <w:ind w:firstLine="420" w:firstLineChars="0"/>
        <w:rPr>
          <w:rFonts w:ascii="宋体" w:eastAsia="宋体" w:hAnsi="宋体" w:cs="宋体" w:hint="eastAsia"/>
          <w:sz w:val="24"/>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绩效管理是确保员工个体和团队整体能够达到最佳工作水平的关键工具。我们采用全面的绩效管理方案，包括目标设定、定期评估和反馈机制。首先，与员工一起设定明确的工作目标，确保每个人都理解公司的期望和个人职责。定期的评估过程不仅关注成果，还注重员工的行为和发展。我们鼓励员工参与自我评估，促进对个人成长的深刻思考。此外，为了提高绩效管理的透明度，我们建立了开放式的绩效反馈机制，鼓励员工与管理层进行有意义的对话，共同制定未来发展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2.薪酬管理方案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的薪酬管理方案旨在建立公正、透明和激励的激励体系。首先，我们根据市场薪酬水平进行详尽的调研，确保我们的薪酬体系具有竞争力。薪酬结构考虑了员工的职位、经验、绩效和市场条件等多方面因素，以确保员工获得公正的回报。我们注重薪酬的激励性，设立了与绩效挂钩的奖励机制，对于表现优异的员工提供额外激励。同时，我们也关注员工的福利待遇，提供全面的福利计划，包括健康保险、带薪休假和培训发展等，以提高员工的整体生活质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3.激励与奖励机制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与奖励机制是我们绩效和薪酬管理方案的重要组成部分。我们设立了灵活而有力的激励机制，通过明确的绩效评估，对表现优秀的员工提供额外奖金和晋升机会。激励不仅关注个体，还包括团队和部门水平的表现。我们注重公平，确保激励机制的透明度，使员工能够理解奖励决策的依据。激励计划还包括非金钱方面的奖励，如员工活动、团队建设和专业培训等，以综合提升员工的工作满意度和团队凝聚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4.职业发展计划</w:t>
      </w:r>
    </w:p>
    <w:p>
      <w:pPr>
        <w:spacing w:line="480" w:lineRule="auto"/>
        <w:ind w:firstLine="420" w:firstLineChars="0"/>
        <w:rPr>
          <w:rFonts w:ascii="宋体" w:eastAsia="宋体" w:hAnsi="宋体" w:cs="宋体" w:hint="eastAsia"/>
          <w:sz w:val="24"/>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业发展计划是我们绩效和薪酬管理方案的关键元素之一。我们致力于为员工提供广阔的职业发展通道，通过内部晋升、横向发展和专业培训等方式，帮助员工不断提升职业能力。我们与员工共同制定个性化的职业发展计划，明确目标和发展方向。此外，我们鼓励员工参与跨部门和跨项目的合作，促进知识交流和技能共享。通过这样的职业发展计划，我们旨在激发员工的学习热情，增强他们在公司内部的归属感和成就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5.沟通与反馈机制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良好的沟通与反馈机制是绩效和薪酬管理的支持系统。我们建立了定期的沟通渠道，包括一对一会议、团队会议和公司大会等。通过这些渠道，员工能够与领导直接沟通，分享工作中的困惑和挑战。我们注重双向反馈，鼓励员工提出改进建议，同时及时向员工提供有针对性的反馈，帮助他们更好地了解自己的工作表现和发展方向。沟通与反馈机制有助于建立开放、透明的工作氛围，提高员工对绩效和薪酬管理的满意度。</w:t>
      </w:r>
    </w:p>
    <w:p>
      <w:pPr>
        <w:pStyle w:val="Heading2"/>
        <w:spacing w:line="480" w:lineRule="auto"/>
        <w:rPr>
          <w:rFonts w:ascii="宋体" w:eastAsia="宋体" w:hAnsi="宋体" w:cs="宋体" w:hint="eastAsia"/>
          <w:bCs w:val="0"/>
          <w:sz w:val="28"/>
          <w:szCs w:val="28"/>
          <w:lang w:eastAsia="zh-CN"/>
        </w:rPr>
      </w:pPr>
      <w:bookmarkStart w:id="18" w:name="_Toc21799"/>
      <w:r>
        <w:rPr>
          <w:rFonts w:ascii="宋体" w:eastAsia="宋体" w:hAnsi="宋体" w:cs="宋体" w:hint="eastAsia"/>
          <w:b/>
          <w:bCs w:val="0"/>
          <w:sz w:val="28"/>
          <w:szCs w:val="28"/>
          <w:lang w:eastAsia="zh-CN"/>
        </w:rPr>
        <w:t>(六)、在线企业资源规划行业员工福利管理方案</w:t>
      </w:r>
      <w:bookmarkEnd w:id="1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1.健康保险计划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我们提供全面的健康保险计划，覆盖员工及其家庭成员。这包括基本的医疗保健、牙科和视力保健。我们致力于为员工提供全方位的健康保障,确保在生病或有医疗需求时能够得到及时且负担得起的医疗服务。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2.带薪休假政策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我们采用灵活的带薪休假政策，鼓励员工在需要时取得休息。这包括年度带薪假期、病假和特殊假期。我们理解员工在工作与生活之间需要平衡，因此提供合理的休假政策，以确保员工的身心健康和工作动力。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3.弹性工作时间</w:t>
      </w:r>
    </w:p>
    <w:p>
      <w:pPr>
        <w:spacing w:line="480" w:lineRule="auto"/>
        <w:ind w:firstLine="420" w:firstLineChars="0"/>
        <w:rPr>
          <w:rFonts w:ascii="宋体" w:eastAsia="宋体" w:hAnsi="宋体" w:cs="宋体" w:hint="eastAsia"/>
          <w:sz w:val="24"/>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宋体" w:eastAsia="宋体" w:hAnsi="宋体" w:cs="宋体" w:hint="eastAsia"/>
          <w:sz w:val="24"/>
          <w:szCs w:val="24"/>
          <w:lang w:eastAsia="zh-CN"/>
        </w:rPr>
        <w:t>为了更好地满足员工的工作生活平衡需求,我们推行弹性工作时间制度。员工可以根据个人情况调整工作时间，更好地安排工作和生活。这种弹性工作制度有助于提高员工的工作满意度和生产力。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4.学习与发展支持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我们提供全面的学习与发展支持，包括专业培训、进修课程和参与外部研讨会的机会。通过这些学习渠道，员工可以不断提升自己的专业能力，适应在线企业资源规划行业的发展变化，实现个人职业目标。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5.团队建设活动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为了促进员工之间的合作与团队精神,我们组织各类团队建设活动。这可能包括团队旅行、户外拓展活动、庆祝活动等。这些活动不仅加强了员工之间的联系，也提高了整体工作氛围。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6.职业发展规划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我们为每位员工制定个性化的职业发展规划,与员工共同探讨未来的职业道路和目标。这有助于员工更好地了解自己的职业发展方向，明确发展目标，并制定实现这些目标的计划。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7.灵活工作安排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我们支持员工采用灵活的工作安排，如远程办公和分时工作。这种灵活性有助于员工更好地平衡工作和生活，提高工作效率，同时为员工创造更加宽松的工作环境。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8.员工福利平台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我们建立了员工福利平台，涵盖各类优惠和福利。从购物、旅游到文化娱乐，员工可以通过平台享受到丰富的福利待遇，增强其对公司的归属感和满意度。</w:t>
      </w:r>
    </w:p>
    <w:p>
      <w:pPr>
        <w:spacing w:line="480" w:lineRule="auto"/>
        <w:ind w:firstLine="420" w:firstLineChars="0"/>
        <w:rPr>
          <w:rFonts w:ascii="宋体" w:eastAsia="宋体" w:hAnsi="宋体" w:cs="宋体" w:hint="eastAsia"/>
          <w:sz w:val="24"/>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宋体" w:eastAsia="宋体" w:hAnsi="宋体" w:cs="宋体" w:hint="eastAsia"/>
          <w:sz w:val="24"/>
          <w:szCs w:val="24"/>
          <w:lang w:eastAsia="zh-CN"/>
        </w:rPr>
        <w:t>这些员工福利管理方案不仅有助于提高员工的生活质量，还加强了员工对公司的忠诚度和工作积极性。</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9" w:name="_Toc25293"/>
      <w:r>
        <w:rPr>
          <w:rFonts w:ascii="微软雅黑" w:eastAsia="微软雅黑" w:hAnsi="微软雅黑" w:cs="微软雅黑" w:hint="eastAsia"/>
          <w:color w:val="2E54A1" w:themeColor="accent1" w:themeShade="BF"/>
          <w:sz w:val="32"/>
          <w:szCs w:val="32"/>
          <w:lang w:eastAsia="zh-CN"/>
        </w:rPr>
        <w:t>五、项目技术流程</w:t>
      </w:r>
      <w:bookmarkEnd w:id="19"/>
    </w:p>
    <w:p>
      <w:pPr>
        <w:pStyle w:val="Heading2"/>
        <w:spacing w:line="480" w:lineRule="auto"/>
        <w:rPr>
          <w:rFonts w:ascii="宋体" w:eastAsia="宋体" w:hAnsi="宋体" w:cs="宋体" w:hint="eastAsia"/>
          <w:bCs w:val="0"/>
          <w:sz w:val="28"/>
          <w:szCs w:val="28"/>
          <w:lang w:eastAsia="zh-CN"/>
        </w:rPr>
      </w:pPr>
      <w:bookmarkStart w:id="20" w:name="_Toc9018"/>
      <w:r>
        <w:rPr>
          <w:rFonts w:ascii="宋体" w:eastAsia="宋体" w:hAnsi="宋体" w:cs="宋体" w:hint="eastAsia"/>
          <w:b/>
          <w:bCs w:val="0"/>
          <w:sz w:val="28"/>
          <w:szCs w:val="28"/>
          <w:lang w:eastAsia="zh-CN"/>
        </w:rPr>
        <w:t>(一)、技术方案选择</w:t>
      </w:r>
      <w:bookmarkEnd w:id="2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首先，我们对当前在线企业资源规划行业技术发展趋势进行了全面了解，以及在线企业资源规划行业内同类项目的最佳实践。这有助于我们把握技术创新的方向，确保选择的技术方案能够紧跟在线企业资源规划行业前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技术方案的选择中，我们着眼于多个关键因素，包括但不限于项目的规模、预算、可行性，以及未来的可持续性。我们确保所选技术方案能够在项目实施的整个生命周期内都具备高效、可靠和经济的特性。这意味着我们不仅考虑当前的需求，还关注未来的扩展和升级可能性，以确保项目的可持续性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与此同时，我们密切关注与技术方案相关的风险，制定相应的风险管理策略。技术方案的选择不仅需要符合项目的要求，还要能够应对潜在的技术挑战和不确定性，确保项目的成功实施和运营。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通过这一系统化的方法,我们将确保在线企业资源规划行业项目的技术方案选择既符合当前的需求，又具备未来的发展潜力，为项目的成功实施和长期发展翼定了坚实的技术基础。</w:t>
      </w:r>
    </w:p>
    <w:p>
      <w:pPr>
        <w:pStyle w:val="Heading2"/>
        <w:spacing w:line="480" w:lineRule="auto"/>
        <w:rPr>
          <w:rFonts w:ascii="宋体" w:eastAsia="宋体" w:hAnsi="宋体" w:cs="宋体" w:hint="eastAsia"/>
          <w:bCs w:val="0"/>
          <w:sz w:val="28"/>
          <w:szCs w:val="28"/>
          <w:lang w:eastAsia="zh-CN"/>
        </w:rPr>
      </w:pPr>
      <w:bookmarkStart w:id="21" w:name="_Toc17029"/>
      <w:r>
        <w:rPr>
          <w:rFonts w:ascii="宋体" w:eastAsia="宋体" w:hAnsi="宋体" w:cs="宋体" w:hint="eastAsia"/>
          <w:b/>
          <w:bCs w:val="0"/>
          <w:sz w:val="28"/>
          <w:szCs w:val="28"/>
          <w:lang w:eastAsia="zh-CN"/>
        </w:rPr>
        <w:t>(二)、设备选型方案</w:t>
      </w:r>
      <w:bookmarkEnd w:id="21"/>
    </w:p>
    <w:p>
      <w:pPr>
        <w:spacing w:line="480" w:lineRule="auto"/>
        <w:ind w:firstLine="420" w:firstLineChars="0"/>
        <w:rPr>
          <w:rFonts w:ascii="宋体" w:eastAsia="宋体" w:hAnsi="宋体" w:cs="宋体" w:hint="eastAsia"/>
          <w:sz w:val="24"/>
        </w:rPr>
      </w:pP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https://d.book118.com/707153103010006031</w:t>
        </w:r>
      </w:hyperlink>
    </w:p>
    <w:p>
      <w:pPr>
        <w:spacing w:line="480" w:lineRule="auto"/>
        <w:ind w:firstLine="420" w:firstLineChars="0"/>
        <w:rPr>
          <w:rFonts w:ascii="宋体" w:eastAsia="宋体" w:hAnsi="宋体" w:cs="宋体" w:hint="eastAsia"/>
          <w:sz w:val="24"/>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3DAC44EE"/>
    <w:rsid w:val="453746B4"/>
    <w:rsid w:val="482775B3"/>
    <w:rsid w:val="49C53810"/>
    <w:rsid w:val="4E155AC7"/>
    <w:rsid w:val="50930768"/>
    <w:rsid w:val="62A91464"/>
    <w:rsid w:val="65714503"/>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707153103010006031"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2024-01-13T11:48:24Z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